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86128">
      <w:pPr>
        <w:ind w:left="321" w:leftChars="153" w:right="227"/>
        <w:jc w:val="center"/>
        <w:rPr>
          <w:rFonts w:eastAsia="黑体"/>
          <w:b/>
          <w:bCs/>
          <w:sz w:val="36"/>
          <w:szCs w:val="36"/>
        </w:rPr>
      </w:pPr>
      <w:r>
        <w:rPr>
          <w:rFonts w:hint="eastAsia" w:eastAsia="黑体"/>
          <w:b/>
          <w:bCs/>
          <w:sz w:val="36"/>
          <w:szCs w:val="36"/>
        </w:rPr>
        <w:t>比较文学与世界文学</w:t>
      </w:r>
      <w:r>
        <w:rPr>
          <w:rFonts w:eastAsia="黑体"/>
          <w:b/>
          <w:bCs/>
          <w:sz w:val="36"/>
          <w:szCs w:val="36"/>
        </w:rPr>
        <w:t>学术学位硕士研究生培养方案</w:t>
      </w:r>
    </w:p>
    <w:p w14:paraId="27542EB0">
      <w:pPr>
        <w:ind w:left="321" w:leftChars="153" w:right="227"/>
        <w:jc w:val="center"/>
        <w:rPr>
          <w:rFonts w:hint="eastAsia" w:eastAsia="黑体"/>
          <w:b/>
          <w:bCs/>
          <w:sz w:val="28"/>
          <w:szCs w:val="28"/>
          <w:lang w:eastAsia="zh-CN"/>
        </w:rPr>
      </w:pPr>
      <w:r>
        <w:rPr>
          <w:rFonts w:eastAsia="黑体"/>
          <w:b/>
          <w:bCs/>
          <w:sz w:val="28"/>
          <w:szCs w:val="28"/>
        </w:rPr>
        <w:t>（</w:t>
      </w:r>
      <w:r>
        <w:rPr>
          <w:rFonts w:hint="eastAsia" w:eastAsia="黑体"/>
          <w:b/>
          <w:bCs/>
          <w:sz w:val="28"/>
          <w:szCs w:val="28"/>
        </w:rPr>
        <w:t>文</w:t>
      </w:r>
      <w:r>
        <w:rPr>
          <w:rFonts w:eastAsia="黑体"/>
          <w:b/>
          <w:bCs/>
          <w:sz w:val="28"/>
          <w:szCs w:val="28"/>
        </w:rPr>
        <w:t>学院</w:t>
      </w:r>
      <w:r>
        <w:rPr>
          <w:rFonts w:hint="eastAsia" w:eastAsia="黑体"/>
          <w:b/>
          <w:bCs/>
          <w:sz w:val="28"/>
          <w:szCs w:val="28"/>
          <w:lang w:eastAsia="zh-CN"/>
        </w:rPr>
        <w:t>）</w:t>
      </w:r>
    </w:p>
    <w:p w14:paraId="256150E3">
      <w:pPr>
        <w:spacing w:line="440" w:lineRule="exact"/>
        <w:ind w:firstLine="560"/>
        <w:rPr>
          <w:rFonts w:eastAsia="黑体"/>
          <w:bCs/>
          <w:sz w:val="28"/>
          <w:szCs w:val="28"/>
        </w:rPr>
      </w:pPr>
      <w:r>
        <w:rPr>
          <w:rFonts w:eastAsia="黑体"/>
          <w:bCs/>
          <w:sz w:val="28"/>
          <w:szCs w:val="28"/>
        </w:rPr>
        <w:t>一、专业名称、代码</w:t>
      </w:r>
    </w:p>
    <w:p w14:paraId="0EFCF5BE">
      <w:pPr>
        <w:widowControl/>
        <w:spacing w:before="100" w:beforeAutospacing="1" w:after="100" w:afterAutospacing="1" w:line="270" w:lineRule="atLeast"/>
        <w:ind w:firstLine="960" w:firstLineChars="400"/>
        <w:jc w:val="left"/>
        <w:rPr>
          <w:rFonts w:hint="eastAsia" w:eastAsia="宋体"/>
          <w:color w:val="222222"/>
          <w:kern w:val="0"/>
          <w:sz w:val="18"/>
          <w:szCs w:val="18"/>
          <w:lang w:eastAsia="zh-CN"/>
        </w:rPr>
      </w:pPr>
      <w:r>
        <w:rPr>
          <w:color w:val="222222"/>
          <w:kern w:val="0"/>
          <w:sz w:val="24"/>
        </w:rPr>
        <w:t>专业名称：</w:t>
      </w:r>
      <w:r>
        <w:rPr>
          <w:rFonts w:hint="eastAsia"/>
          <w:sz w:val="24"/>
          <w:lang w:val="en-US" w:eastAsia="zh-CN"/>
        </w:rPr>
        <w:t>比较文学与世界文学</w:t>
      </w:r>
    </w:p>
    <w:p w14:paraId="7C622F6C">
      <w:pPr>
        <w:widowControl/>
        <w:spacing w:before="100" w:beforeAutospacing="1" w:after="100" w:afterAutospacing="1" w:line="270" w:lineRule="atLeast"/>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rPr>
        <w:t>0501</w:t>
      </w:r>
      <w:r>
        <w:rPr>
          <w:rFonts w:hint="eastAsia"/>
          <w:color w:val="222222"/>
          <w:kern w:val="0"/>
          <w:sz w:val="24"/>
          <w:lang w:val="en-US" w:eastAsia="zh-CN"/>
        </w:rPr>
        <w:t>08</w:t>
      </w:r>
    </w:p>
    <w:p w14:paraId="536B5654">
      <w:pPr>
        <w:numPr>
          <w:ilvl w:val="0"/>
          <w:numId w:val="1"/>
        </w:numPr>
        <w:spacing w:line="440" w:lineRule="exact"/>
        <w:ind w:firstLine="560" w:firstLineChars="200"/>
        <w:rPr>
          <w:rFonts w:eastAsia="黑体"/>
          <w:bCs/>
          <w:color w:val="000000" w:themeColor="text1"/>
          <w:sz w:val="28"/>
          <w:szCs w:val="28"/>
          <w:highlight w:val="none"/>
          <w14:textFill>
            <w14:solidFill>
              <w14:schemeClr w14:val="tx1"/>
            </w14:solidFill>
          </w14:textFill>
        </w:rPr>
      </w:pPr>
      <w:r>
        <w:rPr>
          <w:rFonts w:eastAsia="黑体"/>
          <w:bCs/>
          <w:color w:val="000000" w:themeColor="text1"/>
          <w:sz w:val="28"/>
          <w:szCs w:val="28"/>
          <w:highlight w:val="none"/>
          <w14:textFill>
            <w14:solidFill>
              <w14:schemeClr w14:val="tx1"/>
            </w14:solidFill>
          </w14:textFill>
        </w:rPr>
        <w:t>专业简介</w:t>
      </w:r>
    </w:p>
    <w:p w14:paraId="665B2ED0">
      <w:pPr>
        <w:spacing w:line="360" w:lineRule="auto"/>
        <w:ind w:firstLine="480" w:firstLineChars="200"/>
        <w:jc w:val="left"/>
        <w:rPr>
          <w:rFonts w:hint="default" w:asciiTheme="minorEastAsia" w:hAnsiTheme="minorEastAsia" w:eastAsiaTheme="minorEastAsia"/>
          <w:sz w:val="24"/>
          <w:lang w:val="en-US" w:eastAsia="zh-CN"/>
        </w:rPr>
      </w:pPr>
      <w:r>
        <w:rPr>
          <w:rFonts w:hint="default" w:asciiTheme="minorEastAsia" w:hAnsiTheme="minorEastAsia" w:eastAsiaTheme="minorEastAsia"/>
          <w:sz w:val="24"/>
          <w:lang w:val="en-US" w:eastAsia="zh-CN"/>
        </w:rPr>
        <w:t>比较文学与世界文学专业作为中国语言文学一级学科的重要支撑学科，其自身性质具有鲜明的融</w:t>
      </w:r>
      <w:r>
        <w:rPr>
          <w:rFonts w:hint="eastAsia" w:asciiTheme="minorEastAsia" w:hAnsiTheme="minorEastAsia" w:eastAsiaTheme="minorEastAsia"/>
          <w:sz w:val="24"/>
          <w:lang w:val="en-US" w:eastAsia="zh-CN"/>
        </w:rPr>
        <w:t>通</w:t>
      </w:r>
      <w:r>
        <w:rPr>
          <w:rFonts w:hint="default" w:asciiTheme="minorEastAsia" w:hAnsiTheme="minorEastAsia" w:eastAsiaTheme="minorEastAsia"/>
          <w:sz w:val="24"/>
          <w:lang w:val="en-US" w:eastAsia="zh-CN"/>
        </w:rPr>
        <w:t>性与跨界性，</w:t>
      </w:r>
      <w:r>
        <w:rPr>
          <w:rFonts w:hint="eastAsia" w:asciiTheme="minorEastAsia" w:hAnsiTheme="minorEastAsia" w:eastAsiaTheme="minorEastAsia"/>
          <w:sz w:val="24"/>
          <w:lang w:val="en-US" w:eastAsia="zh-CN"/>
        </w:rPr>
        <w:t>以</w:t>
      </w:r>
      <w:r>
        <w:rPr>
          <w:rFonts w:hint="default" w:asciiTheme="minorEastAsia" w:hAnsiTheme="minorEastAsia" w:eastAsiaTheme="minorEastAsia"/>
          <w:sz w:val="24"/>
          <w:lang w:val="en-US" w:eastAsia="zh-CN"/>
        </w:rPr>
        <w:t>培养立足中国又面向世界、立足文学本科又具备交叉学科素养、立足本土又具有国际视野的新型复合通用人才</w:t>
      </w:r>
      <w:r>
        <w:rPr>
          <w:rFonts w:hint="eastAsia" w:asciiTheme="minorEastAsia" w:hAnsiTheme="minorEastAsia" w:eastAsiaTheme="minorEastAsia"/>
          <w:sz w:val="24"/>
          <w:lang w:val="en-US" w:eastAsia="zh-CN"/>
        </w:rPr>
        <w:t>为目标</w:t>
      </w:r>
      <w:r>
        <w:rPr>
          <w:rFonts w:hint="default" w:asciiTheme="minorEastAsia" w:hAnsiTheme="minorEastAsia" w:eastAsiaTheme="minorEastAsia"/>
          <w:sz w:val="24"/>
          <w:lang w:val="en-US" w:eastAsia="zh-CN"/>
        </w:rPr>
        <w:t>。</w:t>
      </w:r>
      <w:r>
        <w:rPr>
          <w:rFonts w:hint="eastAsia" w:asciiTheme="minorEastAsia" w:hAnsiTheme="minorEastAsia" w:eastAsiaTheme="minorEastAsia"/>
          <w:sz w:val="24"/>
          <w:lang w:val="en-US" w:eastAsia="zh-CN"/>
        </w:rPr>
        <w:t>本专业</w:t>
      </w:r>
      <w:r>
        <w:rPr>
          <w:rFonts w:hint="eastAsia" w:asciiTheme="minorEastAsia" w:hAnsiTheme="minorEastAsia" w:eastAsiaTheme="minorEastAsia"/>
          <w:sz w:val="24"/>
        </w:rPr>
        <w:t>强调</w:t>
      </w:r>
      <w:r>
        <w:rPr>
          <w:rFonts w:hint="eastAsia" w:asciiTheme="minorEastAsia" w:hAnsiTheme="minorEastAsia" w:eastAsiaTheme="minorEastAsia"/>
          <w:sz w:val="24"/>
          <w:lang w:val="en-US" w:eastAsia="zh-CN"/>
        </w:rPr>
        <w:t>在文明互鉴精神的指导下，</w:t>
      </w:r>
      <w:r>
        <w:rPr>
          <w:rFonts w:hint="eastAsia" w:asciiTheme="minorEastAsia" w:hAnsiTheme="minorEastAsia" w:eastAsiaTheme="minorEastAsia"/>
          <w:sz w:val="24"/>
        </w:rPr>
        <w:t>以对话的意识、比较的方法和国际的视野观照中外文学与文化问题，既注重对历史问题的考察，又注重对当下问题的</w:t>
      </w:r>
      <w:r>
        <w:rPr>
          <w:rFonts w:hint="eastAsia" w:asciiTheme="minorEastAsia" w:hAnsiTheme="minorEastAsia" w:eastAsiaTheme="minorEastAsia"/>
          <w:sz w:val="24"/>
          <w:lang w:val="en-US" w:eastAsia="zh-CN"/>
        </w:rPr>
        <w:t>人文</w:t>
      </w:r>
      <w:r>
        <w:rPr>
          <w:rFonts w:hint="eastAsia" w:asciiTheme="minorEastAsia" w:hAnsiTheme="minorEastAsia" w:eastAsiaTheme="minorEastAsia"/>
          <w:sz w:val="24"/>
        </w:rPr>
        <w:t>关照，</w:t>
      </w:r>
      <w:r>
        <w:rPr>
          <w:rFonts w:hint="eastAsia" w:asciiTheme="minorEastAsia" w:hAnsiTheme="minorEastAsia" w:eastAsiaTheme="minorEastAsia"/>
          <w:sz w:val="24"/>
          <w:lang w:val="en-US" w:eastAsia="zh-CN"/>
        </w:rPr>
        <w:t>同时</w:t>
      </w:r>
      <w:r>
        <w:rPr>
          <w:rFonts w:hint="eastAsia" w:asciiTheme="minorEastAsia" w:hAnsiTheme="minorEastAsia" w:eastAsiaTheme="minorEastAsia"/>
          <w:sz w:val="24"/>
        </w:rPr>
        <w:t>不失指向未来的价值取向。通过不断凝练研究方向，</w:t>
      </w:r>
      <w:r>
        <w:rPr>
          <w:rFonts w:hint="eastAsia" w:asciiTheme="minorEastAsia" w:hAnsiTheme="minorEastAsia" w:eastAsiaTheme="minorEastAsia"/>
          <w:sz w:val="24"/>
          <w:lang w:val="en-US" w:eastAsia="zh-CN"/>
        </w:rPr>
        <w:t>本专业在世界文学经典研究、中外诗歌比较研究、中外文论互鉴研究等领域已</w:t>
      </w:r>
      <w:r>
        <w:rPr>
          <w:rFonts w:hint="eastAsia" w:asciiTheme="minorEastAsia" w:hAnsiTheme="minorEastAsia" w:eastAsiaTheme="minorEastAsia"/>
          <w:sz w:val="24"/>
        </w:rPr>
        <w:t>取得了一定成果，逐渐形成了以中外文学交流</w:t>
      </w:r>
      <w:r>
        <w:rPr>
          <w:rFonts w:hint="eastAsia" w:asciiTheme="minorEastAsia" w:hAnsiTheme="minorEastAsia" w:eastAsiaTheme="minorEastAsia"/>
          <w:sz w:val="24"/>
          <w:lang w:val="en-US" w:eastAsia="zh-CN"/>
        </w:rPr>
        <w:t>互鉴</w:t>
      </w:r>
      <w:r>
        <w:rPr>
          <w:rFonts w:hint="eastAsia" w:asciiTheme="minorEastAsia" w:hAnsiTheme="minorEastAsia" w:eastAsiaTheme="minorEastAsia"/>
          <w:sz w:val="24"/>
        </w:rPr>
        <w:t>研究为主体，以比较诗学研究和</w:t>
      </w:r>
      <w:r>
        <w:rPr>
          <w:rFonts w:hint="eastAsia" w:asciiTheme="minorEastAsia" w:hAnsiTheme="minorEastAsia" w:eastAsiaTheme="minorEastAsia"/>
          <w:sz w:val="24"/>
          <w:lang w:val="en-US" w:eastAsia="zh-CN"/>
        </w:rPr>
        <w:t>世界文学理论</w:t>
      </w:r>
      <w:r>
        <w:rPr>
          <w:rFonts w:hint="eastAsia" w:asciiTheme="minorEastAsia" w:hAnsiTheme="minorEastAsia" w:eastAsiaTheme="minorEastAsia"/>
          <w:sz w:val="24"/>
        </w:rPr>
        <w:t>研究为两翼的学科发展态势，为“中外诗学互鉴研究团队”的打造奠定了基础。</w:t>
      </w:r>
    </w:p>
    <w:p w14:paraId="18AB49AE">
      <w:pPr>
        <w:spacing w:line="440" w:lineRule="exact"/>
        <w:ind w:firstLine="560"/>
        <w:rPr>
          <w:rFonts w:eastAsia="黑体"/>
          <w:bCs/>
          <w:sz w:val="28"/>
          <w:szCs w:val="28"/>
          <w:highlight w:val="none"/>
        </w:rPr>
      </w:pPr>
      <w:r>
        <w:rPr>
          <w:rFonts w:eastAsia="黑体"/>
          <w:bCs/>
          <w:sz w:val="28"/>
          <w:szCs w:val="28"/>
          <w:highlight w:val="none"/>
        </w:rPr>
        <w:t>三、研究方向</w:t>
      </w:r>
    </w:p>
    <w:p w14:paraId="0A423A8C">
      <w:pPr>
        <w:spacing w:line="360" w:lineRule="auto"/>
        <w:ind w:firstLine="480" w:firstLineChars="200"/>
        <w:jc w:val="left"/>
        <w:rPr>
          <w:rFonts w:ascii="宋体" w:hAnsi="宋体"/>
          <w:color w:val="000000"/>
          <w:sz w:val="24"/>
        </w:rPr>
      </w:pPr>
      <w:r>
        <w:rPr>
          <w:rFonts w:hint="eastAsia"/>
          <w:sz w:val="24"/>
        </w:rPr>
        <w:t>主要设置</w:t>
      </w:r>
      <w:r>
        <w:rPr>
          <w:rFonts w:hint="eastAsia" w:asciiTheme="minorEastAsia" w:hAnsiTheme="minorEastAsia" w:eastAsiaTheme="minorEastAsia"/>
          <w:sz w:val="24"/>
        </w:rPr>
        <w:t>世界文学与文化、中外文学与艺术、比较诗学与美学等几个研究方向</w:t>
      </w:r>
      <w:r>
        <w:rPr>
          <w:rFonts w:hint="eastAsia" w:asciiTheme="minorEastAsia" w:hAnsiTheme="minorEastAsia" w:eastAsiaTheme="minorEastAsia"/>
          <w:sz w:val="24"/>
          <w:lang w:eastAsia="zh-CN"/>
        </w:rPr>
        <w:t>，</w:t>
      </w:r>
      <w:r>
        <w:rPr>
          <w:rFonts w:hint="eastAsia" w:ascii="宋体" w:hAnsi="宋体"/>
          <w:color w:val="000000"/>
          <w:sz w:val="24"/>
        </w:rPr>
        <w:t xml:space="preserve">这三个研究方向在内容和方法上既相互独立，又相互交叉和补充，着力体现比较文学与世界文学专业的系统完整性和发展创新性。 </w:t>
      </w:r>
    </w:p>
    <w:p w14:paraId="0254D78D">
      <w:pPr>
        <w:spacing w:line="360" w:lineRule="auto"/>
        <w:ind w:firstLine="480" w:firstLineChars="200"/>
        <w:jc w:val="left"/>
        <w:rPr>
          <w:rFonts w:ascii="宋体" w:hAnsi="宋体"/>
          <w:b/>
          <w:color w:val="000000"/>
          <w:sz w:val="24"/>
        </w:rPr>
      </w:pPr>
      <w:r>
        <w:rPr>
          <w:sz w:val="24"/>
        </w:rPr>
        <w:t>1</w:t>
      </w:r>
      <w:r>
        <w:rPr>
          <w:rFonts w:hint="eastAsia"/>
          <w:sz w:val="24"/>
        </w:rPr>
        <w:t>．</w:t>
      </w:r>
      <w:r>
        <w:rPr>
          <w:rFonts w:hint="eastAsia" w:ascii="宋体" w:hAnsi="宋体"/>
          <w:b/>
          <w:color w:val="000000"/>
          <w:sz w:val="24"/>
        </w:rPr>
        <w:t>世界文学与文化方向</w:t>
      </w:r>
    </w:p>
    <w:p w14:paraId="768A0192">
      <w:pPr>
        <w:spacing w:line="360" w:lineRule="auto"/>
        <w:ind w:firstLine="470" w:firstLineChars="196"/>
        <w:jc w:val="left"/>
        <w:rPr>
          <w:rFonts w:ascii="宋体" w:hAnsi="宋体"/>
          <w:color w:val="000000"/>
          <w:sz w:val="24"/>
          <w:szCs w:val="20"/>
        </w:rPr>
      </w:pPr>
      <w:r>
        <w:rPr>
          <w:rFonts w:hint="eastAsia" w:ascii="宋体" w:hAnsi="宋体"/>
          <w:color w:val="000000"/>
          <w:sz w:val="24"/>
          <w:szCs w:val="20"/>
        </w:rPr>
        <w:t>本方向在</w:t>
      </w:r>
      <w:r>
        <w:rPr>
          <w:rFonts w:hint="eastAsia" w:ascii="宋体" w:hAnsi="宋体"/>
          <w:color w:val="000000"/>
          <w:sz w:val="24"/>
          <w:szCs w:val="21"/>
        </w:rPr>
        <w:t>系统掌握世界各主要国家的突出文学现象和基本文化理论的基础上，以先进科学的</w:t>
      </w:r>
      <w:r>
        <w:rPr>
          <w:rFonts w:hint="eastAsia" w:ascii="宋体" w:hAnsi="宋体"/>
          <w:color w:val="000000"/>
          <w:sz w:val="24"/>
        </w:rPr>
        <w:t>观念和方法，研究</w:t>
      </w:r>
      <w:r>
        <w:rPr>
          <w:rFonts w:hint="eastAsia" w:ascii="宋体" w:hAnsi="宋体"/>
          <w:color w:val="000000"/>
          <w:sz w:val="24"/>
          <w:szCs w:val="21"/>
        </w:rPr>
        <w:t>文体分类、文学原型与母题、各国文学关系、文学自身发展规律及与其他文化形态关系等等基本文学问题</w:t>
      </w:r>
      <w:r>
        <w:rPr>
          <w:rFonts w:hint="eastAsia" w:ascii="宋体" w:hAnsi="宋体"/>
          <w:color w:val="000000"/>
          <w:sz w:val="24"/>
          <w:szCs w:val="20"/>
        </w:rPr>
        <w:t>。本方向的强势特色一是</w:t>
      </w:r>
      <w:r>
        <w:rPr>
          <w:rFonts w:hint="eastAsia" w:ascii="宋体" w:hAnsi="宋体"/>
          <w:color w:val="000000"/>
          <w:sz w:val="24"/>
        </w:rPr>
        <w:t>在全球文学的高度观照各民族文学发展的规律、相互影响与交流，二</w:t>
      </w:r>
      <w:r>
        <w:rPr>
          <w:rFonts w:hint="eastAsia" w:ascii="宋体" w:hAnsi="宋体"/>
          <w:color w:val="000000"/>
          <w:sz w:val="24"/>
          <w:szCs w:val="20"/>
        </w:rPr>
        <w:t>是强调文学与文化的互动关系</w:t>
      </w:r>
      <w:r>
        <w:rPr>
          <w:rFonts w:hint="eastAsia" w:ascii="宋体" w:hAnsi="宋体"/>
          <w:color w:val="000000"/>
          <w:sz w:val="24"/>
        </w:rPr>
        <w:t>，突出文学发展的文化背景和文学的文化蕴涵，培养具有现代意识、能够适应全球化要求的高端</w:t>
      </w:r>
      <w:r>
        <w:rPr>
          <w:rFonts w:hint="eastAsia" w:ascii="宋体" w:hAnsi="宋体"/>
          <w:color w:val="000000"/>
          <w:sz w:val="24"/>
          <w:szCs w:val="20"/>
        </w:rPr>
        <w:t>人才。</w:t>
      </w:r>
    </w:p>
    <w:p w14:paraId="2E17E3C7">
      <w:pPr>
        <w:spacing w:line="360" w:lineRule="auto"/>
        <w:ind w:firstLine="480" w:firstLineChars="200"/>
        <w:jc w:val="left"/>
        <w:rPr>
          <w:rFonts w:ascii="宋体" w:hAnsi="宋体"/>
          <w:b/>
          <w:color w:val="000000"/>
          <w:sz w:val="24"/>
          <w:szCs w:val="21"/>
        </w:rPr>
      </w:pPr>
      <w:r>
        <w:rPr>
          <w:rFonts w:hint="eastAsia"/>
          <w:sz w:val="24"/>
          <w:lang w:val="en-US" w:eastAsia="zh-CN"/>
        </w:rPr>
        <w:t>2</w:t>
      </w:r>
      <w:r>
        <w:rPr>
          <w:rFonts w:hint="eastAsia"/>
          <w:sz w:val="24"/>
        </w:rPr>
        <w:t>．</w:t>
      </w:r>
      <w:r>
        <w:rPr>
          <w:rFonts w:hint="eastAsia" w:ascii="宋体" w:hAnsi="宋体"/>
          <w:b/>
          <w:color w:val="000000"/>
          <w:sz w:val="24"/>
          <w:szCs w:val="21"/>
        </w:rPr>
        <w:t>中外文学与艺术方向</w:t>
      </w:r>
    </w:p>
    <w:p w14:paraId="2CEC7CB8">
      <w:pPr>
        <w:spacing w:line="360" w:lineRule="auto"/>
        <w:ind w:firstLine="470" w:firstLineChars="196"/>
        <w:jc w:val="left"/>
        <w:rPr>
          <w:rFonts w:ascii="宋体" w:hAnsi="宋体"/>
          <w:color w:val="000000"/>
          <w:sz w:val="24"/>
        </w:rPr>
      </w:pPr>
      <w:r>
        <w:rPr>
          <w:rFonts w:hint="eastAsia" w:ascii="宋体" w:hAnsi="宋体"/>
          <w:color w:val="000000"/>
          <w:sz w:val="24"/>
        </w:rPr>
        <w:t>本方向通过中外文学与艺术的互参与互补，透视中外文艺精神与形态之异同，既求同以建构起对话平台，亦存异而突破一些狭隘的文艺观念，促进彼此的相互理解、补充乃至融合。本方向的强势特色是强调人文素质教育，培养学生的艺术素养和现代意识，具有对舶来文艺产品的分析鉴别能力，具有在文化产业领域取长补短、独立创新的能力，既能够保护我们的文化市场，亦能够逐步开拓国外文化市场，增强中华民族在全球的影响力。</w:t>
      </w:r>
    </w:p>
    <w:p w14:paraId="16D8E4F4">
      <w:pPr>
        <w:spacing w:line="360" w:lineRule="auto"/>
        <w:ind w:firstLine="470" w:firstLineChars="196"/>
        <w:jc w:val="left"/>
        <w:rPr>
          <w:rFonts w:ascii="宋体" w:hAnsi="宋体"/>
          <w:b/>
          <w:color w:val="000000"/>
          <w:sz w:val="24"/>
          <w:szCs w:val="21"/>
        </w:rPr>
      </w:pPr>
      <w:r>
        <w:rPr>
          <w:rFonts w:hint="eastAsia"/>
          <w:sz w:val="24"/>
          <w:lang w:val="en-US" w:eastAsia="zh-CN"/>
        </w:rPr>
        <w:t>3</w:t>
      </w:r>
      <w:r>
        <w:rPr>
          <w:rFonts w:hint="eastAsia"/>
          <w:sz w:val="24"/>
        </w:rPr>
        <w:t>．</w:t>
      </w:r>
      <w:r>
        <w:rPr>
          <w:rFonts w:hint="eastAsia" w:ascii="宋体" w:hAnsi="宋体"/>
          <w:b/>
          <w:color w:val="000000"/>
          <w:sz w:val="24"/>
          <w:szCs w:val="21"/>
          <w:lang w:val="en-US" w:eastAsia="zh-CN"/>
        </w:rPr>
        <w:t>比较诗学</w:t>
      </w:r>
      <w:r>
        <w:rPr>
          <w:rFonts w:hint="eastAsia" w:ascii="宋体" w:hAnsi="宋体"/>
          <w:b/>
          <w:color w:val="000000"/>
          <w:sz w:val="24"/>
          <w:szCs w:val="21"/>
        </w:rPr>
        <w:t>与美学方向</w:t>
      </w:r>
    </w:p>
    <w:p w14:paraId="21FAD6C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inorEastAsia" w:hAnsiTheme="minorEastAsia" w:eastAsiaTheme="minorEastAsia"/>
          <w:sz w:val="24"/>
        </w:rPr>
      </w:pPr>
      <w:r>
        <w:rPr>
          <w:rFonts w:hint="eastAsia" w:ascii="宋体" w:hAnsi="宋体"/>
          <w:color w:val="000000"/>
          <w:sz w:val="24"/>
          <w:szCs w:val="18"/>
        </w:rPr>
        <w:t>本方向以</w:t>
      </w:r>
      <w:r>
        <w:rPr>
          <w:rFonts w:hint="eastAsia" w:ascii="宋体" w:hAnsi="宋体" w:cs="Arial"/>
          <w:color w:val="000000"/>
          <w:sz w:val="24"/>
          <w:szCs w:val="18"/>
        </w:rPr>
        <w:t>文化研究的视野，</w:t>
      </w:r>
      <w:r>
        <w:rPr>
          <w:rFonts w:hint="eastAsia" w:ascii="宋体" w:hAnsi="宋体"/>
          <w:color w:val="000000"/>
          <w:sz w:val="24"/>
          <w:szCs w:val="18"/>
        </w:rPr>
        <w:t>综合运用中外</w:t>
      </w:r>
      <w:r>
        <w:rPr>
          <w:rFonts w:hint="eastAsia" w:ascii="宋体" w:hAnsi="宋体"/>
          <w:color w:val="000000"/>
          <w:sz w:val="24"/>
        </w:rPr>
        <w:t>文论与美学的观念和方法对一些重要的</w:t>
      </w:r>
      <w:r>
        <w:rPr>
          <w:rFonts w:hint="eastAsia" w:ascii="宋体" w:hAnsi="宋体"/>
          <w:color w:val="000000"/>
          <w:sz w:val="24"/>
          <w:szCs w:val="18"/>
        </w:rPr>
        <w:t>文学范畴与命题进行专门研究或比较研究，并</w:t>
      </w:r>
      <w:r>
        <w:rPr>
          <w:rFonts w:hint="eastAsia" w:ascii="宋体" w:hAnsi="宋体" w:cs="Arial"/>
          <w:color w:val="000000"/>
          <w:sz w:val="24"/>
          <w:szCs w:val="18"/>
        </w:rPr>
        <w:t>合理适度地向宗教、哲学、心理学、社会学</w:t>
      </w:r>
      <w:r>
        <w:rPr>
          <w:rFonts w:hint="eastAsia" w:ascii="宋体" w:hAnsi="宋体" w:cs="Arial"/>
          <w:color w:val="000000"/>
          <w:sz w:val="24"/>
          <w:szCs w:val="18"/>
          <w:lang w:eastAsia="zh-CN"/>
        </w:rPr>
        <w:t>等</w:t>
      </w:r>
      <w:r>
        <w:rPr>
          <w:rFonts w:hint="eastAsia" w:ascii="宋体" w:hAnsi="宋体" w:cs="Arial"/>
          <w:color w:val="000000"/>
          <w:sz w:val="24"/>
          <w:szCs w:val="18"/>
        </w:rPr>
        <w:t>相关领域拓展</w:t>
      </w:r>
      <w:r>
        <w:rPr>
          <w:rFonts w:hint="eastAsia" w:ascii="宋体" w:hAnsi="宋体"/>
          <w:color w:val="000000"/>
          <w:sz w:val="24"/>
          <w:szCs w:val="18"/>
        </w:rPr>
        <w:t>。本方向的强势特色是重视基础理论与</w:t>
      </w:r>
      <w:r>
        <w:rPr>
          <w:rFonts w:hint="eastAsia" w:ascii="宋体" w:hAnsi="宋体" w:cs="Arial"/>
          <w:color w:val="000000"/>
          <w:sz w:val="24"/>
          <w:szCs w:val="18"/>
        </w:rPr>
        <w:t>当下现象的结合，不仅注重当代作家作品评论，亦对人类生活中或隐或显的诸多审美现象及其他社会现实进行文化观照，着力</w:t>
      </w:r>
      <w:r>
        <w:rPr>
          <w:rFonts w:hint="eastAsia" w:ascii="宋体" w:hAnsi="宋体"/>
          <w:color w:val="000000"/>
          <w:sz w:val="24"/>
        </w:rPr>
        <w:t>培养一批学涉中外、视野开阔、思想前沿、方法进步、具有较高审美能力、既通且专的人才。</w:t>
      </w:r>
    </w:p>
    <w:p w14:paraId="09057897">
      <w:pPr>
        <w:spacing w:line="440" w:lineRule="exact"/>
        <w:ind w:firstLine="560" w:firstLineChars="200"/>
        <w:rPr>
          <w:rFonts w:eastAsia="黑体"/>
          <w:bCs/>
          <w:sz w:val="28"/>
          <w:szCs w:val="28"/>
        </w:rPr>
      </w:pPr>
      <w:r>
        <w:rPr>
          <w:rFonts w:eastAsia="黑体"/>
          <w:bCs/>
          <w:sz w:val="28"/>
          <w:szCs w:val="28"/>
        </w:rPr>
        <w:t>四、学制及学习年限</w:t>
      </w:r>
    </w:p>
    <w:p w14:paraId="681975D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olor w:val="000000"/>
          <w:sz w:val="24"/>
        </w:rPr>
      </w:pPr>
      <w:r>
        <w:rPr>
          <w:rFonts w:hint="eastAsia" w:ascii="宋体" w:hAnsi="宋体"/>
          <w:color w:val="000000"/>
          <w:sz w:val="24"/>
        </w:rPr>
        <w:t>本专业学制为3年，在校最长学习年限（含休学）不超过6年。</w:t>
      </w:r>
    </w:p>
    <w:p w14:paraId="43D7BB8A">
      <w:pPr>
        <w:spacing w:line="440" w:lineRule="exact"/>
        <w:ind w:firstLine="560" w:firstLineChars="200"/>
        <w:rPr>
          <w:rFonts w:eastAsia="黑体"/>
          <w:bCs/>
          <w:sz w:val="28"/>
          <w:szCs w:val="28"/>
        </w:rPr>
      </w:pPr>
      <w:r>
        <w:rPr>
          <w:rFonts w:eastAsia="黑体"/>
          <w:bCs/>
          <w:sz w:val="28"/>
          <w:szCs w:val="28"/>
        </w:rPr>
        <w:t>五、培养目标</w:t>
      </w:r>
    </w:p>
    <w:p w14:paraId="1FF9B74D">
      <w:pPr>
        <w:spacing w:line="360" w:lineRule="auto"/>
        <w:ind w:firstLine="480" w:firstLineChars="200"/>
        <w:jc w:val="left"/>
        <w:rPr>
          <w:sz w:val="24"/>
        </w:rPr>
      </w:pPr>
      <w:r>
        <w:rPr>
          <w:sz w:val="24"/>
        </w:rPr>
        <w:t>1</w:t>
      </w:r>
      <w:r>
        <w:rPr>
          <w:rFonts w:hint="eastAsia"/>
          <w:sz w:val="24"/>
        </w:rPr>
        <w:t>．全面、准确地掌握马克思主义的基本理论，拥护中国共产党的领导，拥护社会主义制度，热爱祖国，遵纪守法，品行端正。</w:t>
      </w:r>
    </w:p>
    <w:p w14:paraId="5D9697A1">
      <w:pPr>
        <w:spacing w:line="360" w:lineRule="auto"/>
        <w:ind w:firstLine="480" w:firstLineChars="200"/>
        <w:jc w:val="left"/>
        <w:rPr>
          <w:sz w:val="24"/>
        </w:rPr>
      </w:pPr>
      <w:r>
        <w:rPr>
          <w:sz w:val="24"/>
        </w:rPr>
        <w:t>2</w:t>
      </w:r>
      <w:r>
        <w:rPr>
          <w:rFonts w:hint="eastAsia"/>
          <w:sz w:val="24"/>
        </w:rPr>
        <w:t>．全面掌握本学科的基础理论和专门知识，充分了解本学科的前沿动态和发展趋势，能在导师指导下开展深入、富有创新性的学术研究工作，具有较深的学术素养、良好</w:t>
      </w:r>
      <w:r>
        <w:rPr>
          <w:rFonts w:hint="eastAsia"/>
          <w:sz w:val="24"/>
          <w:lang w:val="en-US" w:eastAsia="zh-CN"/>
        </w:rPr>
        <w:t>的</w:t>
      </w:r>
      <w:r>
        <w:rPr>
          <w:rFonts w:hint="eastAsia"/>
          <w:sz w:val="24"/>
        </w:rPr>
        <w:t>研究能力、高度</w:t>
      </w:r>
      <w:r>
        <w:rPr>
          <w:rFonts w:hint="eastAsia"/>
          <w:sz w:val="24"/>
          <w:lang w:val="en-US" w:eastAsia="zh-CN"/>
        </w:rPr>
        <w:t>的</w:t>
      </w:r>
      <w:r>
        <w:rPr>
          <w:rFonts w:hint="eastAsia"/>
          <w:sz w:val="24"/>
        </w:rPr>
        <w:t>创新精神与社会责任感，能够参与中国语言文学学科的理论创新、文化传承与社会服务。</w:t>
      </w:r>
    </w:p>
    <w:p w14:paraId="6D85CE89">
      <w:pPr>
        <w:spacing w:line="440" w:lineRule="exact"/>
        <w:ind w:firstLine="560" w:firstLineChars="200"/>
        <w:rPr>
          <w:rFonts w:eastAsia="黑体"/>
          <w:bCs/>
          <w:sz w:val="28"/>
          <w:szCs w:val="28"/>
        </w:rPr>
      </w:pPr>
      <w:r>
        <w:rPr>
          <w:rFonts w:eastAsia="黑体"/>
          <w:bCs/>
          <w:sz w:val="28"/>
          <w:szCs w:val="28"/>
        </w:rPr>
        <w:t>六、培养方式</w:t>
      </w:r>
    </w:p>
    <w:p w14:paraId="2CEDF53B">
      <w:pPr>
        <w:spacing w:line="360" w:lineRule="auto"/>
        <w:ind w:firstLine="480" w:firstLineChars="200"/>
        <w:jc w:val="left"/>
        <w:rPr>
          <w:rFonts w:hint="eastAsia" w:ascii="宋体" w:hAnsi="宋体" w:cs="宋体"/>
          <w:sz w:val="24"/>
        </w:rPr>
      </w:pPr>
      <w:r>
        <w:rPr>
          <w:rFonts w:ascii="宋体" w:hAnsi="宋体" w:cs="宋体"/>
          <w:sz w:val="24"/>
        </w:rPr>
        <w:t>1</w:t>
      </w:r>
      <w:r>
        <w:rPr>
          <w:rFonts w:hint="eastAsia" w:ascii="宋体" w:hAnsi="宋体" w:cs="宋体"/>
          <w:sz w:val="24"/>
        </w:rPr>
        <w:t>．实行导师负责的硕士生指导小组制，导师指导与集体培养相结合。</w:t>
      </w:r>
    </w:p>
    <w:p w14:paraId="73D9674C">
      <w:pPr>
        <w:spacing w:line="360" w:lineRule="auto"/>
        <w:ind w:firstLine="480" w:firstLineChars="200"/>
        <w:jc w:val="left"/>
        <w:rPr>
          <w:rFonts w:hint="eastAsia" w:ascii="宋体" w:hAnsi="宋体" w:cs="宋体"/>
          <w:sz w:val="24"/>
        </w:rPr>
      </w:pPr>
      <w:r>
        <w:rPr>
          <w:rFonts w:ascii="宋体" w:hAnsi="宋体" w:cs="宋体"/>
          <w:sz w:val="24"/>
        </w:rPr>
        <w:t>2</w:t>
      </w:r>
      <w:r>
        <w:rPr>
          <w:rFonts w:hint="eastAsia" w:ascii="宋体" w:hAnsi="宋体" w:cs="宋体"/>
          <w:sz w:val="24"/>
        </w:rPr>
        <w:t>．研究生初选指导教师，实行导师和学生双向选择制。遇有特殊情况，由导师组长与导师</w:t>
      </w:r>
      <w:r>
        <w:rPr>
          <w:rFonts w:hint="eastAsia" w:ascii="宋体" w:hAnsi="宋体" w:cs="宋体"/>
          <w:sz w:val="24"/>
          <w:lang w:val="en-US" w:eastAsia="zh-CN"/>
        </w:rPr>
        <w:t>协商</w:t>
      </w:r>
      <w:r>
        <w:rPr>
          <w:rFonts w:hint="eastAsia" w:ascii="宋体" w:hAnsi="宋体" w:cs="宋体"/>
          <w:sz w:val="24"/>
        </w:rPr>
        <w:t>解决。</w:t>
      </w:r>
    </w:p>
    <w:p w14:paraId="290E71B3">
      <w:pPr>
        <w:spacing w:line="360" w:lineRule="auto"/>
        <w:ind w:firstLine="480" w:firstLineChars="200"/>
        <w:jc w:val="left"/>
        <w:rPr>
          <w:rFonts w:hint="eastAsia" w:ascii="宋体" w:hAnsi="宋体" w:cs="宋体"/>
          <w:sz w:val="24"/>
        </w:rPr>
      </w:pPr>
      <w:r>
        <w:rPr>
          <w:rFonts w:ascii="宋体" w:hAnsi="宋体" w:cs="宋体"/>
          <w:sz w:val="24"/>
        </w:rPr>
        <w:t>3</w:t>
      </w:r>
      <w:r>
        <w:rPr>
          <w:rFonts w:hint="eastAsia" w:ascii="宋体" w:hAnsi="宋体" w:cs="宋体"/>
          <w:sz w:val="24"/>
        </w:rPr>
        <w:t>．充分发挥学科的综合优势和学术群体的作用，每位导师每届指导学生原则上不超过</w:t>
      </w:r>
      <w:r>
        <w:rPr>
          <w:rFonts w:ascii="宋体" w:hAnsi="宋体" w:cs="宋体"/>
          <w:sz w:val="24"/>
        </w:rPr>
        <w:t>5</w:t>
      </w:r>
      <w:r>
        <w:rPr>
          <w:rFonts w:hint="eastAsia" w:ascii="宋体" w:hAnsi="宋体" w:cs="宋体"/>
          <w:sz w:val="24"/>
        </w:rPr>
        <w:t>名，新增导师首次招生原则上指导</w:t>
      </w:r>
      <w:r>
        <w:rPr>
          <w:rFonts w:ascii="宋体" w:hAnsi="宋体" w:cs="宋体"/>
          <w:sz w:val="24"/>
        </w:rPr>
        <w:t>1—2</w:t>
      </w:r>
      <w:r>
        <w:rPr>
          <w:rFonts w:hint="eastAsia" w:ascii="宋体" w:hAnsi="宋体" w:cs="宋体"/>
          <w:sz w:val="24"/>
        </w:rPr>
        <w:t>名学生。</w:t>
      </w:r>
    </w:p>
    <w:p w14:paraId="48E7EF9A">
      <w:pPr>
        <w:spacing w:line="360" w:lineRule="auto"/>
        <w:ind w:firstLine="480" w:firstLineChars="200"/>
        <w:jc w:val="left"/>
        <w:rPr>
          <w:rFonts w:hint="eastAsia" w:ascii="宋体" w:hAnsi="宋体" w:cs="宋体"/>
          <w:sz w:val="24"/>
        </w:rPr>
      </w:pPr>
      <w:r>
        <w:rPr>
          <w:rFonts w:ascii="宋体" w:hAnsi="宋体" w:cs="宋体"/>
          <w:sz w:val="24"/>
        </w:rPr>
        <w:t>4</w:t>
      </w:r>
      <w:r>
        <w:rPr>
          <w:rFonts w:hint="eastAsia" w:ascii="宋体" w:hAnsi="宋体" w:cs="宋体"/>
          <w:sz w:val="24"/>
        </w:rPr>
        <w:t>．贯彻因材施教的原则，充分发挥硕士生的个人才能和特长，对研究生的学习重点、学习时间和方式、学位论文的选题，根据每个硕士生的基础和具体情况进行安排。</w:t>
      </w:r>
      <w:r>
        <w:rPr>
          <w:rFonts w:ascii="宋体" w:hAnsi="宋体" w:cs="宋体"/>
          <w:sz w:val="24"/>
        </w:rPr>
        <w:t>结合专业特点撰写</w:t>
      </w:r>
      <w:r>
        <w:rPr>
          <w:rFonts w:hint="eastAsia" w:ascii="宋体" w:hAnsi="宋体" w:cs="宋体"/>
          <w:sz w:val="24"/>
        </w:rPr>
        <w:t>学位论文。</w:t>
      </w:r>
    </w:p>
    <w:p w14:paraId="15059202">
      <w:pPr>
        <w:spacing w:line="440" w:lineRule="exact"/>
        <w:ind w:firstLine="560" w:firstLineChars="200"/>
        <w:rPr>
          <w:rFonts w:eastAsia="黑体"/>
          <w:bCs/>
          <w:sz w:val="28"/>
          <w:szCs w:val="28"/>
        </w:rPr>
      </w:pPr>
      <w:r>
        <w:rPr>
          <w:rFonts w:eastAsia="黑体"/>
          <w:bCs/>
          <w:sz w:val="28"/>
          <w:szCs w:val="28"/>
        </w:rPr>
        <w:t>七、中期筛选</w:t>
      </w:r>
    </w:p>
    <w:p w14:paraId="0462E09F">
      <w:pPr>
        <w:keepNext w:val="0"/>
        <w:keepLines w:val="0"/>
        <w:pageBreakBefore w:val="0"/>
        <w:widowControl w:val="0"/>
        <w:kinsoku/>
        <w:wordWrap/>
        <w:overflowPunct/>
        <w:topLinePunct w:val="0"/>
        <w:autoSpaceDE/>
        <w:autoSpaceDN/>
        <w:bidi w:val="0"/>
        <w:adjustRightInd/>
        <w:snapToGrid/>
        <w:spacing w:before="156" w:beforeLines="50" w:line="360" w:lineRule="auto"/>
        <w:ind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0B712114">
      <w:pPr>
        <w:spacing w:line="440" w:lineRule="exact"/>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429B1676">
      <w:pPr>
        <w:widowControl/>
        <w:spacing w:before="105" w:after="105" w:line="360" w:lineRule="auto"/>
        <w:ind w:firstLine="482"/>
        <w:jc w:val="left"/>
        <w:rPr>
          <w:rFonts w:hint="eastAsia" w:eastAsia="宋体"/>
          <w:bCs/>
          <w:color w:val="222222"/>
          <w:kern w:val="0"/>
          <w:sz w:val="24"/>
          <w:lang w:eastAsia="zh-CN"/>
        </w:rPr>
      </w:pPr>
      <w:r>
        <w:rPr>
          <w:bCs/>
          <w:color w:val="222222"/>
          <w:kern w:val="0"/>
          <w:sz w:val="24"/>
        </w:rPr>
        <w:t>1.总体要求</w:t>
      </w:r>
      <w:r>
        <w:rPr>
          <w:rFonts w:hint="eastAsia"/>
          <w:bCs/>
          <w:color w:val="222222"/>
          <w:kern w:val="0"/>
          <w:sz w:val="24"/>
        </w:rPr>
        <w:t>：</w:t>
      </w:r>
      <w:r>
        <w:rPr>
          <w:bCs/>
          <w:color w:val="222222"/>
          <w:kern w:val="0"/>
          <w:sz w:val="24"/>
        </w:rPr>
        <w:t>按照《河北大学关于开展2025版研究生培养方案修订工作的指导意见》（校政字〔2025〕</w:t>
      </w:r>
      <w:r>
        <w:rPr>
          <w:rFonts w:hint="eastAsia"/>
          <w:bCs/>
          <w:color w:val="222222"/>
          <w:kern w:val="0"/>
          <w:sz w:val="24"/>
          <w:vertAlign w:val="baseline"/>
          <w:lang w:val="en-US" w:eastAsia="zh-CN"/>
        </w:rPr>
        <w:t>9</w:t>
      </w:r>
      <w:r>
        <w:rPr>
          <w:bCs/>
          <w:color w:val="222222"/>
          <w:kern w:val="0"/>
          <w:sz w:val="24"/>
        </w:rPr>
        <w:t>号）规定，硕士研究生论文开题与答辩时间间隔原则上不少于12个月。学位（毕业）论文应当表明作者具有独立从事学术研究工作的能力</w:t>
      </w:r>
      <w:r>
        <w:rPr>
          <w:rFonts w:hint="eastAsia"/>
          <w:bCs/>
          <w:color w:val="222222"/>
          <w:kern w:val="0"/>
          <w:sz w:val="24"/>
          <w:lang w:eastAsia="zh-CN"/>
        </w:rPr>
        <w:t>。</w:t>
      </w:r>
    </w:p>
    <w:p w14:paraId="125B924D">
      <w:pPr>
        <w:widowControl/>
        <w:spacing w:before="105" w:after="105" w:line="360" w:lineRule="auto"/>
        <w:ind w:firstLine="482"/>
        <w:jc w:val="left"/>
        <w:rPr>
          <w:bCs/>
          <w:color w:val="222222"/>
          <w:kern w:val="0"/>
          <w:sz w:val="24"/>
        </w:rPr>
      </w:pPr>
      <w:r>
        <w:rPr>
          <w:bCs/>
          <w:color w:val="222222"/>
          <w:kern w:val="0"/>
          <w:sz w:val="24"/>
        </w:rPr>
        <w:t>2.开题</w:t>
      </w:r>
      <w:r>
        <w:rPr>
          <w:rFonts w:hint="eastAsia"/>
          <w:bCs/>
          <w:color w:val="222222"/>
          <w:kern w:val="0"/>
          <w:sz w:val="24"/>
        </w:rPr>
        <w:t>：</w:t>
      </w:r>
      <w:r>
        <w:rPr>
          <w:bCs/>
          <w:color w:val="222222"/>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w:t>
      </w:r>
      <w:r>
        <w:rPr>
          <w:rFonts w:hint="eastAsia"/>
          <w:bCs/>
          <w:color w:val="222222"/>
          <w:kern w:val="0"/>
          <w:sz w:val="24"/>
          <w:lang w:val="en-US" w:eastAsia="zh-CN"/>
        </w:rPr>
        <w:t>内容</w:t>
      </w:r>
      <w:r>
        <w:rPr>
          <w:bCs/>
          <w:color w:val="222222"/>
          <w:kern w:val="0"/>
          <w:sz w:val="24"/>
        </w:rPr>
        <w:t>。</w:t>
      </w:r>
    </w:p>
    <w:p w14:paraId="53FEFD7A">
      <w:pPr>
        <w:widowControl/>
        <w:spacing w:before="105" w:after="105" w:line="360" w:lineRule="auto"/>
        <w:ind w:firstLine="482"/>
        <w:jc w:val="left"/>
        <w:rPr>
          <w:bCs/>
          <w:color w:val="222222"/>
          <w:kern w:val="0"/>
          <w:sz w:val="24"/>
        </w:rPr>
      </w:pPr>
      <w:r>
        <w:rPr>
          <w:bCs/>
          <w:color w:val="222222"/>
          <w:kern w:val="0"/>
          <w:sz w:val="24"/>
        </w:rPr>
        <w:t>原则上在入学后第3学期（最迟</w:t>
      </w:r>
      <w:r>
        <w:rPr>
          <w:rFonts w:hint="eastAsia"/>
          <w:bCs/>
          <w:color w:val="222222"/>
          <w:kern w:val="0"/>
          <w:sz w:val="24"/>
          <w:lang w:val="en-US" w:eastAsia="zh-CN"/>
        </w:rPr>
        <w:t>在</w:t>
      </w:r>
      <w:r>
        <w:rPr>
          <w:bCs/>
          <w:color w:val="222222"/>
          <w:kern w:val="0"/>
          <w:sz w:val="24"/>
        </w:rPr>
        <w:t>第4学期）完成开题。开题由3-5名具有高级专业技术职务人员参加，以学术报告的方式进行。</w:t>
      </w:r>
    </w:p>
    <w:p w14:paraId="36961AA3">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C24BC1">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64FD3E00">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5.预答辩：学位申请人须进行学位论文预答辩。预答辩通过者，方可进入学位论文评阅、学位论文答辩等环节</w:t>
      </w:r>
      <w:r>
        <w:rPr>
          <w:rFonts w:hint="eastAsia"/>
          <w:bCs/>
          <w:color w:val="222222"/>
          <w:kern w:val="0"/>
          <w:sz w:val="24"/>
          <w:lang w:eastAsia="zh-CN"/>
        </w:rPr>
        <w:t>。</w:t>
      </w:r>
      <w:r>
        <w:rPr>
          <w:bCs/>
          <w:color w:val="222222"/>
          <w:kern w:val="0"/>
          <w:sz w:val="24"/>
        </w:rPr>
        <w:t>学位（毕业）论文预答辩在正式答辩前3个月进行。</w:t>
      </w:r>
    </w:p>
    <w:p w14:paraId="7361B1E9">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w:t>
      </w:r>
      <w:r>
        <w:rPr>
          <w:rFonts w:hint="eastAsia"/>
          <w:bCs/>
          <w:color w:val="222222"/>
          <w:kern w:val="0"/>
          <w:sz w:val="24"/>
        </w:rPr>
        <w:t>学院</w:t>
      </w:r>
      <w:r>
        <w:rPr>
          <w:bCs/>
          <w:color w:val="222222"/>
          <w:kern w:val="0"/>
          <w:sz w:val="24"/>
        </w:rPr>
        <w:t>依据相关规定进行匿名评审。评阅结果及异议处理按照《河北大学研究生学位论文或者实践成果评审管理办法》（校政字〔2025〕8号）执行。</w:t>
      </w:r>
    </w:p>
    <w:p w14:paraId="51E8CE54">
      <w:pPr>
        <w:keepNext w:val="0"/>
        <w:keepLines w:val="0"/>
        <w:pageBreakBefore w:val="0"/>
        <w:widowControl/>
        <w:kinsoku/>
        <w:wordWrap/>
        <w:overflowPunct/>
        <w:topLinePunct w:val="0"/>
        <w:autoSpaceDE/>
        <w:autoSpaceDN/>
        <w:bidi w:val="0"/>
        <w:adjustRightInd/>
        <w:snapToGrid/>
        <w:spacing w:before="105" w:after="105" w:line="360" w:lineRule="auto"/>
        <w:ind w:firstLine="482"/>
        <w:jc w:val="left"/>
        <w:textAlignment w:val="auto"/>
        <w:rPr>
          <w:bCs/>
          <w:color w:val="222222"/>
          <w:kern w:val="0"/>
          <w:sz w:val="24"/>
        </w:rPr>
      </w:pPr>
      <w:r>
        <w:rPr>
          <w:bCs/>
          <w:color w:val="222222"/>
          <w:kern w:val="0"/>
          <w:sz w:val="24"/>
        </w:rPr>
        <w:t>7.答辩：学位（毕业）论文答辩按照《河北大学博士、硕士学位授予工作实施细则》（校政字〔2025〕7号）执行。</w:t>
      </w:r>
    </w:p>
    <w:p w14:paraId="25BFBB7E">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ACFDF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w:t>
      </w:r>
      <w:bookmarkStart w:id="1" w:name="_GoBack"/>
      <w:bookmarkEnd w:id="1"/>
      <w:r>
        <w:rPr>
          <w:rFonts w:eastAsiaTheme="minorEastAsia"/>
          <w:bCs/>
          <w:sz w:val="24"/>
        </w:rPr>
        <w:t>格，获得规定的学分。</w:t>
      </w:r>
    </w:p>
    <w:p w14:paraId="4DFADC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10次学术活动，并撰写学术报告小结；以主讲人或宣讲人身份，参加在校内外举行的学术报告或学术讲座不少于1次</w:t>
      </w:r>
      <w:r>
        <w:rPr>
          <w:rFonts w:eastAsiaTheme="minorEastAsia"/>
          <w:iCs/>
          <w:color w:val="000000"/>
          <w:sz w:val="24"/>
        </w:rPr>
        <w:t>。</w:t>
      </w:r>
    </w:p>
    <w:p w14:paraId="4FFF3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9ECAD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4CDFF817">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035A4F6">
      <w:pPr>
        <w:spacing w:line="360" w:lineRule="auto"/>
        <w:ind w:firstLine="480" w:firstLineChars="200"/>
        <w:rPr>
          <w:rFonts w:hint="eastAsia" w:eastAsiaTheme="minorEastAsia"/>
          <w:i/>
          <w:color w:val="FF0000"/>
          <w:sz w:val="24"/>
          <w:lang w:eastAsia="zh-CN"/>
        </w:rPr>
      </w:pPr>
      <w:r>
        <w:rPr>
          <w:rFonts w:hint="eastAsia" w:eastAsiaTheme="minorEastAsia"/>
          <w:iCs/>
          <w:sz w:val="24"/>
          <w:lang w:val="en-US" w:eastAsia="zh-CN"/>
        </w:rPr>
        <w:t>成果认定执行</w:t>
      </w:r>
      <w:r>
        <w:rPr>
          <w:rFonts w:hint="eastAsia" w:eastAsiaTheme="minorEastAsia"/>
          <w:iCs/>
          <w:sz w:val="24"/>
        </w:rPr>
        <w:t>《文学院关于研究生申请学位取得创新性成果的规定》</w:t>
      </w:r>
      <w:r>
        <w:rPr>
          <w:rFonts w:hint="eastAsia" w:eastAsiaTheme="minorEastAsia"/>
          <w:iCs/>
          <w:sz w:val="24"/>
          <w:lang w:eastAsia="zh-CN"/>
        </w:rPr>
        <w:t>。</w:t>
      </w:r>
    </w:p>
    <w:p w14:paraId="2A618CB5">
      <w:pPr>
        <w:spacing w:line="440" w:lineRule="exact"/>
        <w:ind w:firstLine="560" w:firstLineChars="200"/>
        <w:rPr>
          <w:rFonts w:eastAsia="黑体"/>
          <w:bCs/>
          <w:sz w:val="28"/>
          <w:szCs w:val="28"/>
        </w:rPr>
      </w:pPr>
      <w:r>
        <w:rPr>
          <w:rFonts w:eastAsia="黑体"/>
          <w:bCs/>
          <w:sz w:val="28"/>
          <w:szCs w:val="28"/>
        </w:rPr>
        <w:t>十一、学位授予</w:t>
      </w:r>
    </w:p>
    <w:p w14:paraId="1231F8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2B689D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0C5B0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sz w:val="24"/>
          <w:highlight w:val="yellow"/>
        </w:rPr>
      </w:pPr>
      <w:r>
        <w:rPr>
          <w:rFonts w:hint="eastAsia" w:asciiTheme="minorEastAsia" w:hAnsiTheme="minorEastAsia" w:eastAsiaTheme="minorEastAsia"/>
          <w:sz w:val="24"/>
          <w:lang w:val="en-US" w:eastAsia="zh-CN"/>
        </w:rPr>
        <w:t>本专业</w:t>
      </w:r>
      <w:r>
        <w:rPr>
          <w:rFonts w:hint="eastAsia" w:eastAsiaTheme="minorEastAsia"/>
          <w:sz w:val="24"/>
        </w:rPr>
        <w:t>最低毕业学分24学分，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12</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hint="eastAsia" w:eastAsiaTheme="minorEastAsia"/>
          <w:sz w:val="24"/>
          <w:lang w:val="en-US" w:eastAsia="zh-CN"/>
        </w:rPr>
        <w:t>学</w:t>
      </w:r>
      <w:r>
        <w:rPr>
          <w:rFonts w:eastAsiaTheme="minorEastAsia"/>
          <w:sz w:val="24"/>
        </w:rPr>
        <w:t>分</w:t>
      </w:r>
      <w:r>
        <w:rPr>
          <w:rFonts w:hint="eastAsia" w:eastAsiaTheme="minorEastAsia"/>
          <w:sz w:val="24"/>
        </w:rPr>
        <w:t>。</w:t>
      </w:r>
    </w:p>
    <w:p w14:paraId="014C94DB">
      <w:pPr>
        <w:keepNext w:val="0"/>
        <w:keepLines w:val="0"/>
        <w:pageBreakBefore w:val="0"/>
        <w:widowControl w:val="0"/>
        <w:kinsoku/>
        <w:wordWrap/>
        <w:overflowPunct/>
        <w:topLinePunct w:val="0"/>
        <w:autoSpaceDE/>
        <w:autoSpaceDN/>
        <w:bidi w:val="0"/>
        <w:adjustRightInd/>
        <w:snapToGrid/>
        <w:spacing w:line="360" w:lineRule="auto"/>
        <w:textAlignment w:val="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16C9994E">
      <w:pPr>
        <w:spacing w:after="156" w:afterLines="50" w:line="440" w:lineRule="exact"/>
        <w:ind w:firstLine="482" w:firstLineChars="200"/>
        <w:jc w:val="center"/>
        <w:rPr>
          <w:rFonts w:eastAsiaTheme="minorEastAsia"/>
          <w:b/>
          <w:bCs/>
          <w:sz w:val="24"/>
        </w:rPr>
      </w:pPr>
      <w:r>
        <w:rPr>
          <w:rFonts w:hint="eastAsia" w:eastAsiaTheme="minorEastAsia"/>
          <w:b/>
          <w:bCs/>
          <w:sz w:val="24"/>
        </w:rPr>
        <w:t>比较文学与世界文学</w:t>
      </w:r>
      <w:r>
        <w:rPr>
          <w:rFonts w:eastAsiaTheme="minorEastAsia"/>
          <w:b/>
          <w:bCs/>
          <w:sz w:val="24"/>
        </w:rPr>
        <w:t>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6848F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1456E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7B0FF9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5EF55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74C6C7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4B397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BE49EA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3904D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E133BF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488C7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BD0FF9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2CD8CB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C93A4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4312B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1FA0B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24D8B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5E9A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D60B84">
            <w:pPr>
              <w:jc w:val="center"/>
              <w:rPr>
                <w:b/>
                <w:color w:val="000000" w:themeColor="text1"/>
                <w:sz w:val="18"/>
                <w:szCs w:val="18"/>
                <w14:textFill>
                  <w14:solidFill>
                    <w14:schemeClr w14:val="tx1"/>
                  </w14:solidFill>
                </w14:textFill>
              </w:rPr>
            </w:pPr>
          </w:p>
        </w:tc>
        <w:tc>
          <w:tcPr>
            <w:tcW w:w="1226" w:type="dxa"/>
            <w:vMerge w:val="continue"/>
            <w:vAlign w:val="center"/>
          </w:tcPr>
          <w:p w14:paraId="73651A2D">
            <w:pPr>
              <w:jc w:val="center"/>
              <w:rPr>
                <w:b/>
                <w:color w:val="000000" w:themeColor="text1"/>
                <w:sz w:val="18"/>
                <w:szCs w:val="18"/>
                <w14:textFill>
                  <w14:solidFill>
                    <w14:schemeClr w14:val="tx1"/>
                  </w14:solidFill>
                </w14:textFill>
              </w:rPr>
            </w:pPr>
          </w:p>
        </w:tc>
        <w:tc>
          <w:tcPr>
            <w:tcW w:w="3516" w:type="dxa"/>
            <w:vAlign w:val="center"/>
          </w:tcPr>
          <w:p w14:paraId="6B81848E">
            <w:pPr>
              <w:rPr>
                <w:sz w:val="18"/>
                <w:szCs w:val="18"/>
              </w:rPr>
            </w:pPr>
            <w:r>
              <w:rPr>
                <w:sz w:val="18"/>
                <w:szCs w:val="18"/>
              </w:rPr>
              <w:t>通用学术英语</w:t>
            </w:r>
          </w:p>
        </w:tc>
        <w:tc>
          <w:tcPr>
            <w:tcW w:w="1081" w:type="dxa"/>
            <w:vAlign w:val="center"/>
          </w:tcPr>
          <w:p w14:paraId="5376DF4A">
            <w:pPr>
              <w:jc w:val="center"/>
              <w:rPr>
                <w:sz w:val="18"/>
                <w:szCs w:val="18"/>
              </w:rPr>
            </w:pPr>
            <w:r>
              <w:rPr>
                <w:sz w:val="18"/>
                <w:szCs w:val="18"/>
              </w:rPr>
              <w:t>TS0000002</w:t>
            </w:r>
          </w:p>
        </w:tc>
        <w:tc>
          <w:tcPr>
            <w:tcW w:w="709" w:type="dxa"/>
            <w:vAlign w:val="center"/>
          </w:tcPr>
          <w:p w14:paraId="1A2BE89E">
            <w:pPr>
              <w:jc w:val="center"/>
              <w:rPr>
                <w:sz w:val="18"/>
                <w:szCs w:val="18"/>
              </w:rPr>
            </w:pPr>
            <w:r>
              <w:rPr>
                <w:sz w:val="18"/>
                <w:szCs w:val="18"/>
              </w:rPr>
              <w:t>2</w:t>
            </w:r>
          </w:p>
        </w:tc>
        <w:tc>
          <w:tcPr>
            <w:tcW w:w="709" w:type="dxa"/>
            <w:vAlign w:val="center"/>
          </w:tcPr>
          <w:p w14:paraId="4728D310">
            <w:pPr>
              <w:jc w:val="center"/>
              <w:rPr>
                <w:sz w:val="18"/>
                <w:szCs w:val="18"/>
              </w:rPr>
            </w:pPr>
            <w:r>
              <w:rPr>
                <w:sz w:val="18"/>
                <w:szCs w:val="18"/>
              </w:rPr>
              <w:t>1</w:t>
            </w:r>
          </w:p>
        </w:tc>
        <w:tc>
          <w:tcPr>
            <w:tcW w:w="1045" w:type="dxa"/>
            <w:vAlign w:val="center"/>
          </w:tcPr>
          <w:p w14:paraId="558456F7">
            <w:pPr>
              <w:jc w:val="center"/>
              <w:rPr>
                <w:sz w:val="18"/>
                <w:szCs w:val="18"/>
              </w:rPr>
            </w:pPr>
            <w:r>
              <w:rPr>
                <w:rFonts w:hint="eastAsia"/>
                <w:sz w:val="18"/>
                <w:szCs w:val="18"/>
              </w:rPr>
              <w:t>考查</w:t>
            </w:r>
          </w:p>
        </w:tc>
      </w:tr>
      <w:tr w14:paraId="0FC87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F119D8A">
            <w:pPr>
              <w:jc w:val="center"/>
              <w:rPr>
                <w:b/>
                <w:color w:val="000000" w:themeColor="text1"/>
                <w:sz w:val="18"/>
                <w:szCs w:val="18"/>
                <w14:textFill>
                  <w14:solidFill>
                    <w14:schemeClr w14:val="tx1"/>
                  </w14:solidFill>
                </w14:textFill>
              </w:rPr>
            </w:pPr>
          </w:p>
        </w:tc>
        <w:tc>
          <w:tcPr>
            <w:tcW w:w="1226" w:type="dxa"/>
            <w:vAlign w:val="center"/>
          </w:tcPr>
          <w:p w14:paraId="59E34B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1DE7BE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b/>
                <w:color w:val="000000" w:themeColor="text1"/>
                <w:sz w:val="18"/>
                <w:szCs w:val="18"/>
                <w14:textFill>
                  <w14:solidFill>
                    <w14:schemeClr w14:val="tx1"/>
                  </w14:solidFill>
                </w14:textFill>
              </w:rPr>
              <w:t>学分）</w:t>
            </w:r>
          </w:p>
        </w:tc>
        <w:tc>
          <w:tcPr>
            <w:tcW w:w="3516" w:type="dxa"/>
            <w:vAlign w:val="center"/>
          </w:tcPr>
          <w:p w14:paraId="3B53365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238D5CE0">
            <w:pPr>
              <w:jc w:val="center"/>
              <w:rPr>
                <w:i/>
                <w:color w:val="FF0000"/>
                <w:sz w:val="18"/>
                <w:szCs w:val="18"/>
                <w:highlight w:val="yellow"/>
              </w:rPr>
            </w:pPr>
            <w:ins w:id="0" w:author="杰" w:date="2025-06-24T09:35:45Z">
              <w:r>
                <w:rPr>
                  <w:rFonts w:hint="eastAsia"/>
                  <w:sz w:val="18"/>
                  <w:szCs w:val="18"/>
                </w:rPr>
                <w:t>XS0100003</w:t>
              </w:r>
            </w:ins>
          </w:p>
        </w:tc>
        <w:tc>
          <w:tcPr>
            <w:tcW w:w="709" w:type="dxa"/>
            <w:vAlign w:val="center"/>
          </w:tcPr>
          <w:p w14:paraId="1FEF40F6">
            <w:pPr>
              <w:jc w:val="center"/>
            </w:pPr>
            <w:r>
              <w:rPr>
                <w:rFonts w:hint="eastAsia"/>
              </w:rPr>
              <w:t>1</w:t>
            </w:r>
          </w:p>
        </w:tc>
        <w:tc>
          <w:tcPr>
            <w:tcW w:w="709" w:type="dxa"/>
            <w:vAlign w:val="center"/>
          </w:tcPr>
          <w:p w14:paraId="7FB05993">
            <w:pPr>
              <w:jc w:val="center"/>
            </w:pPr>
            <w:r>
              <w:rPr>
                <w:rFonts w:hint="eastAsia"/>
                <w:iCs/>
                <w:sz w:val="18"/>
                <w:szCs w:val="18"/>
              </w:rPr>
              <w:t>2</w:t>
            </w:r>
          </w:p>
        </w:tc>
        <w:tc>
          <w:tcPr>
            <w:tcW w:w="1045" w:type="dxa"/>
            <w:vAlign w:val="center"/>
          </w:tcPr>
          <w:p w14:paraId="6FDB876F">
            <w:pPr>
              <w:jc w:val="center"/>
              <w:rPr>
                <w:i/>
                <w:sz w:val="18"/>
                <w:szCs w:val="18"/>
              </w:rPr>
            </w:pPr>
            <w:r>
              <w:rPr>
                <w:rFonts w:hint="eastAsia"/>
                <w:sz w:val="18"/>
                <w:szCs w:val="18"/>
              </w:rPr>
              <w:t>考查</w:t>
            </w:r>
          </w:p>
        </w:tc>
      </w:tr>
      <w:tr w14:paraId="0BE3BA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E1025C">
            <w:pPr>
              <w:jc w:val="center"/>
              <w:rPr>
                <w:b/>
                <w:color w:val="000000" w:themeColor="text1"/>
                <w:sz w:val="18"/>
                <w:szCs w:val="18"/>
                <w14:textFill>
                  <w14:solidFill>
                    <w14:schemeClr w14:val="tx1"/>
                  </w14:solidFill>
                </w14:textFill>
              </w:rPr>
            </w:pPr>
          </w:p>
        </w:tc>
        <w:tc>
          <w:tcPr>
            <w:tcW w:w="1226" w:type="dxa"/>
            <w:vMerge w:val="restart"/>
            <w:vAlign w:val="center"/>
          </w:tcPr>
          <w:p w14:paraId="1AF6D0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9B164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65F4A713">
            <w:r>
              <w:rPr>
                <w:sz w:val="18"/>
                <w:szCs w:val="18"/>
              </w:rPr>
              <w:t>文献阅读与论文写作</w:t>
            </w:r>
          </w:p>
        </w:tc>
        <w:tc>
          <w:tcPr>
            <w:tcW w:w="1081" w:type="dxa"/>
            <w:vAlign w:val="center"/>
          </w:tcPr>
          <w:p w14:paraId="3659F40F">
            <w:pPr>
              <w:jc w:val="center"/>
              <w:rPr>
                <w:color w:val="FF0000"/>
                <w:sz w:val="18"/>
                <w:szCs w:val="18"/>
              </w:rPr>
            </w:pPr>
            <w:r>
              <w:rPr>
                <w:rFonts w:hint="eastAsia"/>
                <w:sz w:val="18"/>
                <w:szCs w:val="18"/>
              </w:rPr>
              <w:t>XS0100001</w:t>
            </w:r>
          </w:p>
        </w:tc>
        <w:tc>
          <w:tcPr>
            <w:tcW w:w="709" w:type="dxa"/>
            <w:vAlign w:val="center"/>
          </w:tcPr>
          <w:p w14:paraId="4E711186">
            <w:pPr>
              <w:jc w:val="center"/>
              <w:rPr>
                <w:color w:val="FF0000"/>
              </w:rPr>
            </w:pPr>
            <w:r>
              <w:rPr>
                <w:rFonts w:hint="eastAsia"/>
                <w:sz w:val="18"/>
                <w:szCs w:val="18"/>
              </w:rPr>
              <w:t>3</w:t>
            </w:r>
          </w:p>
        </w:tc>
        <w:tc>
          <w:tcPr>
            <w:tcW w:w="709" w:type="dxa"/>
            <w:vAlign w:val="center"/>
          </w:tcPr>
          <w:p w14:paraId="488313B4">
            <w:pPr>
              <w:jc w:val="center"/>
              <w:rPr>
                <w:color w:val="FF0000"/>
              </w:rPr>
            </w:pPr>
            <w:r>
              <w:rPr>
                <w:rFonts w:hint="eastAsia"/>
                <w:sz w:val="18"/>
                <w:szCs w:val="18"/>
              </w:rPr>
              <w:t>1</w:t>
            </w:r>
          </w:p>
        </w:tc>
        <w:tc>
          <w:tcPr>
            <w:tcW w:w="1045" w:type="dxa"/>
            <w:vAlign w:val="center"/>
          </w:tcPr>
          <w:p w14:paraId="0FE1E40D">
            <w:pPr>
              <w:jc w:val="center"/>
              <w:rPr>
                <w:color w:val="FF0000"/>
                <w:sz w:val="18"/>
                <w:szCs w:val="18"/>
              </w:rPr>
            </w:pPr>
            <w:r>
              <w:rPr>
                <w:rFonts w:hint="eastAsia"/>
                <w:sz w:val="18"/>
                <w:szCs w:val="18"/>
              </w:rPr>
              <w:t>考查</w:t>
            </w:r>
          </w:p>
        </w:tc>
      </w:tr>
      <w:tr w14:paraId="2D27E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AB21FEF">
            <w:pPr>
              <w:jc w:val="center"/>
              <w:rPr>
                <w:b/>
                <w:color w:val="000000" w:themeColor="text1"/>
                <w:sz w:val="18"/>
                <w:szCs w:val="18"/>
                <w14:textFill>
                  <w14:solidFill>
                    <w14:schemeClr w14:val="tx1"/>
                  </w14:solidFill>
                </w14:textFill>
              </w:rPr>
            </w:pPr>
          </w:p>
        </w:tc>
        <w:tc>
          <w:tcPr>
            <w:tcW w:w="1226" w:type="dxa"/>
            <w:vMerge w:val="continue"/>
            <w:vAlign w:val="center"/>
          </w:tcPr>
          <w:p w14:paraId="5D7A7CA1">
            <w:pPr>
              <w:jc w:val="center"/>
              <w:rPr>
                <w:b/>
                <w:color w:val="000000" w:themeColor="text1"/>
                <w:sz w:val="18"/>
                <w:szCs w:val="18"/>
                <w14:textFill>
                  <w14:solidFill>
                    <w14:schemeClr w14:val="tx1"/>
                  </w14:solidFill>
                </w14:textFill>
              </w:rPr>
            </w:pPr>
          </w:p>
        </w:tc>
        <w:tc>
          <w:tcPr>
            <w:tcW w:w="3516" w:type="dxa"/>
            <w:vAlign w:val="center"/>
          </w:tcPr>
          <w:p w14:paraId="0E64DB3A">
            <w:r>
              <w:rPr>
                <w:rFonts w:hint="eastAsia"/>
                <w:sz w:val="18"/>
                <w:szCs w:val="18"/>
              </w:rPr>
              <w:t>中国语言文学研究的前沿与热点问题</w:t>
            </w:r>
          </w:p>
        </w:tc>
        <w:tc>
          <w:tcPr>
            <w:tcW w:w="1081" w:type="dxa"/>
            <w:vAlign w:val="center"/>
          </w:tcPr>
          <w:p w14:paraId="37B463B1">
            <w:pPr>
              <w:jc w:val="center"/>
              <w:rPr>
                <w:color w:val="FF0000"/>
                <w:sz w:val="18"/>
                <w:szCs w:val="18"/>
              </w:rPr>
            </w:pPr>
            <w:r>
              <w:rPr>
                <w:rFonts w:hint="eastAsia"/>
                <w:sz w:val="18"/>
                <w:szCs w:val="18"/>
              </w:rPr>
              <w:t>XS0100002</w:t>
            </w:r>
          </w:p>
        </w:tc>
        <w:tc>
          <w:tcPr>
            <w:tcW w:w="709" w:type="dxa"/>
            <w:vAlign w:val="center"/>
          </w:tcPr>
          <w:p w14:paraId="0BBF1B40">
            <w:pPr>
              <w:jc w:val="center"/>
              <w:rPr>
                <w:color w:val="FF0000"/>
              </w:rPr>
            </w:pPr>
            <w:r>
              <w:rPr>
                <w:rFonts w:hint="eastAsia"/>
                <w:sz w:val="18"/>
                <w:szCs w:val="18"/>
              </w:rPr>
              <w:t>3</w:t>
            </w:r>
          </w:p>
        </w:tc>
        <w:tc>
          <w:tcPr>
            <w:tcW w:w="709" w:type="dxa"/>
            <w:vAlign w:val="center"/>
          </w:tcPr>
          <w:p w14:paraId="37F7636C">
            <w:pPr>
              <w:jc w:val="center"/>
              <w:rPr>
                <w:color w:val="FF0000"/>
              </w:rPr>
            </w:pPr>
            <w:r>
              <w:rPr>
                <w:rFonts w:hint="eastAsia"/>
                <w:sz w:val="18"/>
                <w:szCs w:val="18"/>
              </w:rPr>
              <w:t>1</w:t>
            </w:r>
          </w:p>
        </w:tc>
        <w:tc>
          <w:tcPr>
            <w:tcW w:w="1045" w:type="dxa"/>
            <w:vAlign w:val="center"/>
          </w:tcPr>
          <w:p w14:paraId="6C8CBD31">
            <w:pPr>
              <w:jc w:val="center"/>
              <w:rPr>
                <w:color w:val="FF0000"/>
                <w:sz w:val="18"/>
                <w:szCs w:val="18"/>
              </w:rPr>
            </w:pPr>
            <w:r>
              <w:rPr>
                <w:rFonts w:hint="eastAsia"/>
                <w:sz w:val="18"/>
                <w:szCs w:val="18"/>
              </w:rPr>
              <w:t>考查（中国现当代文学专业）</w:t>
            </w:r>
          </w:p>
        </w:tc>
      </w:tr>
      <w:tr w14:paraId="7E0A1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F84364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9FA4C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BF608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2B956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52C4B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CEA26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75E6D1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B289D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27BAB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E303430">
            <w:pPr>
              <w:jc w:val="center"/>
              <w:rPr>
                <w:b/>
                <w:color w:val="000000" w:themeColor="text1"/>
                <w:sz w:val="18"/>
                <w:szCs w:val="18"/>
                <w14:textFill>
                  <w14:solidFill>
                    <w14:schemeClr w14:val="tx1"/>
                  </w14:solidFill>
                </w14:textFill>
              </w:rPr>
            </w:pPr>
          </w:p>
        </w:tc>
        <w:tc>
          <w:tcPr>
            <w:tcW w:w="1226" w:type="dxa"/>
            <w:vMerge w:val="continue"/>
            <w:vAlign w:val="center"/>
          </w:tcPr>
          <w:p w14:paraId="7ADC5D5B">
            <w:pPr>
              <w:jc w:val="center"/>
              <w:rPr>
                <w:b/>
                <w:color w:val="000000" w:themeColor="text1"/>
                <w:sz w:val="18"/>
                <w:szCs w:val="18"/>
                <w14:textFill>
                  <w14:solidFill>
                    <w14:schemeClr w14:val="tx1"/>
                  </w14:solidFill>
                </w14:textFill>
              </w:rPr>
            </w:pPr>
          </w:p>
        </w:tc>
        <w:tc>
          <w:tcPr>
            <w:tcW w:w="3516" w:type="dxa"/>
            <w:vAlign w:val="center"/>
          </w:tcPr>
          <w:p w14:paraId="5106826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44D121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1524B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A36B9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E833FB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09E9A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39981C">
            <w:pPr>
              <w:rPr>
                <w:b/>
                <w:color w:val="000000" w:themeColor="text1"/>
                <w:sz w:val="18"/>
                <w:szCs w:val="18"/>
                <w14:textFill>
                  <w14:solidFill>
                    <w14:schemeClr w14:val="tx1"/>
                  </w14:solidFill>
                </w14:textFill>
              </w:rPr>
            </w:pPr>
          </w:p>
        </w:tc>
        <w:tc>
          <w:tcPr>
            <w:tcW w:w="1226" w:type="dxa"/>
            <w:vMerge w:val="restart"/>
            <w:vAlign w:val="center"/>
          </w:tcPr>
          <w:p w14:paraId="7F09D870">
            <w:pPr>
              <w:adjustRightInd w:val="0"/>
              <w:snapToGrid w:val="0"/>
              <w:jc w:val="center"/>
              <w:rPr>
                <w:rFonts w:hint="default"/>
                <w:b/>
                <w:color w:val="FF0000"/>
                <w:sz w:val="18"/>
                <w:szCs w:val="18"/>
                <w:lang w:val="en-US"/>
              </w:rPr>
            </w:pPr>
            <w:r>
              <w:rPr>
                <w:rFonts w:hint="eastAsia" w:cs="宋体"/>
                <w:b/>
                <w:sz w:val="18"/>
                <w:szCs w:val="18"/>
                <w:highlight w:val="none"/>
                <w:lang w:bidi="ar"/>
              </w:rPr>
              <w:t>比较文学与世界文学</w:t>
            </w:r>
            <w:r>
              <w:rPr>
                <w:rFonts w:hint="eastAsia" w:cs="宋体"/>
                <w:b/>
                <w:sz w:val="18"/>
                <w:szCs w:val="18"/>
                <w:highlight w:val="none"/>
                <w:lang w:val="en-US" w:eastAsia="zh-CN" w:bidi="ar"/>
              </w:rPr>
              <w:t>选修课</w:t>
            </w:r>
          </w:p>
        </w:tc>
        <w:tc>
          <w:tcPr>
            <w:tcW w:w="3516" w:type="dxa"/>
            <w:shd w:val="clear" w:color="auto" w:fill="auto"/>
            <w:vAlign w:val="center"/>
          </w:tcPr>
          <w:p w14:paraId="0035751B">
            <w:pPr>
              <w:rPr>
                <w:i/>
                <w:color w:val="FF0000"/>
                <w:sz w:val="18"/>
                <w:szCs w:val="18"/>
              </w:rPr>
            </w:pPr>
            <w:r>
              <w:rPr>
                <w:rFonts w:hint="eastAsia" w:cs="宋体"/>
                <w:sz w:val="18"/>
                <w:szCs w:val="18"/>
                <w:lang w:bidi="ar"/>
              </w:rPr>
              <w:t>比较文学理论与实践</w:t>
            </w:r>
          </w:p>
        </w:tc>
        <w:tc>
          <w:tcPr>
            <w:tcW w:w="1081" w:type="dxa"/>
            <w:shd w:val="clear" w:color="auto" w:fill="auto"/>
            <w:vAlign w:val="center"/>
          </w:tcPr>
          <w:p w14:paraId="4568B978">
            <w:pPr>
              <w:jc w:val="center"/>
              <w:rPr>
                <w:color w:val="FF0000"/>
                <w:sz w:val="18"/>
                <w:szCs w:val="18"/>
              </w:rPr>
            </w:pPr>
            <w:r>
              <w:rPr>
                <w:sz w:val="18"/>
                <w:szCs w:val="18"/>
                <w:lang w:bidi="ar"/>
              </w:rPr>
              <w:t>XS0108101</w:t>
            </w:r>
          </w:p>
        </w:tc>
        <w:tc>
          <w:tcPr>
            <w:tcW w:w="709" w:type="dxa"/>
            <w:shd w:val="clear" w:color="auto" w:fill="auto"/>
            <w:vAlign w:val="center"/>
          </w:tcPr>
          <w:p w14:paraId="626F2B1D">
            <w:pPr>
              <w:jc w:val="center"/>
              <w:rPr>
                <w:color w:val="FF0000"/>
              </w:rPr>
            </w:pPr>
            <w:r>
              <w:rPr>
                <w:lang w:bidi="ar"/>
              </w:rPr>
              <w:t>2</w:t>
            </w:r>
          </w:p>
        </w:tc>
        <w:tc>
          <w:tcPr>
            <w:tcW w:w="709" w:type="dxa"/>
            <w:shd w:val="clear" w:color="auto" w:fill="auto"/>
            <w:vAlign w:val="center"/>
          </w:tcPr>
          <w:p w14:paraId="52F4C63B">
            <w:pPr>
              <w:jc w:val="center"/>
              <w:rPr>
                <w:color w:val="FF0000"/>
              </w:rPr>
            </w:pPr>
            <w:r>
              <w:rPr>
                <w:lang w:bidi="ar"/>
              </w:rPr>
              <w:t>1</w:t>
            </w:r>
          </w:p>
        </w:tc>
        <w:tc>
          <w:tcPr>
            <w:tcW w:w="1045" w:type="dxa"/>
            <w:vMerge w:val="restart"/>
            <w:vAlign w:val="center"/>
          </w:tcPr>
          <w:p w14:paraId="20FB672D">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r>
              <w:rPr>
                <w:rFonts w:hint="eastAsia"/>
                <w:sz w:val="18"/>
                <w:szCs w:val="18"/>
              </w:rPr>
              <w:t>10</w:t>
            </w:r>
            <w:r>
              <w:rPr>
                <w:color w:val="000000" w:themeColor="text1"/>
                <w:sz w:val="18"/>
                <w:szCs w:val="18"/>
                <w14:textFill>
                  <w14:solidFill>
                    <w14:schemeClr w14:val="tx1"/>
                  </w14:solidFill>
                </w14:textFill>
              </w:rPr>
              <w:t>学分</w:t>
            </w:r>
          </w:p>
        </w:tc>
      </w:tr>
      <w:tr w14:paraId="5A1F5D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F314E8">
            <w:pPr>
              <w:rPr>
                <w:b/>
                <w:color w:val="000000" w:themeColor="text1"/>
                <w:sz w:val="18"/>
                <w:szCs w:val="18"/>
                <w14:textFill>
                  <w14:solidFill>
                    <w14:schemeClr w14:val="tx1"/>
                  </w14:solidFill>
                </w14:textFill>
              </w:rPr>
            </w:pPr>
          </w:p>
        </w:tc>
        <w:tc>
          <w:tcPr>
            <w:tcW w:w="1226" w:type="dxa"/>
            <w:vMerge w:val="continue"/>
            <w:vAlign w:val="center"/>
          </w:tcPr>
          <w:p w14:paraId="480FDAAD">
            <w:pPr>
              <w:adjustRightInd w:val="0"/>
              <w:snapToGrid w:val="0"/>
              <w:jc w:val="center"/>
              <w:rPr>
                <w:b/>
                <w:color w:val="FF0000"/>
                <w:sz w:val="18"/>
                <w:szCs w:val="18"/>
              </w:rPr>
            </w:pPr>
          </w:p>
        </w:tc>
        <w:tc>
          <w:tcPr>
            <w:tcW w:w="3516" w:type="dxa"/>
            <w:shd w:val="clear" w:color="auto" w:fill="auto"/>
            <w:vAlign w:val="center"/>
          </w:tcPr>
          <w:p w14:paraId="5D8CF360">
            <w:pPr>
              <w:adjustRightInd w:val="0"/>
              <w:snapToGrid w:val="0"/>
              <w:rPr>
                <w:i/>
                <w:color w:val="FF0000"/>
                <w:sz w:val="18"/>
                <w:szCs w:val="18"/>
              </w:rPr>
            </w:pPr>
            <w:r>
              <w:rPr>
                <w:rFonts w:hint="eastAsia" w:cs="宋体"/>
                <w:sz w:val="18"/>
                <w:szCs w:val="18"/>
                <w:lang w:bidi="ar"/>
              </w:rPr>
              <w:t>世界文学经典研究</w:t>
            </w:r>
          </w:p>
        </w:tc>
        <w:tc>
          <w:tcPr>
            <w:tcW w:w="1081" w:type="dxa"/>
            <w:shd w:val="clear" w:color="auto" w:fill="auto"/>
            <w:vAlign w:val="center"/>
          </w:tcPr>
          <w:p w14:paraId="1CCB1F32">
            <w:pPr>
              <w:jc w:val="center"/>
              <w:rPr>
                <w:i/>
                <w:color w:val="FF0000"/>
                <w:sz w:val="18"/>
                <w:szCs w:val="18"/>
              </w:rPr>
            </w:pPr>
            <w:r>
              <w:rPr>
                <w:sz w:val="18"/>
                <w:szCs w:val="18"/>
                <w:lang w:bidi="ar"/>
              </w:rPr>
              <w:t>XS0108102</w:t>
            </w:r>
          </w:p>
        </w:tc>
        <w:tc>
          <w:tcPr>
            <w:tcW w:w="709" w:type="dxa"/>
            <w:shd w:val="clear" w:color="auto" w:fill="auto"/>
            <w:vAlign w:val="center"/>
          </w:tcPr>
          <w:p w14:paraId="465111FC">
            <w:pPr>
              <w:jc w:val="center"/>
              <w:rPr>
                <w:i/>
                <w:color w:val="FF0000"/>
                <w:sz w:val="18"/>
                <w:szCs w:val="18"/>
              </w:rPr>
            </w:pPr>
            <w:r>
              <w:rPr>
                <w:sz w:val="18"/>
                <w:szCs w:val="18"/>
                <w:lang w:bidi="ar"/>
              </w:rPr>
              <w:t>2</w:t>
            </w:r>
          </w:p>
        </w:tc>
        <w:tc>
          <w:tcPr>
            <w:tcW w:w="709" w:type="dxa"/>
            <w:shd w:val="clear" w:color="auto" w:fill="auto"/>
            <w:vAlign w:val="center"/>
          </w:tcPr>
          <w:p w14:paraId="19BB2F54">
            <w:pPr>
              <w:jc w:val="center"/>
              <w:rPr>
                <w:i/>
                <w:color w:val="FF0000"/>
                <w:sz w:val="18"/>
                <w:szCs w:val="18"/>
              </w:rPr>
            </w:pPr>
            <w:r>
              <w:rPr>
                <w:lang w:bidi="ar"/>
              </w:rPr>
              <w:t>2</w:t>
            </w:r>
          </w:p>
        </w:tc>
        <w:tc>
          <w:tcPr>
            <w:tcW w:w="1045" w:type="dxa"/>
            <w:vMerge w:val="continue"/>
            <w:vAlign w:val="center"/>
          </w:tcPr>
          <w:p w14:paraId="260E13F9">
            <w:pPr>
              <w:adjustRightInd w:val="0"/>
              <w:snapToGrid w:val="0"/>
              <w:jc w:val="center"/>
              <w:rPr>
                <w:color w:val="000000" w:themeColor="text1"/>
                <w:sz w:val="18"/>
                <w:szCs w:val="18"/>
                <w14:textFill>
                  <w14:solidFill>
                    <w14:schemeClr w14:val="tx1"/>
                  </w14:solidFill>
                </w14:textFill>
              </w:rPr>
            </w:pPr>
          </w:p>
        </w:tc>
      </w:tr>
      <w:tr w14:paraId="46A935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3ADEFB">
            <w:pPr>
              <w:rPr>
                <w:b/>
                <w:color w:val="000000" w:themeColor="text1"/>
                <w:sz w:val="18"/>
                <w:szCs w:val="18"/>
                <w14:textFill>
                  <w14:solidFill>
                    <w14:schemeClr w14:val="tx1"/>
                  </w14:solidFill>
                </w14:textFill>
              </w:rPr>
            </w:pPr>
          </w:p>
        </w:tc>
        <w:tc>
          <w:tcPr>
            <w:tcW w:w="1226" w:type="dxa"/>
            <w:vMerge w:val="continue"/>
          </w:tcPr>
          <w:p w14:paraId="1F9FD62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DEFEF3E">
            <w:pPr>
              <w:rPr>
                <w:i/>
                <w:color w:val="FF0000"/>
                <w:sz w:val="18"/>
                <w:szCs w:val="18"/>
              </w:rPr>
            </w:pPr>
            <w:r>
              <w:rPr>
                <w:rFonts w:hint="eastAsia" w:cs="宋体"/>
                <w:sz w:val="18"/>
                <w:szCs w:val="18"/>
                <w:lang w:bidi="ar"/>
              </w:rPr>
              <w:t>西方文论专题</w:t>
            </w:r>
          </w:p>
        </w:tc>
        <w:tc>
          <w:tcPr>
            <w:tcW w:w="1081" w:type="dxa"/>
            <w:shd w:val="clear" w:color="auto" w:fill="auto"/>
            <w:vAlign w:val="center"/>
          </w:tcPr>
          <w:p w14:paraId="4C2EA9CD">
            <w:pPr>
              <w:jc w:val="center"/>
              <w:rPr>
                <w:i/>
                <w:color w:val="FF0000"/>
                <w:sz w:val="18"/>
                <w:szCs w:val="18"/>
              </w:rPr>
            </w:pPr>
            <w:r>
              <w:rPr>
                <w:sz w:val="18"/>
                <w:szCs w:val="18"/>
                <w:lang w:bidi="ar"/>
              </w:rPr>
              <w:t>XS0108204</w:t>
            </w:r>
          </w:p>
        </w:tc>
        <w:tc>
          <w:tcPr>
            <w:tcW w:w="709" w:type="dxa"/>
            <w:shd w:val="clear" w:color="auto" w:fill="auto"/>
            <w:vAlign w:val="center"/>
          </w:tcPr>
          <w:p w14:paraId="5B982C56">
            <w:pPr>
              <w:jc w:val="center"/>
              <w:rPr>
                <w:i/>
                <w:color w:val="FF0000"/>
                <w:sz w:val="18"/>
                <w:szCs w:val="18"/>
              </w:rPr>
            </w:pPr>
            <w:r>
              <w:rPr>
                <w:lang w:bidi="ar"/>
              </w:rPr>
              <w:t>2</w:t>
            </w:r>
          </w:p>
        </w:tc>
        <w:tc>
          <w:tcPr>
            <w:tcW w:w="709" w:type="dxa"/>
            <w:shd w:val="clear" w:color="auto" w:fill="auto"/>
            <w:vAlign w:val="center"/>
          </w:tcPr>
          <w:p w14:paraId="2277B332">
            <w:pPr>
              <w:jc w:val="center"/>
              <w:rPr>
                <w:i/>
                <w:color w:val="FF0000"/>
                <w:sz w:val="18"/>
                <w:szCs w:val="18"/>
              </w:rPr>
            </w:pPr>
            <w:r>
              <w:rPr>
                <w:lang w:bidi="ar"/>
              </w:rPr>
              <w:t>2</w:t>
            </w:r>
          </w:p>
        </w:tc>
        <w:tc>
          <w:tcPr>
            <w:tcW w:w="1045" w:type="dxa"/>
            <w:vMerge w:val="continue"/>
            <w:vAlign w:val="center"/>
          </w:tcPr>
          <w:p w14:paraId="33CB1DF4">
            <w:pPr>
              <w:jc w:val="center"/>
              <w:rPr>
                <w:color w:val="000000" w:themeColor="text1"/>
                <w:sz w:val="18"/>
                <w:szCs w:val="18"/>
                <w14:textFill>
                  <w14:solidFill>
                    <w14:schemeClr w14:val="tx1"/>
                  </w14:solidFill>
                </w14:textFill>
              </w:rPr>
            </w:pPr>
          </w:p>
        </w:tc>
      </w:tr>
      <w:tr w14:paraId="17386C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F4C104">
            <w:pPr>
              <w:rPr>
                <w:b/>
                <w:color w:val="000000" w:themeColor="text1"/>
                <w:sz w:val="18"/>
                <w:szCs w:val="18"/>
                <w14:textFill>
                  <w14:solidFill>
                    <w14:schemeClr w14:val="tx1"/>
                  </w14:solidFill>
                </w14:textFill>
              </w:rPr>
            </w:pPr>
          </w:p>
        </w:tc>
        <w:tc>
          <w:tcPr>
            <w:tcW w:w="1226" w:type="dxa"/>
            <w:vMerge w:val="continue"/>
          </w:tcPr>
          <w:p w14:paraId="254992C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478EE5D">
            <w:pPr>
              <w:rPr>
                <w:i/>
                <w:color w:val="FF0000"/>
                <w:sz w:val="18"/>
                <w:szCs w:val="18"/>
              </w:rPr>
            </w:pPr>
            <w:r>
              <w:rPr>
                <w:rFonts w:hint="eastAsia" w:cs="宋体"/>
                <w:sz w:val="18"/>
                <w:szCs w:val="18"/>
                <w:lang w:bidi="ar"/>
              </w:rPr>
              <w:t>中外诗歌与诗论比较研究</w:t>
            </w:r>
          </w:p>
        </w:tc>
        <w:tc>
          <w:tcPr>
            <w:tcW w:w="1081" w:type="dxa"/>
            <w:shd w:val="clear" w:color="auto" w:fill="auto"/>
            <w:vAlign w:val="center"/>
          </w:tcPr>
          <w:p w14:paraId="31E65C86">
            <w:pPr>
              <w:jc w:val="center"/>
              <w:rPr>
                <w:color w:val="FF0000"/>
                <w:sz w:val="18"/>
                <w:szCs w:val="18"/>
              </w:rPr>
            </w:pPr>
            <w:r>
              <w:rPr>
                <w:sz w:val="18"/>
                <w:szCs w:val="18"/>
                <w:lang w:bidi="ar"/>
              </w:rPr>
              <w:t>XS0108202</w:t>
            </w:r>
          </w:p>
        </w:tc>
        <w:tc>
          <w:tcPr>
            <w:tcW w:w="709" w:type="dxa"/>
            <w:shd w:val="clear" w:color="auto" w:fill="auto"/>
            <w:vAlign w:val="center"/>
          </w:tcPr>
          <w:p w14:paraId="18545F6B">
            <w:pPr>
              <w:jc w:val="center"/>
              <w:rPr>
                <w:color w:val="FF0000"/>
              </w:rPr>
            </w:pPr>
            <w:r>
              <w:rPr>
                <w:sz w:val="18"/>
                <w:szCs w:val="18"/>
                <w:lang w:bidi="ar"/>
              </w:rPr>
              <w:t>2</w:t>
            </w:r>
          </w:p>
        </w:tc>
        <w:tc>
          <w:tcPr>
            <w:tcW w:w="709" w:type="dxa"/>
            <w:shd w:val="clear" w:color="auto" w:fill="auto"/>
            <w:vAlign w:val="center"/>
          </w:tcPr>
          <w:p w14:paraId="433B4CBE">
            <w:pPr>
              <w:jc w:val="center"/>
              <w:rPr>
                <w:color w:val="FF0000"/>
              </w:rPr>
            </w:pPr>
            <w:r>
              <w:rPr>
                <w:sz w:val="18"/>
                <w:szCs w:val="18"/>
                <w:lang w:bidi="ar"/>
              </w:rPr>
              <w:t>2</w:t>
            </w:r>
          </w:p>
        </w:tc>
        <w:tc>
          <w:tcPr>
            <w:tcW w:w="1045" w:type="dxa"/>
            <w:vMerge w:val="continue"/>
            <w:vAlign w:val="center"/>
          </w:tcPr>
          <w:p w14:paraId="3F45AA22">
            <w:pPr>
              <w:jc w:val="center"/>
              <w:rPr>
                <w:color w:val="000000" w:themeColor="text1"/>
                <w:sz w:val="18"/>
                <w:szCs w:val="18"/>
                <w14:textFill>
                  <w14:solidFill>
                    <w14:schemeClr w14:val="tx1"/>
                  </w14:solidFill>
                </w14:textFill>
              </w:rPr>
            </w:pPr>
          </w:p>
        </w:tc>
      </w:tr>
      <w:tr w14:paraId="305EFB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B713C1">
            <w:pPr>
              <w:rPr>
                <w:b/>
                <w:color w:val="000000" w:themeColor="text1"/>
                <w:sz w:val="18"/>
                <w:szCs w:val="18"/>
                <w14:textFill>
                  <w14:solidFill>
                    <w14:schemeClr w14:val="tx1"/>
                  </w14:solidFill>
                </w14:textFill>
              </w:rPr>
            </w:pPr>
          </w:p>
        </w:tc>
        <w:tc>
          <w:tcPr>
            <w:tcW w:w="1226" w:type="dxa"/>
            <w:vMerge w:val="continue"/>
          </w:tcPr>
          <w:p w14:paraId="394EB61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0D9A0B1">
            <w:pPr>
              <w:rPr>
                <w:i/>
                <w:color w:val="FF0000"/>
                <w:sz w:val="18"/>
                <w:szCs w:val="18"/>
              </w:rPr>
            </w:pPr>
            <w:r>
              <w:rPr>
                <w:rFonts w:hint="eastAsia" w:cs="宋体"/>
                <w:sz w:val="18"/>
                <w:szCs w:val="18"/>
                <w:lang w:bidi="ar"/>
              </w:rPr>
              <w:t>中外文论与美学比较研究</w:t>
            </w:r>
          </w:p>
        </w:tc>
        <w:tc>
          <w:tcPr>
            <w:tcW w:w="1081" w:type="dxa"/>
            <w:shd w:val="clear" w:color="auto" w:fill="auto"/>
            <w:vAlign w:val="center"/>
          </w:tcPr>
          <w:p w14:paraId="1D6CCFA1">
            <w:pPr>
              <w:jc w:val="center"/>
              <w:rPr>
                <w:color w:val="FF0000"/>
                <w:sz w:val="18"/>
                <w:szCs w:val="18"/>
              </w:rPr>
            </w:pPr>
            <w:r>
              <w:rPr>
                <w:sz w:val="18"/>
                <w:szCs w:val="18"/>
                <w:lang w:bidi="ar"/>
              </w:rPr>
              <w:t>XS0108203</w:t>
            </w:r>
          </w:p>
        </w:tc>
        <w:tc>
          <w:tcPr>
            <w:tcW w:w="709" w:type="dxa"/>
            <w:shd w:val="clear" w:color="auto" w:fill="auto"/>
            <w:vAlign w:val="center"/>
          </w:tcPr>
          <w:p w14:paraId="0A30252A">
            <w:pPr>
              <w:jc w:val="center"/>
              <w:rPr>
                <w:color w:val="FF0000"/>
                <w:sz w:val="18"/>
                <w:szCs w:val="18"/>
              </w:rPr>
            </w:pPr>
            <w:r>
              <w:rPr>
                <w:sz w:val="18"/>
                <w:szCs w:val="18"/>
                <w:lang w:bidi="ar"/>
              </w:rPr>
              <w:t>2</w:t>
            </w:r>
          </w:p>
        </w:tc>
        <w:tc>
          <w:tcPr>
            <w:tcW w:w="709" w:type="dxa"/>
            <w:shd w:val="clear" w:color="auto" w:fill="auto"/>
            <w:vAlign w:val="center"/>
          </w:tcPr>
          <w:p w14:paraId="5799E322">
            <w:pPr>
              <w:jc w:val="center"/>
              <w:rPr>
                <w:color w:val="FF0000"/>
                <w:sz w:val="18"/>
                <w:szCs w:val="18"/>
              </w:rPr>
            </w:pPr>
            <w:r>
              <w:rPr>
                <w:sz w:val="18"/>
                <w:szCs w:val="18"/>
                <w:lang w:bidi="ar"/>
              </w:rPr>
              <w:t>2</w:t>
            </w:r>
          </w:p>
        </w:tc>
        <w:tc>
          <w:tcPr>
            <w:tcW w:w="1045" w:type="dxa"/>
            <w:vMerge w:val="continue"/>
            <w:vAlign w:val="center"/>
          </w:tcPr>
          <w:p w14:paraId="21AE041F">
            <w:pPr>
              <w:jc w:val="center"/>
              <w:rPr>
                <w:color w:val="000000" w:themeColor="text1"/>
                <w:sz w:val="18"/>
                <w:szCs w:val="18"/>
                <w14:textFill>
                  <w14:solidFill>
                    <w14:schemeClr w14:val="tx1"/>
                  </w14:solidFill>
                </w14:textFill>
              </w:rPr>
            </w:pPr>
          </w:p>
        </w:tc>
      </w:tr>
      <w:tr w14:paraId="45804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ABA9C7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6ECFBFC">
            <w:pPr>
              <w:jc w:val="center"/>
              <w:rPr>
                <w:b/>
                <w:color w:val="000000" w:themeColor="text1"/>
                <w:sz w:val="18"/>
                <w:szCs w:val="18"/>
                <w14:textFill>
                  <w14:solidFill>
                    <w14:schemeClr w14:val="tx1"/>
                  </w14:solidFill>
                </w14:textFill>
              </w:rPr>
            </w:pPr>
          </w:p>
        </w:tc>
        <w:tc>
          <w:tcPr>
            <w:tcW w:w="1226" w:type="dxa"/>
            <w:vMerge w:val="restart"/>
            <w:vAlign w:val="center"/>
          </w:tcPr>
          <w:p w14:paraId="57C64E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0797CA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0E73102">
            <w:pPr>
              <w:jc w:val="center"/>
              <w:rPr>
                <w:color w:val="000000" w:themeColor="text1"/>
                <w:sz w:val="18"/>
                <w:szCs w:val="18"/>
                <w:highlight w:val="yellow"/>
                <w14:textFill>
                  <w14:solidFill>
                    <w14:schemeClr w14:val="tx1"/>
                  </w14:solidFill>
                </w14:textFill>
              </w:rPr>
            </w:pPr>
          </w:p>
        </w:tc>
        <w:tc>
          <w:tcPr>
            <w:tcW w:w="709" w:type="dxa"/>
            <w:vAlign w:val="center"/>
          </w:tcPr>
          <w:p w14:paraId="065D048B">
            <w:pPr>
              <w:jc w:val="center"/>
              <w:rPr>
                <w:color w:val="000000" w:themeColor="text1"/>
                <w:sz w:val="18"/>
                <w:szCs w:val="18"/>
                <w:highlight w:val="yellow"/>
                <w14:textFill>
                  <w14:solidFill>
                    <w14:schemeClr w14:val="tx1"/>
                  </w14:solidFill>
                </w14:textFill>
              </w:rPr>
            </w:pPr>
          </w:p>
        </w:tc>
        <w:tc>
          <w:tcPr>
            <w:tcW w:w="709" w:type="dxa"/>
            <w:vAlign w:val="center"/>
          </w:tcPr>
          <w:p w14:paraId="0E105599">
            <w:pPr>
              <w:jc w:val="center"/>
              <w:rPr>
                <w:color w:val="000000" w:themeColor="text1"/>
                <w:sz w:val="18"/>
                <w:szCs w:val="18"/>
                <w:highlight w:val="yellow"/>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08F28CA">
            <w:pPr>
              <w:jc w:val="center"/>
              <w:rPr>
                <w:i/>
                <w:color w:val="FF0000"/>
                <w:sz w:val="18"/>
                <w:szCs w:val="18"/>
              </w:rPr>
            </w:pPr>
          </w:p>
        </w:tc>
      </w:tr>
      <w:tr w14:paraId="2565C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4F6FF6BA">
            <w:pPr>
              <w:jc w:val="center"/>
              <w:rPr>
                <w:b/>
                <w:color w:val="000000" w:themeColor="text1"/>
                <w:sz w:val="18"/>
                <w:szCs w:val="18"/>
                <w14:textFill>
                  <w14:solidFill>
                    <w14:schemeClr w14:val="tx1"/>
                  </w14:solidFill>
                </w14:textFill>
              </w:rPr>
            </w:pPr>
          </w:p>
        </w:tc>
        <w:tc>
          <w:tcPr>
            <w:tcW w:w="1226" w:type="dxa"/>
            <w:vMerge w:val="continue"/>
            <w:vAlign w:val="center"/>
          </w:tcPr>
          <w:p w14:paraId="43A75F4C">
            <w:pPr>
              <w:jc w:val="center"/>
              <w:rPr>
                <w:b/>
                <w:color w:val="000000" w:themeColor="text1"/>
                <w:sz w:val="18"/>
                <w:szCs w:val="18"/>
                <w14:textFill>
                  <w14:solidFill>
                    <w14:schemeClr w14:val="tx1"/>
                  </w14:solidFill>
                </w14:textFill>
              </w:rPr>
            </w:pPr>
          </w:p>
        </w:tc>
        <w:tc>
          <w:tcPr>
            <w:tcW w:w="3516" w:type="dxa"/>
            <w:vAlign w:val="center"/>
          </w:tcPr>
          <w:p w14:paraId="3D7FC1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48E7A614">
            <w:pPr>
              <w:jc w:val="center"/>
              <w:rPr>
                <w:color w:val="000000" w:themeColor="text1"/>
                <w:sz w:val="18"/>
                <w:szCs w:val="18"/>
                <w14:textFill>
                  <w14:solidFill>
                    <w14:schemeClr w14:val="tx1"/>
                  </w14:solidFill>
                </w14:textFill>
              </w:rPr>
            </w:pPr>
          </w:p>
        </w:tc>
        <w:tc>
          <w:tcPr>
            <w:tcW w:w="709" w:type="dxa"/>
            <w:vAlign w:val="center"/>
          </w:tcPr>
          <w:p w14:paraId="2DAA9E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F89689A">
            <w:pPr>
              <w:jc w:val="center"/>
              <w:rPr>
                <w:color w:val="000000" w:themeColor="text1"/>
                <w:sz w:val="18"/>
                <w:szCs w:val="18"/>
                <w14:textFill>
                  <w14:solidFill>
                    <w14:schemeClr w14:val="tx1"/>
                  </w14:solidFill>
                </w14:textFill>
              </w:rPr>
            </w:pPr>
          </w:p>
        </w:tc>
        <w:tc>
          <w:tcPr>
            <w:tcW w:w="1045" w:type="dxa"/>
            <w:vMerge w:val="continue"/>
            <w:vAlign w:val="center"/>
          </w:tcPr>
          <w:p w14:paraId="1B761BC7">
            <w:pPr>
              <w:jc w:val="center"/>
              <w:rPr>
                <w:color w:val="000000" w:themeColor="text1"/>
                <w:sz w:val="18"/>
                <w:szCs w:val="18"/>
                <w14:textFill>
                  <w14:solidFill>
                    <w14:schemeClr w14:val="tx1"/>
                  </w14:solidFill>
                </w14:textFill>
              </w:rPr>
            </w:pPr>
          </w:p>
        </w:tc>
      </w:tr>
      <w:tr w14:paraId="7D2F7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C3EC10">
            <w:pPr>
              <w:rPr>
                <w:b/>
                <w:color w:val="000000" w:themeColor="text1"/>
                <w:sz w:val="18"/>
                <w:szCs w:val="18"/>
                <w14:textFill>
                  <w14:solidFill>
                    <w14:schemeClr w14:val="tx1"/>
                  </w14:solidFill>
                </w14:textFill>
              </w:rPr>
            </w:pPr>
          </w:p>
        </w:tc>
        <w:tc>
          <w:tcPr>
            <w:tcW w:w="1226" w:type="dxa"/>
            <w:vMerge w:val="restart"/>
            <w:vAlign w:val="center"/>
          </w:tcPr>
          <w:p w14:paraId="1C1671D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D87495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93CA07B">
            <w:pPr>
              <w:jc w:val="center"/>
              <w:rPr>
                <w:color w:val="000000" w:themeColor="text1"/>
                <w:sz w:val="18"/>
                <w:szCs w:val="18"/>
                <w14:textFill>
                  <w14:solidFill>
                    <w14:schemeClr w14:val="tx1"/>
                  </w14:solidFill>
                </w14:textFill>
              </w:rPr>
            </w:pPr>
          </w:p>
        </w:tc>
        <w:tc>
          <w:tcPr>
            <w:tcW w:w="709" w:type="dxa"/>
            <w:vAlign w:val="center"/>
          </w:tcPr>
          <w:p w14:paraId="5D82166F">
            <w:pPr>
              <w:jc w:val="center"/>
              <w:rPr>
                <w:color w:val="000000" w:themeColor="text1"/>
                <w:sz w:val="18"/>
                <w:szCs w:val="18"/>
                <w14:textFill>
                  <w14:solidFill>
                    <w14:schemeClr w14:val="tx1"/>
                  </w14:solidFill>
                </w14:textFill>
              </w:rPr>
            </w:pPr>
          </w:p>
        </w:tc>
        <w:tc>
          <w:tcPr>
            <w:tcW w:w="709" w:type="dxa"/>
            <w:vAlign w:val="center"/>
          </w:tcPr>
          <w:p w14:paraId="4F7F73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1045" w:type="dxa"/>
            <w:vMerge w:val="restart"/>
            <w:vAlign w:val="center"/>
          </w:tcPr>
          <w:p w14:paraId="7A27594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C6C98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8E5AC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068287">
            <w:pPr>
              <w:rPr>
                <w:b/>
                <w:color w:val="000000" w:themeColor="text1"/>
                <w:sz w:val="18"/>
                <w:szCs w:val="18"/>
                <w14:textFill>
                  <w14:solidFill>
                    <w14:schemeClr w14:val="tx1"/>
                  </w14:solidFill>
                </w14:textFill>
              </w:rPr>
            </w:pPr>
          </w:p>
        </w:tc>
        <w:tc>
          <w:tcPr>
            <w:tcW w:w="1226" w:type="dxa"/>
            <w:vMerge w:val="continue"/>
            <w:vAlign w:val="center"/>
          </w:tcPr>
          <w:p w14:paraId="71A048F3">
            <w:pPr>
              <w:jc w:val="center"/>
              <w:rPr>
                <w:b/>
                <w:color w:val="000000" w:themeColor="text1"/>
                <w:sz w:val="18"/>
                <w:szCs w:val="18"/>
                <w14:textFill>
                  <w14:solidFill>
                    <w14:schemeClr w14:val="tx1"/>
                  </w14:solidFill>
                </w14:textFill>
              </w:rPr>
            </w:pPr>
          </w:p>
        </w:tc>
        <w:tc>
          <w:tcPr>
            <w:tcW w:w="3516" w:type="dxa"/>
            <w:vAlign w:val="center"/>
          </w:tcPr>
          <w:p w14:paraId="14704A8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48D86707">
            <w:pPr>
              <w:jc w:val="center"/>
              <w:rPr>
                <w:color w:val="000000" w:themeColor="text1"/>
                <w:sz w:val="18"/>
                <w:szCs w:val="18"/>
                <w14:textFill>
                  <w14:solidFill>
                    <w14:schemeClr w14:val="tx1"/>
                  </w14:solidFill>
                </w14:textFill>
              </w:rPr>
            </w:pPr>
          </w:p>
        </w:tc>
        <w:tc>
          <w:tcPr>
            <w:tcW w:w="709" w:type="dxa"/>
            <w:vAlign w:val="center"/>
          </w:tcPr>
          <w:p w14:paraId="7D5D11B3">
            <w:pPr>
              <w:jc w:val="center"/>
              <w:rPr>
                <w:color w:val="000000" w:themeColor="text1"/>
                <w:sz w:val="18"/>
                <w:szCs w:val="18"/>
                <w14:textFill>
                  <w14:solidFill>
                    <w14:schemeClr w14:val="tx1"/>
                  </w14:solidFill>
                </w14:textFill>
              </w:rPr>
            </w:pPr>
          </w:p>
        </w:tc>
        <w:tc>
          <w:tcPr>
            <w:tcW w:w="709" w:type="dxa"/>
            <w:vAlign w:val="center"/>
          </w:tcPr>
          <w:p w14:paraId="7322B63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1045" w:type="dxa"/>
            <w:vMerge w:val="continue"/>
            <w:vAlign w:val="center"/>
          </w:tcPr>
          <w:p w14:paraId="2F4C6DEE">
            <w:pPr>
              <w:jc w:val="center"/>
              <w:rPr>
                <w:color w:val="000000" w:themeColor="text1"/>
                <w:sz w:val="18"/>
                <w:szCs w:val="18"/>
                <w14:textFill>
                  <w14:solidFill>
                    <w14:schemeClr w14:val="tx1"/>
                  </w14:solidFill>
                </w14:textFill>
              </w:rPr>
            </w:pPr>
          </w:p>
        </w:tc>
      </w:tr>
      <w:tr w14:paraId="2D5781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E0D9E3">
            <w:pPr>
              <w:rPr>
                <w:b/>
                <w:color w:val="000000" w:themeColor="text1"/>
                <w:sz w:val="18"/>
                <w:szCs w:val="18"/>
                <w14:textFill>
                  <w14:solidFill>
                    <w14:schemeClr w14:val="tx1"/>
                  </w14:solidFill>
                </w14:textFill>
              </w:rPr>
            </w:pPr>
          </w:p>
        </w:tc>
        <w:tc>
          <w:tcPr>
            <w:tcW w:w="1226" w:type="dxa"/>
            <w:vMerge w:val="continue"/>
            <w:vAlign w:val="center"/>
          </w:tcPr>
          <w:p w14:paraId="7E786386">
            <w:pPr>
              <w:jc w:val="center"/>
              <w:rPr>
                <w:b/>
                <w:color w:val="000000" w:themeColor="text1"/>
                <w:sz w:val="18"/>
                <w:szCs w:val="18"/>
                <w14:textFill>
                  <w14:solidFill>
                    <w14:schemeClr w14:val="tx1"/>
                  </w14:solidFill>
                </w14:textFill>
              </w:rPr>
            </w:pPr>
          </w:p>
        </w:tc>
        <w:tc>
          <w:tcPr>
            <w:tcW w:w="3516" w:type="dxa"/>
            <w:vAlign w:val="center"/>
          </w:tcPr>
          <w:p w14:paraId="5923D0A4">
            <w:pPr>
              <w:rPr>
                <w:sz w:val="18"/>
                <w:szCs w:val="18"/>
              </w:rPr>
            </w:pPr>
            <w:r>
              <w:rPr>
                <w:sz w:val="18"/>
                <w:szCs w:val="18"/>
              </w:rPr>
              <w:t>论文中期进展报告</w:t>
            </w:r>
          </w:p>
        </w:tc>
        <w:tc>
          <w:tcPr>
            <w:tcW w:w="1081" w:type="dxa"/>
            <w:vAlign w:val="center"/>
          </w:tcPr>
          <w:p w14:paraId="1A80DACF">
            <w:pPr>
              <w:jc w:val="center"/>
              <w:rPr>
                <w:color w:val="000000" w:themeColor="text1"/>
                <w:sz w:val="18"/>
                <w:szCs w:val="18"/>
                <w14:textFill>
                  <w14:solidFill>
                    <w14:schemeClr w14:val="tx1"/>
                  </w14:solidFill>
                </w14:textFill>
              </w:rPr>
            </w:pPr>
          </w:p>
        </w:tc>
        <w:tc>
          <w:tcPr>
            <w:tcW w:w="709" w:type="dxa"/>
            <w:vAlign w:val="center"/>
          </w:tcPr>
          <w:p w14:paraId="7877EC68">
            <w:pPr>
              <w:jc w:val="center"/>
              <w:rPr>
                <w:color w:val="000000" w:themeColor="text1"/>
                <w:sz w:val="18"/>
                <w:szCs w:val="18"/>
                <w14:textFill>
                  <w14:solidFill>
                    <w14:schemeClr w14:val="tx1"/>
                  </w14:solidFill>
                </w14:textFill>
              </w:rPr>
            </w:pPr>
          </w:p>
        </w:tc>
        <w:tc>
          <w:tcPr>
            <w:tcW w:w="709" w:type="dxa"/>
            <w:vAlign w:val="center"/>
          </w:tcPr>
          <w:p w14:paraId="03B4445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3D288BE1">
            <w:pPr>
              <w:jc w:val="center"/>
              <w:rPr>
                <w:color w:val="000000" w:themeColor="text1"/>
                <w:sz w:val="18"/>
                <w:szCs w:val="18"/>
                <w14:textFill>
                  <w14:solidFill>
                    <w14:schemeClr w14:val="tx1"/>
                  </w14:solidFill>
                </w14:textFill>
              </w:rPr>
            </w:pPr>
          </w:p>
        </w:tc>
      </w:tr>
      <w:tr w14:paraId="3EDE29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0BF9DB">
            <w:pPr>
              <w:rPr>
                <w:b/>
                <w:color w:val="000000" w:themeColor="text1"/>
                <w:sz w:val="18"/>
                <w:szCs w:val="18"/>
                <w14:textFill>
                  <w14:solidFill>
                    <w14:schemeClr w14:val="tx1"/>
                  </w14:solidFill>
                </w14:textFill>
              </w:rPr>
            </w:pPr>
          </w:p>
        </w:tc>
        <w:tc>
          <w:tcPr>
            <w:tcW w:w="1226" w:type="dxa"/>
            <w:vMerge w:val="continue"/>
            <w:vAlign w:val="center"/>
          </w:tcPr>
          <w:p w14:paraId="2A907D92">
            <w:pPr>
              <w:jc w:val="center"/>
              <w:rPr>
                <w:b/>
                <w:color w:val="000000" w:themeColor="text1"/>
                <w:sz w:val="18"/>
                <w:szCs w:val="18"/>
                <w14:textFill>
                  <w14:solidFill>
                    <w14:schemeClr w14:val="tx1"/>
                  </w14:solidFill>
                </w14:textFill>
              </w:rPr>
            </w:pPr>
          </w:p>
        </w:tc>
        <w:tc>
          <w:tcPr>
            <w:tcW w:w="3516" w:type="dxa"/>
            <w:vAlign w:val="center"/>
          </w:tcPr>
          <w:p w14:paraId="206882B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0074F28">
            <w:pPr>
              <w:jc w:val="center"/>
              <w:rPr>
                <w:color w:val="000000" w:themeColor="text1"/>
                <w:sz w:val="18"/>
                <w:szCs w:val="18"/>
                <w14:textFill>
                  <w14:solidFill>
                    <w14:schemeClr w14:val="tx1"/>
                  </w14:solidFill>
                </w14:textFill>
              </w:rPr>
            </w:pPr>
          </w:p>
        </w:tc>
        <w:tc>
          <w:tcPr>
            <w:tcW w:w="709" w:type="dxa"/>
            <w:vAlign w:val="center"/>
          </w:tcPr>
          <w:p w14:paraId="04E18DD6">
            <w:pPr>
              <w:jc w:val="center"/>
              <w:rPr>
                <w:color w:val="000000" w:themeColor="text1"/>
                <w:sz w:val="18"/>
                <w:szCs w:val="18"/>
                <w14:textFill>
                  <w14:solidFill>
                    <w14:schemeClr w14:val="tx1"/>
                  </w14:solidFill>
                </w14:textFill>
              </w:rPr>
            </w:pPr>
          </w:p>
        </w:tc>
        <w:tc>
          <w:tcPr>
            <w:tcW w:w="709" w:type="dxa"/>
            <w:vAlign w:val="center"/>
          </w:tcPr>
          <w:p w14:paraId="70657D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41549B1B">
            <w:pPr>
              <w:jc w:val="center"/>
              <w:rPr>
                <w:color w:val="000000" w:themeColor="text1"/>
                <w:sz w:val="18"/>
                <w:szCs w:val="18"/>
                <w14:textFill>
                  <w14:solidFill>
                    <w14:schemeClr w14:val="tx1"/>
                  </w14:solidFill>
                </w14:textFill>
              </w:rPr>
            </w:pPr>
          </w:p>
        </w:tc>
      </w:tr>
      <w:tr w14:paraId="50AC6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EAFB82">
            <w:pPr>
              <w:rPr>
                <w:color w:val="000000" w:themeColor="text1"/>
                <w:sz w:val="18"/>
                <w:szCs w:val="18"/>
                <w14:textFill>
                  <w14:solidFill>
                    <w14:schemeClr w14:val="tx1"/>
                  </w14:solidFill>
                </w14:textFill>
              </w:rPr>
            </w:pPr>
          </w:p>
        </w:tc>
        <w:tc>
          <w:tcPr>
            <w:tcW w:w="1226" w:type="dxa"/>
            <w:vMerge w:val="continue"/>
          </w:tcPr>
          <w:p w14:paraId="2A50E9EA">
            <w:pPr>
              <w:jc w:val="center"/>
              <w:rPr>
                <w:color w:val="000000" w:themeColor="text1"/>
                <w:sz w:val="18"/>
                <w:szCs w:val="18"/>
                <w14:textFill>
                  <w14:solidFill>
                    <w14:schemeClr w14:val="tx1"/>
                  </w14:solidFill>
                </w14:textFill>
              </w:rPr>
            </w:pPr>
          </w:p>
        </w:tc>
        <w:tc>
          <w:tcPr>
            <w:tcW w:w="3516" w:type="dxa"/>
            <w:vAlign w:val="center"/>
          </w:tcPr>
          <w:p w14:paraId="490E887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40E51B4E">
            <w:pPr>
              <w:jc w:val="center"/>
              <w:rPr>
                <w:color w:val="000000" w:themeColor="text1"/>
                <w:sz w:val="18"/>
                <w:szCs w:val="18"/>
                <w14:textFill>
                  <w14:solidFill>
                    <w14:schemeClr w14:val="tx1"/>
                  </w14:solidFill>
                </w14:textFill>
              </w:rPr>
            </w:pPr>
          </w:p>
        </w:tc>
        <w:tc>
          <w:tcPr>
            <w:tcW w:w="709" w:type="dxa"/>
            <w:vAlign w:val="center"/>
          </w:tcPr>
          <w:p w14:paraId="532418FD">
            <w:pPr>
              <w:jc w:val="center"/>
              <w:rPr>
                <w:color w:val="000000" w:themeColor="text1"/>
                <w:sz w:val="18"/>
                <w:szCs w:val="18"/>
                <w14:textFill>
                  <w14:solidFill>
                    <w14:schemeClr w14:val="tx1"/>
                  </w14:solidFill>
                </w14:textFill>
              </w:rPr>
            </w:pPr>
          </w:p>
        </w:tc>
        <w:tc>
          <w:tcPr>
            <w:tcW w:w="709" w:type="dxa"/>
            <w:vAlign w:val="center"/>
          </w:tcPr>
          <w:p w14:paraId="64C66E4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BDA4D03">
            <w:pPr>
              <w:jc w:val="center"/>
              <w:rPr>
                <w:color w:val="000000" w:themeColor="text1"/>
                <w:sz w:val="18"/>
                <w:szCs w:val="18"/>
                <w14:textFill>
                  <w14:solidFill>
                    <w14:schemeClr w14:val="tx1"/>
                  </w14:solidFill>
                </w14:textFill>
              </w:rPr>
            </w:pPr>
          </w:p>
        </w:tc>
      </w:tr>
      <w:tr w14:paraId="50E0B1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85E27F">
            <w:pPr>
              <w:rPr>
                <w:color w:val="000000" w:themeColor="text1"/>
                <w:sz w:val="18"/>
                <w:szCs w:val="18"/>
                <w14:textFill>
                  <w14:solidFill>
                    <w14:schemeClr w14:val="tx1"/>
                  </w14:solidFill>
                </w14:textFill>
              </w:rPr>
            </w:pPr>
          </w:p>
        </w:tc>
        <w:tc>
          <w:tcPr>
            <w:tcW w:w="1226" w:type="dxa"/>
            <w:vMerge w:val="continue"/>
          </w:tcPr>
          <w:p w14:paraId="15EE8912">
            <w:pPr>
              <w:jc w:val="center"/>
              <w:rPr>
                <w:color w:val="000000" w:themeColor="text1"/>
                <w:sz w:val="18"/>
                <w:szCs w:val="18"/>
                <w14:textFill>
                  <w14:solidFill>
                    <w14:schemeClr w14:val="tx1"/>
                  </w14:solidFill>
                </w14:textFill>
              </w:rPr>
            </w:pPr>
          </w:p>
        </w:tc>
        <w:tc>
          <w:tcPr>
            <w:tcW w:w="3516" w:type="dxa"/>
            <w:vAlign w:val="center"/>
          </w:tcPr>
          <w:p w14:paraId="4B4083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2AD2E6F">
            <w:pPr>
              <w:jc w:val="center"/>
              <w:rPr>
                <w:color w:val="000000" w:themeColor="text1"/>
                <w:sz w:val="18"/>
                <w:szCs w:val="18"/>
                <w14:textFill>
                  <w14:solidFill>
                    <w14:schemeClr w14:val="tx1"/>
                  </w14:solidFill>
                </w14:textFill>
              </w:rPr>
            </w:pPr>
          </w:p>
        </w:tc>
        <w:tc>
          <w:tcPr>
            <w:tcW w:w="709" w:type="dxa"/>
            <w:vAlign w:val="center"/>
          </w:tcPr>
          <w:p w14:paraId="3F75B39A">
            <w:pPr>
              <w:jc w:val="center"/>
              <w:rPr>
                <w:color w:val="000000" w:themeColor="text1"/>
                <w:sz w:val="18"/>
                <w:szCs w:val="18"/>
                <w14:textFill>
                  <w14:solidFill>
                    <w14:schemeClr w14:val="tx1"/>
                  </w14:solidFill>
                </w14:textFill>
              </w:rPr>
            </w:pPr>
          </w:p>
        </w:tc>
        <w:tc>
          <w:tcPr>
            <w:tcW w:w="709" w:type="dxa"/>
            <w:vAlign w:val="center"/>
          </w:tcPr>
          <w:p w14:paraId="353E4CC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C218B39">
            <w:pPr>
              <w:jc w:val="center"/>
              <w:rPr>
                <w:color w:val="000000" w:themeColor="text1"/>
                <w:sz w:val="18"/>
                <w:szCs w:val="18"/>
                <w14:textFill>
                  <w14:solidFill>
                    <w14:schemeClr w14:val="tx1"/>
                  </w14:solidFill>
                </w14:textFill>
              </w:rPr>
            </w:pPr>
          </w:p>
        </w:tc>
      </w:tr>
    </w:tbl>
    <w:p w14:paraId="68904C5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3C8A94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A0AE46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6E20BD9">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07997"/>
    <w:multiLevelType w:val="singleLevel"/>
    <w:tmpl w:val="57507997"/>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75075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D0D"/>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C19"/>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4FC"/>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D7D"/>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6E74"/>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1D4"/>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5F2C"/>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15A"/>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8063D7F"/>
    <w:rsid w:val="08283AEA"/>
    <w:rsid w:val="0D98311E"/>
    <w:rsid w:val="0EC03533"/>
    <w:rsid w:val="0FB139DE"/>
    <w:rsid w:val="112371A2"/>
    <w:rsid w:val="128238F4"/>
    <w:rsid w:val="158B540C"/>
    <w:rsid w:val="174165D4"/>
    <w:rsid w:val="177F5569"/>
    <w:rsid w:val="17B52398"/>
    <w:rsid w:val="17CE60BA"/>
    <w:rsid w:val="1A5F3D37"/>
    <w:rsid w:val="1EAF02C7"/>
    <w:rsid w:val="1FE96C05"/>
    <w:rsid w:val="24CB478F"/>
    <w:rsid w:val="2DE47F8D"/>
    <w:rsid w:val="33FF1472"/>
    <w:rsid w:val="344277BC"/>
    <w:rsid w:val="348002E4"/>
    <w:rsid w:val="382043DD"/>
    <w:rsid w:val="39CD28D5"/>
    <w:rsid w:val="3A2B0CF2"/>
    <w:rsid w:val="3C5E715D"/>
    <w:rsid w:val="3C992E26"/>
    <w:rsid w:val="3D8E7E7B"/>
    <w:rsid w:val="3EC534C3"/>
    <w:rsid w:val="3F4A750B"/>
    <w:rsid w:val="40027CE7"/>
    <w:rsid w:val="406029CF"/>
    <w:rsid w:val="41076015"/>
    <w:rsid w:val="458A7BBE"/>
    <w:rsid w:val="467F4AF1"/>
    <w:rsid w:val="4A330784"/>
    <w:rsid w:val="5385202A"/>
    <w:rsid w:val="53E50443"/>
    <w:rsid w:val="56B0015D"/>
    <w:rsid w:val="571E4952"/>
    <w:rsid w:val="58262DCD"/>
    <w:rsid w:val="58A41F44"/>
    <w:rsid w:val="591677A6"/>
    <w:rsid w:val="5C524F14"/>
    <w:rsid w:val="681E2893"/>
    <w:rsid w:val="68AC5F38"/>
    <w:rsid w:val="69241B10"/>
    <w:rsid w:val="6CA125CA"/>
    <w:rsid w:val="6DAF6F69"/>
    <w:rsid w:val="70BC0E22"/>
    <w:rsid w:val="714F1B29"/>
    <w:rsid w:val="715F24EA"/>
    <w:rsid w:val="745F215E"/>
    <w:rsid w:val="76EA4894"/>
    <w:rsid w:val="7782124A"/>
    <w:rsid w:val="7A6730A5"/>
    <w:rsid w:val="7B761AFA"/>
    <w:rsid w:val="7C1F52BA"/>
    <w:rsid w:val="7CD4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16A59-7AD1-44D5-9BB0-7CD750BB9C55}">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3201</Words>
  <Characters>3356</Characters>
  <Lines>476</Lines>
  <Paragraphs>483</Paragraphs>
  <TotalTime>4</TotalTime>
  <ScaleCrop>false</ScaleCrop>
  <LinksUpToDate>false</LinksUpToDate>
  <CharactersWithSpaces>3367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杰</cp:lastModifiedBy>
  <cp:lastPrinted>2025-06-25T07:55:30Z</cp:lastPrinted>
  <dcterms:modified xsi:type="dcterms:W3CDTF">2025-06-25T07:56:31Z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eyJoZGlkIjoiNDgxYmFmNmU4Yzk1NjliM2E1OGMwOTBiNGIyYWU4MzIiLCJ1c2VySWQiOiIzMDM1NjkzMDgifQ==</vt:lpwstr>
  </property>
  <property fmtid="{D5CDD505-2E9C-101B-9397-08002B2CF9AE}" pid="4" name="ICV">
    <vt:lpwstr>B6674BCEB4584963B0EDF16CC23E315E_12</vt:lpwstr>
  </property>
</Properties>
</file>