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386128">
      <w:pPr>
        <w:ind w:left="321" w:leftChars="153" w:right="227"/>
        <w:jc w:val="center"/>
        <w:rPr>
          <w:rFonts w:eastAsia="黑体"/>
          <w:b/>
          <w:bCs/>
          <w:sz w:val="36"/>
          <w:szCs w:val="36"/>
        </w:rPr>
      </w:pPr>
      <w:r>
        <w:rPr>
          <w:rFonts w:hint="eastAsia" w:eastAsia="黑体"/>
          <w:b/>
          <w:bCs/>
          <w:sz w:val="36"/>
          <w:szCs w:val="36"/>
        </w:rPr>
        <w:t>语言学及应用语言学</w:t>
      </w:r>
      <w:r>
        <w:rPr>
          <w:rFonts w:eastAsia="黑体"/>
          <w:b/>
          <w:bCs/>
          <w:sz w:val="36"/>
          <w:szCs w:val="36"/>
        </w:rPr>
        <w:t>学术学位硕士研究生培养方案</w:t>
      </w:r>
    </w:p>
    <w:p w14:paraId="27542EB0">
      <w:pPr>
        <w:ind w:left="321" w:leftChars="153" w:right="227"/>
        <w:jc w:val="center"/>
        <w:rPr>
          <w:rFonts w:eastAsia="黑体"/>
          <w:b/>
          <w:bCs/>
          <w:sz w:val="28"/>
          <w:szCs w:val="28"/>
        </w:rPr>
      </w:pPr>
      <w:r>
        <w:rPr>
          <w:rFonts w:eastAsia="黑体"/>
          <w:b/>
          <w:bCs/>
          <w:sz w:val="28"/>
          <w:szCs w:val="28"/>
        </w:rPr>
        <w:t>（</w:t>
      </w:r>
      <w:r>
        <w:rPr>
          <w:rFonts w:hint="eastAsia" w:eastAsia="黑体"/>
          <w:b/>
          <w:bCs/>
          <w:sz w:val="28"/>
          <w:szCs w:val="28"/>
        </w:rPr>
        <w:t>文</w:t>
      </w:r>
      <w:r>
        <w:rPr>
          <w:rFonts w:eastAsia="黑体"/>
          <w:b/>
          <w:bCs/>
          <w:sz w:val="28"/>
          <w:szCs w:val="28"/>
        </w:rPr>
        <w:t>学院</w:t>
      </w:r>
      <w:r>
        <w:rPr>
          <w:rFonts w:hint="eastAsia" w:eastAsia="黑体"/>
          <w:b/>
          <w:bCs/>
          <w:sz w:val="28"/>
          <w:szCs w:val="28"/>
        </w:rPr>
        <w:t>）</w:t>
      </w:r>
    </w:p>
    <w:p w14:paraId="256150E3">
      <w:pPr>
        <w:spacing w:line="440" w:lineRule="exact"/>
        <w:ind w:firstLine="560"/>
        <w:rPr>
          <w:rFonts w:eastAsia="黑体"/>
          <w:bCs/>
          <w:sz w:val="28"/>
          <w:szCs w:val="28"/>
        </w:rPr>
      </w:pPr>
      <w:r>
        <w:rPr>
          <w:rFonts w:eastAsia="黑体"/>
          <w:bCs/>
          <w:sz w:val="28"/>
          <w:szCs w:val="28"/>
        </w:rPr>
        <w:t>一、专业名称、代码</w:t>
      </w:r>
    </w:p>
    <w:p w14:paraId="0EFCF5BE">
      <w:pPr>
        <w:widowControl/>
        <w:spacing w:before="100" w:beforeAutospacing="1" w:after="100" w:afterAutospacing="1" w:line="270" w:lineRule="atLeast"/>
        <w:ind w:firstLine="960" w:firstLineChars="400"/>
        <w:jc w:val="left"/>
        <w:rPr>
          <w:color w:val="222222"/>
          <w:kern w:val="0"/>
          <w:sz w:val="18"/>
          <w:szCs w:val="18"/>
        </w:rPr>
      </w:pPr>
      <w:r>
        <w:rPr>
          <w:color w:val="222222"/>
          <w:kern w:val="0"/>
          <w:sz w:val="24"/>
        </w:rPr>
        <w:t>专业名称：</w:t>
      </w:r>
      <w:r>
        <w:rPr>
          <w:rFonts w:hint="eastAsia"/>
          <w:color w:val="222222"/>
          <w:kern w:val="0"/>
          <w:sz w:val="24"/>
        </w:rPr>
        <w:t>语言学及应用语言学</w:t>
      </w:r>
    </w:p>
    <w:p w14:paraId="7C622F6C">
      <w:pPr>
        <w:widowControl/>
        <w:spacing w:before="100" w:beforeAutospacing="1" w:after="100" w:afterAutospacing="1" w:line="270" w:lineRule="atLeast"/>
        <w:ind w:firstLine="960" w:firstLineChars="400"/>
        <w:jc w:val="left"/>
        <w:rPr>
          <w:color w:val="222222"/>
          <w:kern w:val="0"/>
          <w:sz w:val="18"/>
          <w:szCs w:val="18"/>
        </w:rPr>
      </w:pPr>
      <w:r>
        <w:rPr>
          <w:color w:val="222222"/>
          <w:kern w:val="0"/>
          <w:sz w:val="24"/>
        </w:rPr>
        <w:t>专业代码：</w:t>
      </w:r>
      <w:r>
        <w:rPr>
          <w:rFonts w:hint="eastAsia"/>
          <w:color w:val="222222"/>
          <w:kern w:val="0"/>
          <w:sz w:val="24"/>
        </w:rPr>
        <w:t>050102</w:t>
      </w:r>
    </w:p>
    <w:p w14:paraId="536B5654">
      <w:pPr>
        <w:numPr>
          <w:ilvl w:val="0"/>
          <w:numId w:val="1"/>
        </w:numPr>
        <w:spacing w:line="440" w:lineRule="exact"/>
        <w:ind w:firstLine="560" w:firstLineChars="200"/>
        <w:rPr>
          <w:rFonts w:eastAsia="黑体"/>
          <w:bCs/>
          <w:color w:val="000000" w:themeColor="text1"/>
          <w:sz w:val="28"/>
          <w:szCs w:val="28"/>
          <w14:textFill>
            <w14:solidFill>
              <w14:schemeClr w14:val="tx1"/>
            </w14:solidFill>
          </w14:textFill>
        </w:rPr>
      </w:pPr>
      <w:r>
        <w:rPr>
          <w:rFonts w:eastAsia="黑体"/>
          <w:bCs/>
          <w:color w:val="000000" w:themeColor="text1"/>
          <w:sz w:val="28"/>
          <w:szCs w:val="28"/>
          <w14:textFill>
            <w14:solidFill>
              <w14:schemeClr w14:val="tx1"/>
            </w14:solidFill>
          </w14:textFill>
        </w:rPr>
        <w:t>专业简介</w:t>
      </w:r>
    </w:p>
    <w:p w14:paraId="35C041D3">
      <w:pPr>
        <w:spacing w:line="440" w:lineRule="exact"/>
        <w:ind w:firstLine="560"/>
        <w:rPr>
          <w:rFonts w:hint="eastAsia" w:asciiTheme="minorEastAsia" w:hAnsiTheme="minorEastAsia" w:eastAsiaTheme="minorEastAsia"/>
          <w:bCs/>
          <w:color w:val="000000" w:themeColor="text1"/>
          <w:sz w:val="24"/>
          <w14:textFill>
            <w14:solidFill>
              <w14:schemeClr w14:val="tx1"/>
            </w14:solidFill>
          </w14:textFill>
        </w:rPr>
      </w:pPr>
      <w:r>
        <w:rPr>
          <w:rFonts w:hint="eastAsia" w:asciiTheme="minorEastAsia" w:hAnsiTheme="minorEastAsia" w:eastAsiaTheme="minorEastAsia"/>
          <w:bCs/>
          <w:color w:val="000000" w:themeColor="text1"/>
          <w:sz w:val="24"/>
          <w14:textFill>
            <w14:solidFill>
              <w14:schemeClr w14:val="tx1"/>
            </w14:solidFill>
          </w14:textFill>
        </w:rPr>
        <w:t>语言学及应用语言学专业致力于语言理论研究与实际应用的深度融合，本专业核心研究领域涵盖现代汉语句法与语义分析、汉语方言研究、中文信息处理以及第二语言习得，为语言理论创新和实际应用提供坚实基础。随着本专业师资力量的不断壮大，社会语言学、方言地理学等领域也已成为重要研究方向。此外，本专业与全国多家语言康复医院合作，开展病理语言学研究，探索语言障碍的神经机制与康复路径。</w:t>
      </w:r>
    </w:p>
    <w:p w14:paraId="03075CAD">
      <w:pPr>
        <w:spacing w:line="440" w:lineRule="exact"/>
        <w:ind w:firstLine="560"/>
        <w:rPr>
          <w:rFonts w:asciiTheme="minorEastAsia" w:hAnsiTheme="minorEastAsia" w:eastAsiaTheme="minorEastAsia"/>
          <w:bCs/>
          <w:color w:val="000000" w:themeColor="text1"/>
          <w:sz w:val="24"/>
          <w14:textFill>
            <w14:solidFill>
              <w14:schemeClr w14:val="tx1"/>
            </w14:solidFill>
          </w14:textFill>
        </w:rPr>
      </w:pPr>
      <w:r>
        <w:rPr>
          <w:rFonts w:hint="eastAsia" w:asciiTheme="minorEastAsia" w:hAnsiTheme="minorEastAsia" w:eastAsiaTheme="minorEastAsia"/>
          <w:bCs/>
          <w:color w:val="000000" w:themeColor="text1"/>
          <w:sz w:val="24"/>
          <w14:textFill>
            <w14:solidFill>
              <w14:schemeClr w14:val="tx1"/>
            </w14:solidFill>
          </w14:textFill>
        </w:rPr>
        <w:t>本专业下设一个语言认知实验室，配备了眼动仪、喉头仪、脑电EEG等先进设备，可从多维度精准考察语言加工与使用的心理和生理机制，为语言认知、语音生成及病理语言分析提供高质量的实证数据，推动跨学科研究的深化。</w:t>
      </w:r>
    </w:p>
    <w:p w14:paraId="47DE25DD">
      <w:pPr>
        <w:spacing w:line="440" w:lineRule="exact"/>
        <w:ind w:firstLine="560"/>
        <w:rPr>
          <w:rFonts w:hint="eastAsia" w:asciiTheme="minorEastAsia" w:hAnsiTheme="minorEastAsia" w:eastAsiaTheme="minorEastAsia"/>
          <w:bCs/>
          <w:color w:val="000000" w:themeColor="text1"/>
          <w:sz w:val="24"/>
          <w14:textFill>
            <w14:solidFill>
              <w14:schemeClr w14:val="tx1"/>
            </w14:solidFill>
          </w14:textFill>
        </w:rPr>
      </w:pPr>
      <w:r>
        <w:rPr>
          <w:rFonts w:hint="eastAsia" w:asciiTheme="minorEastAsia" w:hAnsiTheme="minorEastAsia" w:eastAsiaTheme="minorEastAsia"/>
          <w:bCs/>
          <w:color w:val="000000" w:themeColor="text1"/>
          <w:sz w:val="24"/>
          <w14:textFill>
            <w14:solidFill>
              <w14:schemeClr w14:val="tx1"/>
            </w14:solidFill>
          </w14:textFill>
        </w:rPr>
        <w:t>本专业拥有一支职称、年龄、学历等方面结构合理的学术团队，</w:t>
      </w:r>
      <w:r>
        <w:rPr>
          <w:rFonts w:hint="eastAsia" w:asciiTheme="minorEastAsia" w:hAnsiTheme="minorEastAsia" w:eastAsiaTheme="minorEastAsia"/>
          <w:bCs/>
          <w:color w:val="000000" w:themeColor="text1"/>
          <w:sz w:val="24"/>
          <w:lang w:val="en-US" w:eastAsia="zh-CN"/>
          <w14:textFill>
            <w14:solidFill>
              <w14:schemeClr w14:val="tx1"/>
            </w14:solidFill>
          </w14:textFill>
        </w:rPr>
        <w:t>其中包括</w:t>
      </w:r>
      <w:r>
        <w:rPr>
          <w:rFonts w:hint="eastAsia" w:asciiTheme="minorEastAsia" w:hAnsiTheme="minorEastAsia" w:eastAsiaTheme="minorEastAsia"/>
          <w:bCs/>
          <w:color w:val="000000" w:themeColor="text1"/>
          <w:sz w:val="24"/>
          <w14:textFill>
            <w14:solidFill>
              <w14:schemeClr w14:val="tx1"/>
            </w14:solidFill>
          </w14:textFill>
        </w:rPr>
        <w:t>计算机、医学等交叉学科的外聘导师。</w:t>
      </w:r>
    </w:p>
    <w:p w14:paraId="18AB49AE">
      <w:pPr>
        <w:spacing w:line="440" w:lineRule="exact"/>
        <w:ind w:firstLine="560"/>
        <w:rPr>
          <w:rFonts w:eastAsia="黑体"/>
          <w:bCs/>
          <w:sz w:val="28"/>
          <w:szCs w:val="28"/>
        </w:rPr>
      </w:pPr>
      <w:r>
        <w:rPr>
          <w:rFonts w:eastAsia="黑体"/>
          <w:bCs/>
          <w:sz w:val="28"/>
          <w:szCs w:val="28"/>
        </w:rPr>
        <w:t>三、研究方向</w:t>
      </w:r>
    </w:p>
    <w:p w14:paraId="1D48B6BE">
      <w:pPr>
        <w:spacing w:line="360" w:lineRule="auto"/>
        <w:ind w:firstLine="480" w:firstLineChars="200"/>
        <w:rPr>
          <w:sz w:val="24"/>
        </w:rPr>
      </w:pPr>
      <w:r>
        <w:rPr>
          <w:rFonts w:hint="eastAsia"/>
          <w:sz w:val="24"/>
        </w:rPr>
        <w:t>本专业分为理论语言学和应用语言学两个方向，具体细分如下：</w:t>
      </w:r>
    </w:p>
    <w:p w14:paraId="52439539">
      <w:pPr>
        <w:spacing w:line="360" w:lineRule="auto"/>
        <w:ind w:firstLine="480" w:firstLineChars="200"/>
        <w:rPr>
          <w:sz w:val="24"/>
        </w:rPr>
      </w:pPr>
      <w:r>
        <w:rPr>
          <w:rFonts w:hint="eastAsia"/>
          <w:sz w:val="24"/>
        </w:rPr>
        <w:t>理论语言学包括句法学、语义学、词汇学、历史语言学。</w:t>
      </w:r>
    </w:p>
    <w:p w14:paraId="46D4AEFD">
      <w:pPr>
        <w:spacing w:line="360" w:lineRule="auto"/>
        <w:ind w:firstLine="480" w:firstLineChars="200"/>
        <w:rPr>
          <w:sz w:val="24"/>
        </w:rPr>
      </w:pPr>
      <w:r>
        <w:rPr>
          <w:rFonts w:hint="eastAsia"/>
          <w:sz w:val="24"/>
        </w:rPr>
        <w:t>应用语言学包括第二语言习得、中文信息处理、病理语言学、社会语言学。</w:t>
      </w:r>
    </w:p>
    <w:p w14:paraId="72504D9C">
      <w:pPr>
        <w:spacing w:line="440" w:lineRule="exact"/>
        <w:ind w:firstLine="480"/>
        <w:rPr>
          <w:sz w:val="24"/>
        </w:rPr>
      </w:pPr>
      <w:r>
        <w:rPr>
          <w:rFonts w:hint="eastAsia"/>
          <w:sz w:val="24"/>
        </w:rPr>
        <w:t>理论语言学方向致力于探索语言的本质规律与内在机制，聚焦语言的结构、功能及历史演变，句法学深入分析现代汉语的句法结构，语义学研究语言意义的表达、传递及认知加工机制；词汇学关注词汇的构成、语义网络及跨文化差异；历史语言学则追溯语言的演化路径，挖掘汉语及方言的历史脉络。</w:t>
      </w:r>
    </w:p>
    <w:p w14:paraId="00C02548">
      <w:pPr>
        <w:spacing w:line="440" w:lineRule="exact"/>
        <w:ind w:firstLine="480"/>
        <w:rPr>
          <w:rFonts w:hint="eastAsia"/>
          <w:sz w:val="24"/>
        </w:rPr>
      </w:pPr>
      <w:r>
        <w:rPr>
          <w:rFonts w:hint="eastAsia"/>
          <w:sz w:val="24"/>
        </w:rPr>
        <w:t>应用语言学方向聚焦语言在社会多场景中的实际应用，致力于解决现实问题并推动语言技术与社会服务的创新。第二语言习得研究汉语作为第二语言的教学与学习机制；中文信息处理开发自然语言处理、机器翻译及语料库技术，推动语言智能化应用；病理语言学与全国多家语言康复医院合作，探索语言障碍的诊断与康复路径；社会语言学分析语言与社会、文化、身份的关系，为语言政策与跨文化沟通提供理论支持。</w:t>
      </w:r>
    </w:p>
    <w:p w14:paraId="09057897">
      <w:pPr>
        <w:spacing w:line="440" w:lineRule="exact"/>
        <w:ind w:firstLine="560" w:firstLineChars="200"/>
        <w:rPr>
          <w:rFonts w:eastAsia="黑体"/>
          <w:bCs/>
          <w:sz w:val="28"/>
          <w:szCs w:val="28"/>
        </w:rPr>
      </w:pPr>
      <w:r>
        <w:rPr>
          <w:rFonts w:eastAsia="黑体"/>
          <w:bCs/>
          <w:sz w:val="28"/>
          <w:szCs w:val="28"/>
        </w:rPr>
        <w:t>四、学制及学习年限</w:t>
      </w:r>
    </w:p>
    <w:p w14:paraId="681975D5">
      <w:pPr>
        <w:spacing w:line="440" w:lineRule="exact"/>
        <w:ind w:firstLine="480" w:firstLineChars="200"/>
        <w:rPr>
          <w:rFonts w:eastAsiaTheme="minorEastAsia"/>
          <w:i/>
          <w:color w:val="FF0000"/>
          <w:sz w:val="24"/>
        </w:rPr>
      </w:pPr>
      <w:r>
        <w:rPr>
          <w:rFonts w:eastAsiaTheme="minorEastAsia"/>
          <w:color w:val="000000"/>
          <w:sz w:val="24"/>
        </w:rPr>
        <w:t>本专业学制为3年，在校最长学习年限（含休学）不超过6年。</w:t>
      </w:r>
    </w:p>
    <w:p w14:paraId="43D7BB8A">
      <w:pPr>
        <w:spacing w:line="440" w:lineRule="exact"/>
        <w:ind w:firstLine="560" w:firstLineChars="200"/>
        <w:rPr>
          <w:rFonts w:eastAsia="黑体"/>
          <w:bCs/>
          <w:sz w:val="28"/>
          <w:szCs w:val="28"/>
        </w:rPr>
      </w:pPr>
      <w:r>
        <w:rPr>
          <w:rFonts w:eastAsia="黑体"/>
          <w:bCs/>
          <w:sz w:val="28"/>
          <w:szCs w:val="28"/>
        </w:rPr>
        <w:t>五、培养目标</w:t>
      </w:r>
    </w:p>
    <w:p w14:paraId="26E673D7">
      <w:pPr>
        <w:spacing w:line="360" w:lineRule="auto"/>
        <w:ind w:firstLine="480" w:firstLineChars="200"/>
        <w:jc w:val="left"/>
        <w:rPr>
          <w:sz w:val="24"/>
        </w:rPr>
      </w:pPr>
      <w:r>
        <w:rPr>
          <w:sz w:val="24"/>
        </w:rPr>
        <w:t>1</w:t>
      </w:r>
      <w:r>
        <w:rPr>
          <w:rFonts w:hint="eastAsia"/>
          <w:sz w:val="24"/>
        </w:rPr>
        <w:t>．全面、准确地掌握马克思主义的基本理论，拥护中国共产党的领导，拥护社会主义制度，热爱祖国，遵纪守法，品行端正。</w:t>
      </w:r>
    </w:p>
    <w:p w14:paraId="77824F7B">
      <w:pPr>
        <w:spacing w:line="360" w:lineRule="auto"/>
        <w:ind w:firstLine="480" w:firstLineChars="200"/>
        <w:jc w:val="left"/>
        <w:rPr>
          <w:sz w:val="24"/>
        </w:rPr>
      </w:pPr>
      <w:r>
        <w:rPr>
          <w:sz w:val="24"/>
        </w:rPr>
        <w:t>2</w:t>
      </w:r>
      <w:r>
        <w:rPr>
          <w:rFonts w:hint="eastAsia"/>
          <w:sz w:val="24"/>
        </w:rPr>
        <w:t>．全面掌握本学科的基础理论和专门知识，充分了解本学科的前沿动态和发展趋势，能在导师指导下开展深入、富有创新性的学术研究工作，具有较深的学术素养、良好</w:t>
      </w:r>
      <w:r>
        <w:rPr>
          <w:rFonts w:hint="eastAsia"/>
          <w:sz w:val="24"/>
          <w:lang w:val="en-US" w:eastAsia="zh-CN"/>
        </w:rPr>
        <w:t>的</w:t>
      </w:r>
      <w:r>
        <w:rPr>
          <w:rFonts w:hint="eastAsia"/>
          <w:sz w:val="24"/>
        </w:rPr>
        <w:t>研究能力、高度</w:t>
      </w:r>
      <w:r>
        <w:rPr>
          <w:rFonts w:hint="eastAsia"/>
          <w:sz w:val="24"/>
          <w:lang w:val="en-US" w:eastAsia="zh-CN"/>
        </w:rPr>
        <w:t>的</w:t>
      </w:r>
      <w:r>
        <w:rPr>
          <w:rFonts w:hint="eastAsia"/>
          <w:sz w:val="24"/>
        </w:rPr>
        <w:t>创新精神与社会责任感，能够参与中国语言文学学科的理论创新、文化传承与社会服务。</w:t>
      </w:r>
    </w:p>
    <w:p w14:paraId="6D85CE89">
      <w:pPr>
        <w:spacing w:line="440" w:lineRule="exact"/>
        <w:ind w:firstLine="560" w:firstLineChars="200"/>
        <w:rPr>
          <w:rFonts w:eastAsia="黑体"/>
          <w:bCs/>
          <w:sz w:val="28"/>
          <w:szCs w:val="28"/>
        </w:rPr>
      </w:pPr>
      <w:r>
        <w:rPr>
          <w:rFonts w:eastAsia="黑体"/>
          <w:bCs/>
          <w:sz w:val="28"/>
          <w:szCs w:val="28"/>
        </w:rPr>
        <w:t>六、培养方式</w:t>
      </w:r>
    </w:p>
    <w:p w14:paraId="2DED1018">
      <w:pPr>
        <w:spacing w:line="360" w:lineRule="auto"/>
        <w:ind w:firstLine="480" w:firstLineChars="200"/>
        <w:jc w:val="left"/>
        <w:rPr>
          <w:rFonts w:hint="eastAsia" w:ascii="宋体" w:hAnsi="宋体" w:cs="宋体"/>
          <w:sz w:val="24"/>
        </w:rPr>
      </w:pPr>
      <w:r>
        <w:rPr>
          <w:rFonts w:ascii="宋体" w:hAnsi="宋体" w:cs="宋体"/>
          <w:sz w:val="24"/>
        </w:rPr>
        <w:t>1</w:t>
      </w:r>
      <w:r>
        <w:rPr>
          <w:rFonts w:hint="eastAsia" w:ascii="宋体" w:hAnsi="宋体" w:cs="宋体"/>
          <w:sz w:val="24"/>
        </w:rPr>
        <w:t>．实行导师负责的硕士生指导小组制，导师指导与集体培养相结合。</w:t>
      </w:r>
    </w:p>
    <w:p w14:paraId="67A1BBF4">
      <w:pPr>
        <w:spacing w:line="360" w:lineRule="auto"/>
        <w:ind w:firstLine="480" w:firstLineChars="200"/>
        <w:jc w:val="left"/>
        <w:rPr>
          <w:rFonts w:hint="eastAsia" w:ascii="宋体" w:hAnsi="宋体" w:cs="宋体"/>
          <w:sz w:val="24"/>
        </w:rPr>
      </w:pPr>
      <w:r>
        <w:rPr>
          <w:rFonts w:ascii="宋体" w:hAnsi="宋体" w:cs="宋体"/>
          <w:sz w:val="24"/>
        </w:rPr>
        <w:t>2</w:t>
      </w:r>
      <w:r>
        <w:rPr>
          <w:rFonts w:hint="eastAsia" w:ascii="宋体" w:hAnsi="宋体" w:cs="宋体"/>
          <w:sz w:val="24"/>
        </w:rPr>
        <w:t>．研究生初选指导教师，实行导师和学生双向选择制。遇有特殊情况，由导师组长与导师</w:t>
      </w:r>
      <w:r>
        <w:rPr>
          <w:rFonts w:hint="eastAsia" w:ascii="宋体" w:hAnsi="宋体" w:cs="宋体"/>
          <w:sz w:val="24"/>
          <w:lang w:val="en-US" w:eastAsia="zh-CN"/>
        </w:rPr>
        <w:t>协商</w:t>
      </w:r>
      <w:r>
        <w:rPr>
          <w:rFonts w:hint="eastAsia" w:ascii="宋体" w:hAnsi="宋体" w:cs="宋体"/>
          <w:sz w:val="24"/>
        </w:rPr>
        <w:t>解决。</w:t>
      </w:r>
    </w:p>
    <w:p w14:paraId="72A99D7E">
      <w:pPr>
        <w:spacing w:line="360" w:lineRule="auto"/>
        <w:ind w:firstLine="480" w:firstLineChars="200"/>
        <w:jc w:val="left"/>
        <w:rPr>
          <w:rFonts w:hint="eastAsia" w:ascii="宋体" w:hAnsi="宋体" w:cs="宋体"/>
          <w:sz w:val="24"/>
        </w:rPr>
      </w:pPr>
      <w:r>
        <w:rPr>
          <w:rFonts w:ascii="宋体" w:hAnsi="宋体" w:cs="宋体"/>
          <w:sz w:val="24"/>
        </w:rPr>
        <w:t>3</w:t>
      </w:r>
      <w:r>
        <w:rPr>
          <w:rFonts w:hint="eastAsia" w:ascii="宋体" w:hAnsi="宋体" w:cs="宋体"/>
          <w:sz w:val="24"/>
        </w:rPr>
        <w:t>．充分发挥学科的综合优势和学术群体的作用，每位导师每届指导学生原则上不超过</w:t>
      </w:r>
      <w:r>
        <w:rPr>
          <w:rFonts w:ascii="宋体" w:hAnsi="宋体" w:cs="宋体"/>
          <w:sz w:val="24"/>
        </w:rPr>
        <w:t>5</w:t>
      </w:r>
      <w:r>
        <w:rPr>
          <w:rFonts w:hint="eastAsia" w:ascii="宋体" w:hAnsi="宋体" w:cs="宋体"/>
          <w:sz w:val="24"/>
        </w:rPr>
        <w:t>名，新增导师首次招生原则上指导</w:t>
      </w:r>
      <w:r>
        <w:rPr>
          <w:rFonts w:ascii="宋体" w:hAnsi="宋体" w:cs="宋体"/>
          <w:sz w:val="24"/>
        </w:rPr>
        <w:t>1—2</w:t>
      </w:r>
      <w:r>
        <w:rPr>
          <w:rFonts w:hint="eastAsia" w:ascii="宋体" w:hAnsi="宋体" w:cs="宋体"/>
          <w:sz w:val="24"/>
        </w:rPr>
        <w:t>名学生。</w:t>
      </w:r>
    </w:p>
    <w:p w14:paraId="5EFF56F2">
      <w:pPr>
        <w:spacing w:line="360" w:lineRule="auto"/>
        <w:ind w:firstLine="480" w:firstLineChars="200"/>
        <w:jc w:val="left"/>
        <w:rPr>
          <w:rFonts w:hint="eastAsia" w:ascii="宋体" w:hAnsi="宋体" w:cs="宋体"/>
          <w:sz w:val="24"/>
        </w:rPr>
      </w:pPr>
      <w:r>
        <w:rPr>
          <w:rFonts w:ascii="宋体" w:hAnsi="宋体" w:cs="宋体"/>
          <w:sz w:val="24"/>
        </w:rPr>
        <w:t>4</w:t>
      </w:r>
      <w:r>
        <w:rPr>
          <w:rFonts w:hint="eastAsia" w:ascii="宋体" w:hAnsi="宋体" w:cs="宋体"/>
          <w:sz w:val="24"/>
        </w:rPr>
        <w:t>．贯彻因材施教的原则，充分发挥硕士生的个人才能和特长，对研究生的学习重点、学习时间和方式、学位论文的选题，根据每个硕士生的基础和具体情况进行安排。</w:t>
      </w:r>
      <w:r>
        <w:rPr>
          <w:rFonts w:ascii="宋体" w:hAnsi="宋体" w:cs="宋体"/>
          <w:sz w:val="24"/>
        </w:rPr>
        <w:t>结合专业特点撰写</w:t>
      </w:r>
      <w:r>
        <w:rPr>
          <w:rFonts w:hint="eastAsia" w:ascii="宋体" w:hAnsi="宋体" w:cs="宋体"/>
          <w:sz w:val="24"/>
        </w:rPr>
        <w:t>学位论文。</w:t>
      </w:r>
    </w:p>
    <w:p w14:paraId="15059202">
      <w:pPr>
        <w:spacing w:line="440" w:lineRule="exact"/>
        <w:ind w:firstLine="560" w:firstLineChars="200"/>
        <w:rPr>
          <w:rFonts w:eastAsia="黑体"/>
          <w:bCs/>
          <w:sz w:val="28"/>
          <w:szCs w:val="28"/>
        </w:rPr>
      </w:pPr>
      <w:r>
        <w:rPr>
          <w:rFonts w:eastAsia="黑体"/>
          <w:bCs/>
          <w:sz w:val="28"/>
          <w:szCs w:val="28"/>
        </w:rPr>
        <w:t>七、中期筛选</w:t>
      </w:r>
    </w:p>
    <w:p w14:paraId="0462E09F">
      <w:pPr>
        <w:spacing w:before="156" w:beforeLines="50" w:line="360" w:lineRule="auto"/>
        <w:ind w:firstLine="480" w:firstLineChars="200"/>
        <w:rPr>
          <w:rFonts w:eastAsiaTheme="minorEastAsia"/>
          <w:bCs/>
          <w:sz w:val="24"/>
        </w:rPr>
      </w:pPr>
      <w:bookmarkStart w:id="0" w:name="_Toc59002625"/>
      <w:r>
        <w:rPr>
          <w:rFonts w:eastAsiaTheme="minorEastAsia"/>
          <w:bCs/>
          <w:sz w:val="24"/>
        </w:rPr>
        <w:t>在完成培养方案规定的课程学习、考核成绩合格、获得规定的学分后，</w:t>
      </w:r>
      <w:bookmarkEnd w:id="0"/>
      <w:r>
        <w:rPr>
          <w:rFonts w:eastAsiaTheme="minorEastAsia"/>
          <w:bCs/>
          <w:sz w:val="24"/>
        </w:rPr>
        <w:t>按照《河北大学研究生中期筛选管理办法》（校政字〔2021〕15号）的相关规定，组织开展中期筛选工作。</w:t>
      </w:r>
    </w:p>
    <w:p w14:paraId="0B712114">
      <w:pPr>
        <w:spacing w:line="440" w:lineRule="exact"/>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3B32F1A7">
      <w:pPr>
        <w:widowControl/>
        <w:spacing w:before="105" w:after="105" w:line="360" w:lineRule="auto"/>
        <w:ind w:firstLine="482"/>
        <w:jc w:val="left"/>
        <w:rPr>
          <w:rFonts w:hint="eastAsia" w:eastAsia="宋体"/>
          <w:bCs/>
          <w:color w:val="222222"/>
          <w:kern w:val="0"/>
          <w:sz w:val="24"/>
          <w:lang w:eastAsia="zh-CN"/>
        </w:rPr>
      </w:pPr>
      <w:r>
        <w:rPr>
          <w:bCs/>
          <w:color w:val="222222"/>
          <w:kern w:val="0"/>
          <w:sz w:val="24"/>
        </w:rPr>
        <w:t>1.总体要求</w:t>
      </w:r>
      <w:r>
        <w:rPr>
          <w:rFonts w:hint="eastAsia"/>
          <w:bCs/>
          <w:color w:val="222222"/>
          <w:kern w:val="0"/>
          <w:sz w:val="24"/>
        </w:rPr>
        <w:t>：</w:t>
      </w:r>
      <w:r>
        <w:rPr>
          <w:bCs/>
          <w:color w:val="222222"/>
          <w:kern w:val="0"/>
          <w:sz w:val="24"/>
        </w:rPr>
        <w:t>按照《河北大学关于开展2025版研究生培养方案修订工作的指导意见》（校政字〔2025〕</w:t>
      </w:r>
      <w:r>
        <w:rPr>
          <w:rFonts w:hint="eastAsia"/>
          <w:bCs/>
          <w:color w:val="222222"/>
          <w:kern w:val="0"/>
          <w:sz w:val="24"/>
          <w:vertAlign w:val="baseline"/>
          <w:lang w:val="en-US" w:eastAsia="zh-CN"/>
        </w:rPr>
        <w:t>9</w:t>
      </w:r>
      <w:r>
        <w:rPr>
          <w:bCs/>
          <w:color w:val="222222"/>
          <w:kern w:val="0"/>
          <w:sz w:val="24"/>
        </w:rPr>
        <w:t>号）规定，硕士研究生论文开题与答辩时间间隔原则上不少于12个月。学位（毕业）论文应当表明作者具有独立从事学术研究工作的能力</w:t>
      </w:r>
      <w:r>
        <w:rPr>
          <w:rFonts w:hint="eastAsia"/>
          <w:bCs/>
          <w:color w:val="222222"/>
          <w:kern w:val="0"/>
          <w:sz w:val="24"/>
          <w:lang w:eastAsia="zh-CN"/>
        </w:rPr>
        <w:t>。</w:t>
      </w:r>
    </w:p>
    <w:p w14:paraId="26D439DB">
      <w:pPr>
        <w:widowControl/>
        <w:spacing w:before="105" w:after="105" w:line="360" w:lineRule="auto"/>
        <w:ind w:firstLine="482"/>
        <w:jc w:val="left"/>
        <w:rPr>
          <w:bCs/>
          <w:color w:val="222222"/>
          <w:kern w:val="0"/>
          <w:sz w:val="24"/>
        </w:rPr>
      </w:pPr>
      <w:r>
        <w:rPr>
          <w:bCs/>
          <w:color w:val="222222"/>
          <w:kern w:val="0"/>
          <w:sz w:val="24"/>
        </w:rPr>
        <w:t>2.开题</w:t>
      </w:r>
      <w:r>
        <w:rPr>
          <w:rFonts w:hint="eastAsia"/>
          <w:bCs/>
          <w:color w:val="222222"/>
          <w:kern w:val="0"/>
          <w:sz w:val="24"/>
        </w:rPr>
        <w:t>：</w:t>
      </w:r>
      <w:r>
        <w:rPr>
          <w:bCs/>
          <w:color w:val="222222"/>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w:t>
      </w:r>
      <w:r>
        <w:rPr>
          <w:rFonts w:hint="eastAsia"/>
          <w:bCs/>
          <w:color w:val="222222"/>
          <w:kern w:val="0"/>
          <w:sz w:val="24"/>
          <w:lang w:val="en-US" w:eastAsia="zh-CN"/>
        </w:rPr>
        <w:t>内容</w:t>
      </w:r>
      <w:r>
        <w:rPr>
          <w:bCs/>
          <w:color w:val="222222"/>
          <w:kern w:val="0"/>
          <w:sz w:val="24"/>
        </w:rPr>
        <w:t>。</w:t>
      </w:r>
    </w:p>
    <w:p w14:paraId="4BA7BE3B">
      <w:pPr>
        <w:widowControl/>
        <w:spacing w:before="105" w:after="105" w:line="360" w:lineRule="auto"/>
        <w:ind w:firstLine="482"/>
        <w:jc w:val="left"/>
        <w:rPr>
          <w:bCs/>
          <w:color w:val="222222"/>
          <w:kern w:val="0"/>
          <w:sz w:val="24"/>
        </w:rPr>
      </w:pPr>
      <w:r>
        <w:rPr>
          <w:bCs/>
          <w:color w:val="222222"/>
          <w:kern w:val="0"/>
          <w:sz w:val="24"/>
        </w:rPr>
        <w:t>原则上在入学后第3学期（最迟</w:t>
      </w:r>
      <w:r>
        <w:rPr>
          <w:rFonts w:hint="eastAsia"/>
          <w:bCs/>
          <w:color w:val="222222"/>
          <w:kern w:val="0"/>
          <w:sz w:val="24"/>
          <w:lang w:val="en-US" w:eastAsia="zh-CN"/>
        </w:rPr>
        <w:t>在</w:t>
      </w:r>
      <w:r>
        <w:rPr>
          <w:bCs/>
          <w:color w:val="222222"/>
          <w:kern w:val="0"/>
          <w:sz w:val="24"/>
        </w:rPr>
        <w:t>第4学期）完成开题。开题由3-5名具有高级专业技术职务人员参加，以学术报告的方式进行。</w:t>
      </w:r>
    </w:p>
    <w:p w14:paraId="36961AA3">
      <w:pPr>
        <w:widowControl/>
        <w:spacing w:before="105" w:after="105" w:line="360" w:lineRule="auto"/>
        <w:ind w:firstLine="482"/>
        <w:jc w:val="left"/>
        <w:rPr>
          <w:bCs/>
          <w:color w:val="222222"/>
          <w:kern w:val="0"/>
          <w:sz w:val="24"/>
        </w:rPr>
      </w:pPr>
      <w:r>
        <w:rPr>
          <w:bCs/>
          <w:color w:val="222222"/>
          <w:kern w:val="0"/>
          <w:sz w:val="24"/>
        </w:rPr>
        <w:t>3.中期进展报告：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26C24BC1">
      <w:pPr>
        <w:widowControl/>
        <w:spacing w:before="105" w:after="105" w:line="360" w:lineRule="auto"/>
        <w:ind w:firstLine="482"/>
        <w:jc w:val="left"/>
        <w:rPr>
          <w:bCs/>
          <w:color w:val="222222"/>
          <w:kern w:val="0"/>
          <w:sz w:val="24"/>
        </w:rPr>
      </w:pPr>
      <w:r>
        <w:rPr>
          <w:bCs/>
          <w:color w:val="222222"/>
          <w:kern w:val="0"/>
          <w:sz w:val="24"/>
        </w:rPr>
        <w:t>4.学位申请：达到学位授予条件的申请人，经导师同意后，应于答辩前三个月，向所属学位评定分委员会提出学位申请，提交学位申请材料。</w:t>
      </w:r>
    </w:p>
    <w:p w14:paraId="64FD3E00">
      <w:pPr>
        <w:widowControl/>
        <w:spacing w:before="105" w:after="105" w:line="360" w:lineRule="auto"/>
        <w:ind w:firstLine="482"/>
        <w:jc w:val="left"/>
        <w:rPr>
          <w:bCs/>
          <w:color w:val="222222"/>
          <w:kern w:val="0"/>
          <w:sz w:val="24"/>
        </w:rPr>
      </w:pPr>
      <w:r>
        <w:rPr>
          <w:bCs/>
          <w:color w:val="222222"/>
          <w:kern w:val="0"/>
          <w:sz w:val="24"/>
        </w:rPr>
        <w:t>5.预答辩：学位申请人须进行学位论文预答辩。预答辩通过者，方可进入学位论文评阅、学位论文答辩等环节</w:t>
      </w:r>
      <w:r>
        <w:rPr>
          <w:rFonts w:hint="eastAsia"/>
          <w:bCs/>
          <w:color w:val="222222"/>
          <w:kern w:val="0"/>
          <w:sz w:val="24"/>
        </w:rPr>
        <w:t>。</w:t>
      </w:r>
      <w:r>
        <w:rPr>
          <w:bCs/>
          <w:color w:val="222222"/>
          <w:kern w:val="0"/>
          <w:sz w:val="24"/>
        </w:rPr>
        <w:t>学位（毕业）论文预答辩在正式答辩前3个月进行。</w:t>
      </w:r>
    </w:p>
    <w:p w14:paraId="7361B1E9">
      <w:pPr>
        <w:widowControl/>
        <w:spacing w:before="105" w:after="105" w:line="360" w:lineRule="auto"/>
        <w:ind w:firstLine="482"/>
        <w:jc w:val="left"/>
        <w:rPr>
          <w:bCs/>
          <w:color w:val="222222"/>
          <w:kern w:val="0"/>
          <w:sz w:val="24"/>
        </w:rPr>
      </w:pPr>
      <w:r>
        <w:rPr>
          <w:bCs/>
          <w:color w:val="222222"/>
          <w:kern w:val="0"/>
          <w:sz w:val="24"/>
        </w:rPr>
        <w:t>6.论文评阅：学位（毕业）论文在获得导师组认可，经培养单位形式审查合格，并通过预答辩，方可提出进入评阅程序的申请。论文评阅在正式答辩前40天由研究生提出，由</w:t>
      </w:r>
      <w:r>
        <w:rPr>
          <w:rFonts w:hint="eastAsia"/>
          <w:bCs/>
          <w:color w:val="222222"/>
          <w:kern w:val="0"/>
          <w:sz w:val="24"/>
        </w:rPr>
        <w:t>学院</w:t>
      </w:r>
      <w:r>
        <w:rPr>
          <w:bCs/>
          <w:color w:val="222222"/>
          <w:kern w:val="0"/>
          <w:sz w:val="24"/>
        </w:rPr>
        <w:t>依据相关规定进行匿名评审。评阅结果及异议处理按照《河北大学研究生学位论文或者实践成果评审管理办法》（校政字〔2025〕8号）执行。</w:t>
      </w:r>
    </w:p>
    <w:p w14:paraId="51E8CE54">
      <w:pPr>
        <w:widowControl/>
        <w:spacing w:before="105" w:after="105" w:line="360" w:lineRule="auto"/>
        <w:ind w:firstLine="482"/>
        <w:jc w:val="left"/>
        <w:rPr>
          <w:bCs/>
          <w:color w:val="222222"/>
          <w:kern w:val="0"/>
          <w:sz w:val="24"/>
        </w:rPr>
      </w:pPr>
      <w:r>
        <w:rPr>
          <w:bCs/>
          <w:color w:val="222222"/>
          <w:kern w:val="0"/>
          <w:sz w:val="24"/>
        </w:rPr>
        <w:t>7.答辩：学位（毕业）论文答辩按照《河北大学博士、硕士学位授予工作实施细则》（校政字〔2025〕7号）执行。</w:t>
      </w:r>
    </w:p>
    <w:p w14:paraId="25BFBB7E">
      <w:pPr>
        <w:spacing w:line="440" w:lineRule="exact"/>
        <w:ind w:firstLine="560" w:firstLineChars="200"/>
        <w:rPr>
          <w:rFonts w:hint="eastAsia" w:eastAsia="黑体"/>
          <w:bCs/>
          <w:sz w:val="28"/>
          <w:szCs w:val="28"/>
        </w:rPr>
      </w:pPr>
      <w:r>
        <w:rPr>
          <w:rFonts w:hint="eastAsia" w:eastAsia="黑体"/>
          <w:bCs/>
          <w:sz w:val="28"/>
          <w:szCs w:val="28"/>
        </w:rPr>
        <w:t>九、毕业条件</w:t>
      </w:r>
    </w:p>
    <w:p w14:paraId="1ACFDFFB">
      <w:pPr>
        <w:spacing w:line="360" w:lineRule="auto"/>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4DFADC13">
      <w:pPr>
        <w:spacing w:line="360" w:lineRule="auto"/>
        <w:ind w:firstLine="480" w:firstLineChars="200"/>
        <w:rPr>
          <w:rFonts w:eastAsiaTheme="minorEastAsia"/>
          <w:color w:val="000000"/>
          <w:sz w:val="24"/>
        </w:rPr>
      </w:pPr>
      <w:r>
        <w:rPr>
          <w:rFonts w:eastAsiaTheme="minorEastAsia"/>
          <w:bCs/>
          <w:sz w:val="24"/>
        </w:rPr>
        <w:t>2. 学术活动。研究生</w:t>
      </w:r>
      <w:r>
        <w:rPr>
          <w:rFonts w:eastAsiaTheme="minorEastAsia"/>
          <w:color w:val="000000"/>
          <w:sz w:val="24"/>
        </w:rPr>
        <w:t>在读期间参加不少于</w:t>
      </w:r>
      <w:r>
        <w:rPr>
          <w:rFonts w:eastAsiaTheme="minorEastAsia"/>
          <w:iCs/>
          <w:sz w:val="24"/>
        </w:rPr>
        <w:t>10次学术活动，并撰写学术报告小结；以主讲人或宣讲人身份，参加在校内外举行的学术报告或学术讲座不少于1次</w:t>
      </w:r>
      <w:r>
        <w:rPr>
          <w:rFonts w:eastAsiaTheme="minorEastAsia"/>
          <w:iCs/>
          <w:color w:val="000000"/>
          <w:sz w:val="24"/>
        </w:rPr>
        <w:t>。</w:t>
      </w:r>
    </w:p>
    <w:p w14:paraId="4FFF3807">
      <w:pPr>
        <w:spacing w:line="360" w:lineRule="auto"/>
        <w:ind w:firstLine="480" w:firstLineChars="200"/>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79ECADDA">
      <w:pPr>
        <w:spacing w:line="360" w:lineRule="auto"/>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4CDFF817">
      <w:pPr>
        <w:spacing w:line="440" w:lineRule="exact"/>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7CE5102F">
      <w:pPr>
        <w:spacing w:line="360" w:lineRule="auto"/>
        <w:ind w:firstLine="480" w:firstLineChars="200"/>
        <w:rPr>
          <w:rFonts w:eastAsiaTheme="minorEastAsia"/>
          <w:iCs/>
          <w:sz w:val="24"/>
        </w:rPr>
      </w:pPr>
      <w:r>
        <w:rPr>
          <w:rFonts w:hint="eastAsia" w:eastAsiaTheme="minorEastAsia"/>
          <w:iCs/>
          <w:sz w:val="24"/>
          <w:lang w:val="en-US" w:eastAsia="zh-CN"/>
        </w:rPr>
        <w:t>成果认定执行</w:t>
      </w:r>
      <w:r>
        <w:rPr>
          <w:rFonts w:hint="eastAsia" w:eastAsiaTheme="minorEastAsia"/>
          <w:iCs/>
          <w:sz w:val="24"/>
        </w:rPr>
        <w:t>《文学院关于研究生申请学位取得创新性成果的规定》</w:t>
      </w:r>
      <w:r>
        <w:rPr>
          <w:rFonts w:hint="eastAsia" w:eastAsiaTheme="minorEastAsia"/>
          <w:iCs/>
          <w:sz w:val="24"/>
          <w:lang w:eastAsia="zh-CN"/>
        </w:rPr>
        <w:t>。</w:t>
      </w:r>
    </w:p>
    <w:p w14:paraId="2A618CB5">
      <w:pPr>
        <w:spacing w:line="440" w:lineRule="exact"/>
        <w:ind w:firstLine="560" w:firstLineChars="200"/>
        <w:rPr>
          <w:rFonts w:eastAsia="黑体"/>
          <w:bCs/>
          <w:sz w:val="28"/>
          <w:szCs w:val="28"/>
        </w:rPr>
      </w:pPr>
      <w:r>
        <w:rPr>
          <w:rFonts w:eastAsia="黑体"/>
          <w:bCs/>
          <w:sz w:val="28"/>
          <w:szCs w:val="28"/>
        </w:rPr>
        <w:t>十一、学位授予</w:t>
      </w:r>
    </w:p>
    <w:p w14:paraId="1231F881">
      <w:pPr>
        <w:spacing w:line="360" w:lineRule="auto"/>
        <w:ind w:firstLine="480" w:firstLineChars="200"/>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满足本学院制定的创新性成果要求，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42B689DC">
      <w:pPr>
        <w:spacing w:line="440" w:lineRule="exact"/>
        <w:ind w:firstLine="560" w:firstLineChars="200"/>
        <w:rPr>
          <w:rFonts w:eastAsia="黑体"/>
          <w:bCs/>
          <w:sz w:val="28"/>
          <w:szCs w:val="28"/>
        </w:rPr>
      </w:pPr>
      <w:bookmarkStart w:id="1" w:name="_GoBack"/>
      <w:bookmarkEnd w:id="1"/>
      <w:r>
        <w:rPr>
          <w:rFonts w:eastAsia="黑体"/>
          <w:bCs/>
          <w:sz w:val="28"/>
          <w:szCs w:val="28"/>
        </w:rPr>
        <w:t>十</w:t>
      </w:r>
      <w:r>
        <w:rPr>
          <w:rFonts w:hint="eastAsia" w:eastAsia="黑体"/>
          <w:bCs/>
          <w:sz w:val="28"/>
          <w:szCs w:val="28"/>
        </w:rPr>
        <w:t>二</w:t>
      </w:r>
      <w:r>
        <w:rPr>
          <w:rFonts w:eastAsia="黑体"/>
          <w:bCs/>
          <w:sz w:val="28"/>
          <w:szCs w:val="28"/>
        </w:rPr>
        <w:t>、学分及课程设置</w:t>
      </w:r>
    </w:p>
    <w:p w14:paraId="20C5B084">
      <w:pPr>
        <w:spacing w:line="360" w:lineRule="auto"/>
        <w:ind w:firstLine="480" w:firstLineChars="200"/>
        <w:rPr>
          <w:rFonts w:eastAsiaTheme="minorEastAsia"/>
          <w:sz w:val="24"/>
          <w:highlight w:val="yellow"/>
        </w:rPr>
      </w:pPr>
      <w:r>
        <w:rPr>
          <w:rFonts w:hint="eastAsia" w:asciiTheme="minorEastAsia" w:hAnsiTheme="minorEastAsia" w:eastAsiaTheme="minorEastAsia"/>
          <w:sz w:val="24"/>
        </w:rPr>
        <w:t>本专业</w:t>
      </w:r>
      <w:r>
        <w:rPr>
          <w:rFonts w:hint="eastAsia" w:eastAsiaTheme="minorEastAsia"/>
          <w:sz w:val="24"/>
        </w:rPr>
        <w:t>最低毕业学分为2</w:t>
      </w:r>
      <w:r>
        <w:rPr>
          <w:rFonts w:hint="eastAsia" w:eastAsiaTheme="minorEastAsia"/>
          <w:sz w:val="24"/>
          <w:lang w:val="en-US" w:eastAsia="zh-CN"/>
        </w:rPr>
        <w:t>9</w:t>
      </w:r>
      <w:r>
        <w:rPr>
          <w:rFonts w:hint="eastAsia" w:eastAsiaTheme="minorEastAsia"/>
          <w:sz w:val="24"/>
        </w:rPr>
        <w:t>学分，</w:t>
      </w:r>
      <w:r>
        <w:rPr>
          <w:rFonts w:eastAsiaTheme="minorEastAsia"/>
          <w:sz w:val="24"/>
        </w:rPr>
        <w:t>其中学位课</w:t>
      </w:r>
      <w:r>
        <w:rPr>
          <w:rFonts w:hint="eastAsia" w:eastAsiaTheme="minorEastAsia"/>
          <w:sz w:val="24"/>
        </w:rPr>
        <w:t>11</w:t>
      </w:r>
      <w:r>
        <w:rPr>
          <w:rFonts w:eastAsiaTheme="minorEastAsia"/>
          <w:sz w:val="24"/>
        </w:rPr>
        <w:t>学分</w:t>
      </w:r>
      <w:r>
        <w:rPr>
          <w:rFonts w:hint="eastAsia" w:eastAsiaTheme="minorEastAsia"/>
          <w:sz w:val="24"/>
        </w:rPr>
        <w:t>，</w:t>
      </w:r>
      <w:r>
        <w:rPr>
          <w:rFonts w:eastAsiaTheme="minorEastAsia"/>
          <w:sz w:val="24"/>
        </w:rPr>
        <w:t>非学位课</w:t>
      </w:r>
      <w:r>
        <w:rPr>
          <w:rFonts w:hint="eastAsia" w:eastAsiaTheme="minorEastAsia"/>
          <w:sz w:val="24"/>
        </w:rPr>
        <w:t>1</w:t>
      </w:r>
      <w:r>
        <w:rPr>
          <w:rFonts w:hint="eastAsia" w:eastAsiaTheme="minorEastAsia"/>
          <w:sz w:val="24"/>
          <w:lang w:val="en-US" w:eastAsia="zh-CN"/>
        </w:rPr>
        <w:t>7</w:t>
      </w:r>
      <w:r>
        <w:rPr>
          <w:rFonts w:eastAsiaTheme="minorEastAsia"/>
          <w:sz w:val="24"/>
        </w:rPr>
        <w:t>学分</w:t>
      </w:r>
      <w:r>
        <w:rPr>
          <w:rFonts w:hint="eastAsia" w:eastAsiaTheme="minorEastAsia"/>
          <w:sz w:val="24"/>
        </w:rPr>
        <w:t>，</w:t>
      </w:r>
      <w:r>
        <w:rPr>
          <w:rFonts w:eastAsiaTheme="minorEastAsia"/>
          <w:sz w:val="24"/>
        </w:rPr>
        <w:t>必修环节</w:t>
      </w:r>
      <w:r>
        <w:rPr>
          <w:rFonts w:hint="eastAsia" w:eastAsiaTheme="minorEastAsia"/>
          <w:sz w:val="24"/>
        </w:rPr>
        <w:t>1</w:t>
      </w:r>
      <w:r>
        <w:rPr>
          <w:rFonts w:hint="eastAsia" w:eastAsiaTheme="minorEastAsia"/>
          <w:sz w:val="24"/>
          <w:lang w:val="en-US" w:eastAsia="zh-CN"/>
        </w:rPr>
        <w:t>学</w:t>
      </w:r>
      <w:r>
        <w:rPr>
          <w:rFonts w:eastAsiaTheme="minorEastAsia"/>
          <w:sz w:val="24"/>
        </w:rPr>
        <w:t>分</w:t>
      </w:r>
      <w:r>
        <w:rPr>
          <w:rFonts w:hint="eastAsia" w:eastAsiaTheme="minorEastAsia"/>
          <w:sz w:val="24"/>
        </w:rPr>
        <w:t>。</w:t>
      </w:r>
    </w:p>
    <w:p w14:paraId="014C94DB">
      <w:pPr>
        <w:spacing w:line="360" w:lineRule="auto"/>
        <w:rPr>
          <w:color w:val="FF0000"/>
          <w:sz w:val="24"/>
        </w:rPr>
      </w:pPr>
      <w:r>
        <w:rPr>
          <w:rFonts w:eastAsiaTheme="minorEastAsia"/>
          <w:color w:val="000000"/>
          <w:sz w:val="24"/>
        </w:rPr>
        <w:t xml:space="preserve">    课程考试不设补考环节，</w:t>
      </w:r>
      <w:r>
        <w:rPr>
          <w:color w:val="000000"/>
          <w:sz w:val="24"/>
        </w:rPr>
        <w:t>考试成绩低于60分的需重修。</w:t>
      </w:r>
    </w:p>
    <w:p w14:paraId="16C9994E">
      <w:pPr>
        <w:spacing w:after="156" w:afterLines="50" w:line="440" w:lineRule="exact"/>
        <w:ind w:firstLine="482" w:firstLineChars="200"/>
        <w:jc w:val="center"/>
        <w:rPr>
          <w:rFonts w:eastAsiaTheme="minorEastAsia"/>
          <w:b/>
          <w:bCs/>
          <w:sz w:val="24"/>
        </w:rPr>
      </w:pPr>
      <w:r>
        <w:rPr>
          <w:rFonts w:hint="eastAsia" w:eastAsiaTheme="minorEastAsia"/>
          <w:b/>
          <w:bCs/>
          <w:sz w:val="24"/>
        </w:rPr>
        <w:t>语言学及应用语言学</w:t>
      </w:r>
      <w:r>
        <w:rPr>
          <w:rFonts w:eastAsiaTheme="minorEastAsia"/>
          <w:b/>
          <w:bCs/>
          <w:sz w:val="24"/>
        </w:rPr>
        <w:t>学术学位硕士研究生课程及培养环节设置一览表</w:t>
      </w:r>
    </w:p>
    <w:tbl>
      <w:tblPr>
        <w:tblStyle w:val="11"/>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06848F5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61456E70">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516" w:type="dxa"/>
            <w:vAlign w:val="center"/>
          </w:tcPr>
          <w:p w14:paraId="37B0FF92">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081" w:type="dxa"/>
            <w:vAlign w:val="center"/>
          </w:tcPr>
          <w:p w14:paraId="55EF554F">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709" w:type="dxa"/>
            <w:vAlign w:val="center"/>
          </w:tcPr>
          <w:p w14:paraId="674C6C75">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24B397A8">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2BE49EAF">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73904D3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1E133BFB">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tc>
        <w:tc>
          <w:tcPr>
            <w:tcW w:w="1226" w:type="dxa"/>
            <w:vMerge w:val="restart"/>
            <w:vAlign w:val="center"/>
          </w:tcPr>
          <w:p w14:paraId="1488C7F2">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4BD0FF9A">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516" w:type="dxa"/>
            <w:vAlign w:val="center"/>
          </w:tcPr>
          <w:p w14:paraId="02CD8CBC">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新时代中国特色社会主义理论与实践</w:t>
            </w:r>
          </w:p>
        </w:tc>
        <w:tc>
          <w:tcPr>
            <w:tcW w:w="1081" w:type="dxa"/>
            <w:vAlign w:val="center"/>
          </w:tcPr>
          <w:p w14:paraId="5C93A4CD">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TS0000001</w:t>
            </w:r>
          </w:p>
        </w:tc>
        <w:tc>
          <w:tcPr>
            <w:tcW w:w="709" w:type="dxa"/>
            <w:vAlign w:val="center"/>
          </w:tcPr>
          <w:p w14:paraId="14312B4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11FA0B0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4324D8B6">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35E9A39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48D60B84">
            <w:pPr>
              <w:jc w:val="center"/>
              <w:rPr>
                <w:b/>
                <w:color w:val="000000" w:themeColor="text1"/>
                <w:sz w:val="18"/>
                <w:szCs w:val="18"/>
                <w14:textFill>
                  <w14:solidFill>
                    <w14:schemeClr w14:val="tx1"/>
                  </w14:solidFill>
                </w14:textFill>
              </w:rPr>
            </w:pPr>
          </w:p>
        </w:tc>
        <w:tc>
          <w:tcPr>
            <w:tcW w:w="1226" w:type="dxa"/>
            <w:vMerge w:val="continue"/>
            <w:vAlign w:val="center"/>
          </w:tcPr>
          <w:p w14:paraId="73651A2D">
            <w:pPr>
              <w:jc w:val="center"/>
              <w:rPr>
                <w:b/>
                <w:color w:val="000000" w:themeColor="text1"/>
                <w:sz w:val="18"/>
                <w:szCs w:val="18"/>
                <w14:textFill>
                  <w14:solidFill>
                    <w14:schemeClr w14:val="tx1"/>
                  </w14:solidFill>
                </w14:textFill>
              </w:rPr>
            </w:pPr>
          </w:p>
        </w:tc>
        <w:tc>
          <w:tcPr>
            <w:tcW w:w="3516" w:type="dxa"/>
            <w:vAlign w:val="center"/>
          </w:tcPr>
          <w:p w14:paraId="6B81848E">
            <w:pPr>
              <w:rPr>
                <w:sz w:val="18"/>
                <w:szCs w:val="18"/>
              </w:rPr>
            </w:pPr>
            <w:r>
              <w:rPr>
                <w:sz w:val="18"/>
                <w:szCs w:val="18"/>
              </w:rPr>
              <w:t>通用学术英语</w:t>
            </w:r>
          </w:p>
        </w:tc>
        <w:tc>
          <w:tcPr>
            <w:tcW w:w="1081" w:type="dxa"/>
            <w:vAlign w:val="center"/>
          </w:tcPr>
          <w:p w14:paraId="5376DF4A">
            <w:pPr>
              <w:jc w:val="center"/>
              <w:rPr>
                <w:sz w:val="18"/>
                <w:szCs w:val="18"/>
              </w:rPr>
            </w:pPr>
            <w:r>
              <w:rPr>
                <w:sz w:val="18"/>
                <w:szCs w:val="18"/>
              </w:rPr>
              <w:t>TS0000002</w:t>
            </w:r>
          </w:p>
        </w:tc>
        <w:tc>
          <w:tcPr>
            <w:tcW w:w="709" w:type="dxa"/>
            <w:vAlign w:val="center"/>
          </w:tcPr>
          <w:p w14:paraId="1A2BE89E">
            <w:pPr>
              <w:jc w:val="center"/>
              <w:rPr>
                <w:sz w:val="18"/>
                <w:szCs w:val="18"/>
              </w:rPr>
            </w:pPr>
            <w:r>
              <w:rPr>
                <w:sz w:val="18"/>
                <w:szCs w:val="18"/>
              </w:rPr>
              <w:t>2</w:t>
            </w:r>
          </w:p>
        </w:tc>
        <w:tc>
          <w:tcPr>
            <w:tcW w:w="709" w:type="dxa"/>
            <w:vAlign w:val="center"/>
          </w:tcPr>
          <w:p w14:paraId="4728D310">
            <w:pPr>
              <w:jc w:val="center"/>
              <w:rPr>
                <w:sz w:val="18"/>
                <w:szCs w:val="18"/>
              </w:rPr>
            </w:pPr>
            <w:r>
              <w:rPr>
                <w:sz w:val="18"/>
                <w:szCs w:val="18"/>
              </w:rPr>
              <w:t>1</w:t>
            </w:r>
          </w:p>
        </w:tc>
        <w:tc>
          <w:tcPr>
            <w:tcW w:w="1045" w:type="dxa"/>
            <w:vAlign w:val="center"/>
          </w:tcPr>
          <w:p w14:paraId="558456F7">
            <w:pPr>
              <w:jc w:val="center"/>
              <w:rPr>
                <w:sz w:val="18"/>
                <w:szCs w:val="18"/>
              </w:rPr>
            </w:pPr>
            <w:r>
              <w:rPr>
                <w:rFonts w:hint="eastAsia"/>
                <w:sz w:val="18"/>
                <w:szCs w:val="18"/>
              </w:rPr>
              <w:t>考查</w:t>
            </w:r>
          </w:p>
        </w:tc>
      </w:tr>
      <w:tr w14:paraId="0FC874D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F119D8A">
            <w:pPr>
              <w:jc w:val="center"/>
              <w:rPr>
                <w:b/>
                <w:color w:val="000000" w:themeColor="text1"/>
                <w:sz w:val="18"/>
                <w:szCs w:val="18"/>
                <w14:textFill>
                  <w14:solidFill>
                    <w14:schemeClr w14:val="tx1"/>
                  </w14:solidFill>
                </w14:textFill>
              </w:rPr>
            </w:pPr>
          </w:p>
        </w:tc>
        <w:tc>
          <w:tcPr>
            <w:tcW w:w="1226" w:type="dxa"/>
            <w:vAlign w:val="center"/>
          </w:tcPr>
          <w:p w14:paraId="59E34BC2">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学科基础课</w:t>
            </w:r>
          </w:p>
          <w:p w14:paraId="1DE7BEDE">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1</w:t>
            </w:r>
            <w:r>
              <w:rPr>
                <w:b/>
                <w:color w:val="000000" w:themeColor="text1"/>
                <w:sz w:val="18"/>
                <w:szCs w:val="18"/>
                <w14:textFill>
                  <w14:solidFill>
                    <w14:schemeClr w14:val="tx1"/>
                  </w14:solidFill>
                </w14:textFill>
              </w:rPr>
              <w:t>学分）</w:t>
            </w:r>
          </w:p>
        </w:tc>
        <w:tc>
          <w:tcPr>
            <w:tcW w:w="3516" w:type="dxa"/>
            <w:vAlign w:val="center"/>
          </w:tcPr>
          <w:p w14:paraId="3B53365C">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学术道德与论文写作</w:t>
            </w:r>
          </w:p>
        </w:tc>
        <w:tc>
          <w:tcPr>
            <w:tcW w:w="1081" w:type="dxa"/>
            <w:vAlign w:val="center"/>
          </w:tcPr>
          <w:p w14:paraId="238D5CE0">
            <w:pPr>
              <w:jc w:val="center"/>
              <w:rPr>
                <w:i/>
                <w:color w:val="FF0000"/>
                <w:sz w:val="18"/>
                <w:szCs w:val="18"/>
                <w:highlight w:val="yellow"/>
              </w:rPr>
            </w:pPr>
            <w:ins w:id="0" w:author="杰" w:date="2025-06-24T09:36:39Z">
              <w:r>
                <w:rPr>
                  <w:rFonts w:hint="eastAsia"/>
                  <w:sz w:val="18"/>
                  <w:szCs w:val="18"/>
                </w:rPr>
                <w:t>XS0100003</w:t>
              </w:r>
            </w:ins>
          </w:p>
        </w:tc>
        <w:tc>
          <w:tcPr>
            <w:tcW w:w="709" w:type="dxa"/>
            <w:vAlign w:val="center"/>
          </w:tcPr>
          <w:p w14:paraId="1FEF40F6">
            <w:pPr>
              <w:jc w:val="center"/>
            </w:pPr>
            <w:r>
              <w:rPr>
                <w:rFonts w:hint="eastAsia"/>
              </w:rPr>
              <w:t>1</w:t>
            </w:r>
          </w:p>
        </w:tc>
        <w:tc>
          <w:tcPr>
            <w:tcW w:w="709" w:type="dxa"/>
            <w:vAlign w:val="center"/>
          </w:tcPr>
          <w:p w14:paraId="7FB05993">
            <w:pPr>
              <w:jc w:val="center"/>
            </w:pPr>
            <w:r>
              <w:rPr>
                <w:rFonts w:hint="eastAsia"/>
                <w:iCs/>
                <w:sz w:val="18"/>
                <w:szCs w:val="18"/>
              </w:rPr>
              <w:t>2</w:t>
            </w:r>
          </w:p>
        </w:tc>
        <w:tc>
          <w:tcPr>
            <w:tcW w:w="1045" w:type="dxa"/>
            <w:vAlign w:val="center"/>
          </w:tcPr>
          <w:p w14:paraId="6FDB876F">
            <w:pPr>
              <w:jc w:val="center"/>
              <w:rPr>
                <w:i/>
                <w:sz w:val="18"/>
                <w:szCs w:val="18"/>
              </w:rPr>
            </w:pPr>
            <w:r>
              <w:rPr>
                <w:rFonts w:hint="eastAsia"/>
                <w:sz w:val="18"/>
                <w:szCs w:val="18"/>
              </w:rPr>
              <w:t>考查</w:t>
            </w:r>
          </w:p>
        </w:tc>
      </w:tr>
      <w:tr w14:paraId="0BE3BAB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2E1025C">
            <w:pPr>
              <w:jc w:val="center"/>
              <w:rPr>
                <w:b/>
                <w:color w:val="000000" w:themeColor="text1"/>
                <w:sz w:val="18"/>
                <w:szCs w:val="18"/>
                <w14:textFill>
                  <w14:solidFill>
                    <w14:schemeClr w14:val="tx1"/>
                  </w14:solidFill>
                </w14:textFill>
              </w:rPr>
            </w:pPr>
          </w:p>
        </w:tc>
        <w:tc>
          <w:tcPr>
            <w:tcW w:w="1226" w:type="dxa"/>
            <w:vMerge w:val="restart"/>
            <w:vAlign w:val="center"/>
          </w:tcPr>
          <w:p w14:paraId="1AF6D06C">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专业必修课</w:t>
            </w:r>
          </w:p>
          <w:p w14:paraId="1B9B164D">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6</w:t>
            </w:r>
            <w:r>
              <w:rPr>
                <w:b/>
                <w:color w:val="000000" w:themeColor="text1"/>
                <w:sz w:val="18"/>
                <w:szCs w:val="18"/>
                <w14:textFill>
                  <w14:solidFill>
                    <w14:schemeClr w14:val="tx1"/>
                  </w14:solidFill>
                </w14:textFill>
              </w:rPr>
              <w:t>学分）</w:t>
            </w:r>
          </w:p>
        </w:tc>
        <w:tc>
          <w:tcPr>
            <w:tcW w:w="3516" w:type="dxa"/>
            <w:vAlign w:val="center"/>
          </w:tcPr>
          <w:p w14:paraId="65F4A713">
            <w:r>
              <w:rPr>
                <w:sz w:val="18"/>
                <w:szCs w:val="18"/>
              </w:rPr>
              <w:t>文献阅读与论文写作</w:t>
            </w:r>
          </w:p>
        </w:tc>
        <w:tc>
          <w:tcPr>
            <w:tcW w:w="1081" w:type="dxa"/>
            <w:vAlign w:val="center"/>
          </w:tcPr>
          <w:p w14:paraId="3659F40F">
            <w:pPr>
              <w:jc w:val="center"/>
              <w:rPr>
                <w:color w:val="FF0000"/>
                <w:sz w:val="18"/>
                <w:szCs w:val="18"/>
              </w:rPr>
            </w:pPr>
            <w:r>
              <w:rPr>
                <w:rFonts w:hint="eastAsia"/>
                <w:sz w:val="18"/>
                <w:szCs w:val="18"/>
              </w:rPr>
              <w:t>XS0100001</w:t>
            </w:r>
          </w:p>
        </w:tc>
        <w:tc>
          <w:tcPr>
            <w:tcW w:w="709" w:type="dxa"/>
            <w:vAlign w:val="center"/>
          </w:tcPr>
          <w:p w14:paraId="4E711186">
            <w:pPr>
              <w:jc w:val="center"/>
              <w:rPr>
                <w:color w:val="FF0000"/>
              </w:rPr>
            </w:pPr>
            <w:r>
              <w:rPr>
                <w:rFonts w:hint="eastAsia"/>
                <w:sz w:val="18"/>
                <w:szCs w:val="18"/>
              </w:rPr>
              <w:t>3</w:t>
            </w:r>
          </w:p>
        </w:tc>
        <w:tc>
          <w:tcPr>
            <w:tcW w:w="709" w:type="dxa"/>
            <w:vAlign w:val="center"/>
          </w:tcPr>
          <w:p w14:paraId="488313B4">
            <w:pPr>
              <w:jc w:val="center"/>
              <w:rPr>
                <w:color w:val="FF0000"/>
              </w:rPr>
            </w:pPr>
            <w:r>
              <w:rPr>
                <w:rFonts w:hint="eastAsia"/>
                <w:sz w:val="18"/>
                <w:szCs w:val="18"/>
              </w:rPr>
              <w:t>1</w:t>
            </w:r>
          </w:p>
        </w:tc>
        <w:tc>
          <w:tcPr>
            <w:tcW w:w="1045" w:type="dxa"/>
            <w:vAlign w:val="center"/>
          </w:tcPr>
          <w:p w14:paraId="0FE1E40D">
            <w:pPr>
              <w:jc w:val="center"/>
              <w:rPr>
                <w:color w:val="FF0000"/>
                <w:sz w:val="18"/>
                <w:szCs w:val="18"/>
              </w:rPr>
            </w:pPr>
            <w:r>
              <w:rPr>
                <w:rFonts w:hint="eastAsia"/>
                <w:sz w:val="18"/>
                <w:szCs w:val="18"/>
              </w:rPr>
              <w:t>考查</w:t>
            </w:r>
          </w:p>
        </w:tc>
      </w:tr>
      <w:tr w14:paraId="2D27E49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AB21FEF">
            <w:pPr>
              <w:jc w:val="center"/>
              <w:rPr>
                <w:b/>
                <w:color w:val="000000" w:themeColor="text1"/>
                <w:sz w:val="18"/>
                <w:szCs w:val="18"/>
                <w14:textFill>
                  <w14:solidFill>
                    <w14:schemeClr w14:val="tx1"/>
                  </w14:solidFill>
                </w14:textFill>
              </w:rPr>
            </w:pPr>
          </w:p>
        </w:tc>
        <w:tc>
          <w:tcPr>
            <w:tcW w:w="1226" w:type="dxa"/>
            <w:vMerge w:val="continue"/>
            <w:vAlign w:val="center"/>
          </w:tcPr>
          <w:p w14:paraId="5D7A7CA1">
            <w:pPr>
              <w:jc w:val="center"/>
              <w:rPr>
                <w:b/>
                <w:color w:val="000000" w:themeColor="text1"/>
                <w:sz w:val="18"/>
                <w:szCs w:val="18"/>
                <w14:textFill>
                  <w14:solidFill>
                    <w14:schemeClr w14:val="tx1"/>
                  </w14:solidFill>
                </w14:textFill>
              </w:rPr>
            </w:pPr>
          </w:p>
        </w:tc>
        <w:tc>
          <w:tcPr>
            <w:tcW w:w="3516" w:type="dxa"/>
            <w:vAlign w:val="center"/>
          </w:tcPr>
          <w:p w14:paraId="0E64DB3A">
            <w:r>
              <w:rPr>
                <w:rFonts w:hint="eastAsia"/>
                <w:sz w:val="18"/>
                <w:szCs w:val="18"/>
              </w:rPr>
              <w:t>中国语言文学研究的前沿与热点问题</w:t>
            </w:r>
          </w:p>
        </w:tc>
        <w:tc>
          <w:tcPr>
            <w:tcW w:w="1081" w:type="dxa"/>
            <w:vAlign w:val="center"/>
          </w:tcPr>
          <w:p w14:paraId="37B463B1">
            <w:pPr>
              <w:jc w:val="center"/>
              <w:rPr>
                <w:color w:val="FF0000"/>
                <w:sz w:val="18"/>
                <w:szCs w:val="18"/>
              </w:rPr>
            </w:pPr>
            <w:r>
              <w:rPr>
                <w:rFonts w:hint="eastAsia"/>
                <w:sz w:val="18"/>
                <w:szCs w:val="18"/>
              </w:rPr>
              <w:t>XS0100002</w:t>
            </w:r>
          </w:p>
        </w:tc>
        <w:tc>
          <w:tcPr>
            <w:tcW w:w="709" w:type="dxa"/>
            <w:vAlign w:val="center"/>
          </w:tcPr>
          <w:p w14:paraId="0BBF1B40">
            <w:pPr>
              <w:jc w:val="center"/>
              <w:rPr>
                <w:color w:val="FF0000"/>
              </w:rPr>
            </w:pPr>
            <w:r>
              <w:rPr>
                <w:rFonts w:hint="eastAsia"/>
                <w:sz w:val="18"/>
                <w:szCs w:val="18"/>
              </w:rPr>
              <w:t>3</w:t>
            </w:r>
          </w:p>
        </w:tc>
        <w:tc>
          <w:tcPr>
            <w:tcW w:w="709" w:type="dxa"/>
            <w:vAlign w:val="center"/>
          </w:tcPr>
          <w:p w14:paraId="37F7636C">
            <w:pPr>
              <w:jc w:val="center"/>
              <w:rPr>
                <w:color w:val="FF0000"/>
              </w:rPr>
            </w:pPr>
            <w:r>
              <w:rPr>
                <w:rFonts w:hint="eastAsia"/>
                <w:sz w:val="18"/>
                <w:szCs w:val="18"/>
              </w:rPr>
              <w:t>1</w:t>
            </w:r>
          </w:p>
        </w:tc>
        <w:tc>
          <w:tcPr>
            <w:tcW w:w="1045" w:type="dxa"/>
            <w:vAlign w:val="center"/>
          </w:tcPr>
          <w:p w14:paraId="6C8CBD31">
            <w:pPr>
              <w:jc w:val="center"/>
              <w:rPr>
                <w:color w:val="FF0000"/>
                <w:sz w:val="18"/>
                <w:szCs w:val="18"/>
              </w:rPr>
            </w:pPr>
            <w:r>
              <w:rPr>
                <w:rFonts w:hint="eastAsia"/>
                <w:sz w:val="18"/>
                <w:szCs w:val="18"/>
              </w:rPr>
              <w:t>考查（中国现当代文学专业）</w:t>
            </w:r>
          </w:p>
        </w:tc>
      </w:tr>
      <w:tr w14:paraId="7E0A1E6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4F84364B">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226" w:type="dxa"/>
            <w:vMerge w:val="restart"/>
            <w:vAlign w:val="center"/>
          </w:tcPr>
          <w:p w14:paraId="069FA4CE">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公共通识课</w:t>
            </w:r>
          </w:p>
          <w:p w14:paraId="4BF6085C">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（2学分）</w:t>
            </w:r>
          </w:p>
        </w:tc>
        <w:tc>
          <w:tcPr>
            <w:tcW w:w="3516" w:type="dxa"/>
            <w:vAlign w:val="center"/>
          </w:tcPr>
          <w:p w14:paraId="12B956AA">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《习近平谈治国理政》研读</w:t>
            </w:r>
          </w:p>
        </w:tc>
        <w:tc>
          <w:tcPr>
            <w:tcW w:w="1081" w:type="dxa"/>
            <w:vAlign w:val="center"/>
          </w:tcPr>
          <w:p w14:paraId="552C4B1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TT0000101</w:t>
            </w:r>
          </w:p>
        </w:tc>
        <w:tc>
          <w:tcPr>
            <w:tcW w:w="709" w:type="dxa"/>
            <w:vAlign w:val="center"/>
          </w:tcPr>
          <w:p w14:paraId="1CEA269C">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275E6D1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3FB289D7">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627BABC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1E303430">
            <w:pPr>
              <w:jc w:val="center"/>
              <w:rPr>
                <w:b/>
                <w:color w:val="000000" w:themeColor="text1"/>
                <w:sz w:val="18"/>
                <w:szCs w:val="18"/>
                <w14:textFill>
                  <w14:solidFill>
                    <w14:schemeClr w14:val="tx1"/>
                  </w14:solidFill>
                </w14:textFill>
              </w:rPr>
            </w:pPr>
          </w:p>
        </w:tc>
        <w:tc>
          <w:tcPr>
            <w:tcW w:w="1226" w:type="dxa"/>
            <w:vMerge w:val="continue"/>
            <w:vAlign w:val="center"/>
          </w:tcPr>
          <w:p w14:paraId="7ADC5D5B">
            <w:pPr>
              <w:jc w:val="center"/>
              <w:rPr>
                <w:b/>
                <w:color w:val="000000" w:themeColor="text1"/>
                <w:sz w:val="18"/>
                <w:szCs w:val="18"/>
                <w14:textFill>
                  <w14:solidFill>
                    <w14:schemeClr w14:val="tx1"/>
                  </w14:solidFill>
                </w14:textFill>
              </w:rPr>
            </w:pPr>
          </w:p>
        </w:tc>
        <w:tc>
          <w:tcPr>
            <w:tcW w:w="3516" w:type="dxa"/>
            <w:vAlign w:val="center"/>
          </w:tcPr>
          <w:p w14:paraId="5106826F">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马克思主义与社会科学方法论</w:t>
            </w:r>
          </w:p>
        </w:tc>
        <w:tc>
          <w:tcPr>
            <w:tcW w:w="1081" w:type="dxa"/>
            <w:vAlign w:val="center"/>
          </w:tcPr>
          <w:p w14:paraId="44D121C4">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TS0000101</w:t>
            </w:r>
          </w:p>
        </w:tc>
        <w:tc>
          <w:tcPr>
            <w:tcW w:w="709" w:type="dxa"/>
            <w:vAlign w:val="center"/>
          </w:tcPr>
          <w:p w14:paraId="11524B67">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5A36B96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1E833FBE">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3E50F7E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EADEA34">
            <w:pPr>
              <w:rPr>
                <w:b/>
                <w:color w:val="000000" w:themeColor="text1"/>
                <w:sz w:val="18"/>
                <w:szCs w:val="18"/>
                <w14:textFill>
                  <w14:solidFill>
                    <w14:schemeClr w14:val="tx1"/>
                  </w14:solidFill>
                </w14:textFill>
              </w:rPr>
            </w:pPr>
          </w:p>
        </w:tc>
        <w:tc>
          <w:tcPr>
            <w:tcW w:w="1226" w:type="dxa"/>
            <w:vMerge w:val="restart"/>
            <w:vAlign w:val="center"/>
          </w:tcPr>
          <w:p w14:paraId="3F63D601">
            <w:pPr>
              <w:adjustRightInd w:val="0"/>
              <w:snapToGrid w:val="0"/>
              <w:jc w:val="center"/>
              <w:rPr>
                <w:rFonts w:hint="eastAsia" w:ascii="宋体" w:hAnsi="宋体" w:cs="宋体"/>
                <w:b/>
                <w:color w:val="FF0000"/>
                <w:sz w:val="18"/>
                <w:szCs w:val="18"/>
              </w:rPr>
            </w:pPr>
            <w:r>
              <w:rPr>
                <w:rFonts w:hint="eastAsia"/>
                <w:b/>
                <w:color w:val="auto"/>
                <w:sz w:val="18"/>
                <w:szCs w:val="18"/>
                <w:highlight w:val="none"/>
                <w:lang w:eastAsia="zh-CN"/>
              </w:rPr>
              <w:t>语言学及应用语言学</w:t>
            </w:r>
            <w:r>
              <w:rPr>
                <w:rFonts w:hint="eastAsia"/>
                <w:b/>
                <w:color w:val="auto"/>
                <w:sz w:val="18"/>
                <w:szCs w:val="18"/>
                <w:highlight w:val="none"/>
                <w:lang w:val="en-US" w:eastAsia="zh-CN"/>
              </w:rPr>
              <w:t>选修课</w:t>
            </w:r>
            <w:r>
              <w:rPr>
                <w:rFonts w:hint="eastAsia"/>
                <w:b/>
                <w:color w:val="auto"/>
                <w:sz w:val="18"/>
                <w:szCs w:val="18"/>
                <w:highlight w:val="none"/>
                <w:lang w:eastAsia="zh-CN"/>
              </w:rPr>
              <w:t>（本方向研究生至少选修</w:t>
            </w:r>
            <w:r>
              <w:rPr>
                <w:rFonts w:hint="eastAsia"/>
                <w:b/>
                <w:color w:val="auto"/>
                <w:sz w:val="18"/>
                <w:szCs w:val="18"/>
                <w:highlight w:val="none"/>
                <w:lang w:val="en-US" w:eastAsia="zh-CN"/>
              </w:rPr>
              <w:t>15</w:t>
            </w:r>
            <w:r>
              <w:rPr>
                <w:rFonts w:hint="eastAsia"/>
                <w:b/>
                <w:color w:val="auto"/>
                <w:sz w:val="18"/>
                <w:szCs w:val="18"/>
                <w:highlight w:val="none"/>
                <w:lang w:eastAsia="zh-CN"/>
              </w:rPr>
              <w:t>分）</w:t>
            </w:r>
          </w:p>
        </w:tc>
        <w:tc>
          <w:tcPr>
            <w:tcW w:w="3516" w:type="dxa"/>
            <w:shd w:val="clear" w:color="auto" w:fill="auto"/>
            <w:vAlign w:val="center"/>
          </w:tcPr>
          <w:p w14:paraId="3F491FE8">
            <w:pPr>
              <w:rPr>
                <w:i/>
                <w:sz w:val="18"/>
                <w:szCs w:val="18"/>
              </w:rPr>
            </w:pPr>
            <w:r>
              <w:rPr>
                <w:rFonts w:hint="eastAsia"/>
                <w:sz w:val="18"/>
                <w:szCs w:val="18"/>
              </w:rPr>
              <w:t>中文信息处理技术</w:t>
            </w:r>
          </w:p>
        </w:tc>
        <w:tc>
          <w:tcPr>
            <w:tcW w:w="1081" w:type="dxa"/>
            <w:shd w:val="clear" w:color="auto" w:fill="auto"/>
            <w:vAlign w:val="center"/>
          </w:tcPr>
          <w:p w14:paraId="2A89C1F9">
            <w:pPr>
              <w:jc w:val="center"/>
              <w:rPr>
                <w:sz w:val="18"/>
                <w:szCs w:val="18"/>
              </w:rPr>
            </w:pPr>
            <w:r>
              <w:rPr>
                <w:rFonts w:hint="eastAsia"/>
                <w:sz w:val="18"/>
                <w:szCs w:val="18"/>
              </w:rPr>
              <w:t>XS0102102</w:t>
            </w:r>
          </w:p>
        </w:tc>
        <w:tc>
          <w:tcPr>
            <w:tcW w:w="709" w:type="dxa"/>
            <w:shd w:val="clear" w:color="auto" w:fill="auto"/>
            <w:vAlign w:val="center"/>
          </w:tcPr>
          <w:p w14:paraId="3E151696">
            <w:pPr>
              <w:jc w:val="center"/>
            </w:pPr>
            <w:r>
              <w:rPr>
                <w:rFonts w:hint="eastAsia"/>
                <w:sz w:val="18"/>
                <w:szCs w:val="18"/>
              </w:rPr>
              <w:t>3</w:t>
            </w:r>
          </w:p>
        </w:tc>
        <w:tc>
          <w:tcPr>
            <w:tcW w:w="709" w:type="dxa"/>
            <w:shd w:val="clear" w:color="auto" w:fill="auto"/>
            <w:vAlign w:val="center"/>
          </w:tcPr>
          <w:p w14:paraId="69EA182B">
            <w:pPr>
              <w:jc w:val="center"/>
            </w:pPr>
            <w:r>
              <w:rPr>
                <w:rFonts w:hint="eastAsia"/>
                <w:sz w:val="18"/>
                <w:szCs w:val="18"/>
              </w:rPr>
              <w:t>1</w:t>
            </w:r>
          </w:p>
        </w:tc>
        <w:tc>
          <w:tcPr>
            <w:tcW w:w="1045" w:type="dxa"/>
            <w:vAlign w:val="center"/>
          </w:tcPr>
          <w:p w14:paraId="2D2809EF">
            <w:pPr>
              <w:adjustRightInd w:val="0"/>
              <w:snapToGrid w:val="0"/>
              <w:jc w:val="center"/>
              <w:rPr>
                <w:color w:val="FF0000"/>
                <w:sz w:val="18"/>
                <w:szCs w:val="18"/>
              </w:rPr>
            </w:pPr>
            <w:r>
              <w:rPr>
                <w:rFonts w:hint="eastAsia"/>
                <w:sz w:val="18"/>
                <w:szCs w:val="18"/>
              </w:rPr>
              <w:t>必修/考查</w:t>
            </w:r>
          </w:p>
        </w:tc>
      </w:tr>
      <w:tr w14:paraId="0B2FCED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4DC66C9">
            <w:pPr>
              <w:rPr>
                <w:b/>
                <w:color w:val="000000" w:themeColor="text1"/>
                <w:sz w:val="18"/>
                <w:szCs w:val="18"/>
                <w14:textFill>
                  <w14:solidFill>
                    <w14:schemeClr w14:val="tx1"/>
                  </w14:solidFill>
                </w14:textFill>
              </w:rPr>
            </w:pPr>
          </w:p>
        </w:tc>
        <w:tc>
          <w:tcPr>
            <w:tcW w:w="1226" w:type="dxa"/>
            <w:vMerge w:val="continue"/>
            <w:vAlign w:val="center"/>
          </w:tcPr>
          <w:p w14:paraId="145C93A0">
            <w:pPr>
              <w:adjustRightInd w:val="0"/>
              <w:snapToGrid w:val="0"/>
              <w:jc w:val="center"/>
              <w:rPr>
                <w:rFonts w:hint="eastAsia" w:ascii="宋体" w:hAnsi="宋体" w:cs="宋体"/>
                <w:b/>
                <w:color w:val="FF0000"/>
                <w:sz w:val="18"/>
                <w:szCs w:val="18"/>
              </w:rPr>
            </w:pPr>
          </w:p>
        </w:tc>
        <w:tc>
          <w:tcPr>
            <w:tcW w:w="3516" w:type="dxa"/>
            <w:shd w:val="clear" w:color="auto" w:fill="auto"/>
            <w:vAlign w:val="center"/>
          </w:tcPr>
          <w:p w14:paraId="204FF8D4">
            <w:pPr>
              <w:rPr>
                <w:i/>
                <w:sz w:val="18"/>
                <w:szCs w:val="18"/>
              </w:rPr>
            </w:pPr>
            <w:r>
              <w:rPr>
                <w:rFonts w:hint="eastAsia"/>
                <w:sz w:val="18"/>
                <w:szCs w:val="18"/>
              </w:rPr>
              <w:t>第二语言教学理论</w:t>
            </w:r>
          </w:p>
        </w:tc>
        <w:tc>
          <w:tcPr>
            <w:tcW w:w="1081" w:type="dxa"/>
            <w:shd w:val="clear" w:color="auto" w:fill="auto"/>
            <w:vAlign w:val="center"/>
          </w:tcPr>
          <w:p w14:paraId="1E73F4C1">
            <w:pPr>
              <w:jc w:val="center"/>
              <w:rPr>
                <w:sz w:val="18"/>
                <w:szCs w:val="18"/>
              </w:rPr>
            </w:pPr>
            <w:r>
              <w:rPr>
                <w:rFonts w:hint="eastAsia"/>
                <w:sz w:val="18"/>
                <w:szCs w:val="18"/>
              </w:rPr>
              <w:t>XS0102103</w:t>
            </w:r>
          </w:p>
        </w:tc>
        <w:tc>
          <w:tcPr>
            <w:tcW w:w="709" w:type="dxa"/>
            <w:shd w:val="clear" w:color="auto" w:fill="auto"/>
            <w:vAlign w:val="center"/>
          </w:tcPr>
          <w:p w14:paraId="6B9D65AB">
            <w:pPr>
              <w:jc w:val="center"/>
              <w:rPr>
                <w:sz w:val="18"/>
                <w:szCs w:val="18"/>
              </w:rPr>
            </w:pPr>
            <w:r>
              <w:rPr>
                <w:rFonts w:hint="eastAsia"/>
                <w:sz w:val="18"/>
                <w:szCs w:val="18"/>
              </w:rPr>
              <w:t>3</w:t>
            </w:r>
          </w:p>
        </w:tc>
        <w:tc>
          <w:tcPr>
            <w:tcW w:w="709" w:type="dxa"/>
            <w:shd w:val="clear" w:color="auto" w:fill="auto"/>
            <w:vAlign w:val="center"/>
          </w:tcPr>
          <w:p w14:paraId="19296FF5">
            <w:pPr>
              <w:jc w:val="center"/>
              <w:rPr>
                <w:i/>
                <w:sz w:val="18"/>
                <w:szCs w:val="18"/>
              </w:rPr>
            </w:pPr>
            <w:r>
              <w:rPr>
                <w:rFonts w:hint="eastAsia"/>
                <w:sz w:val="18"/>
                <w:szCs w:val="18"/>
              </w:rPr>
              <w:t>1</w:t>
            </w:r>
          </w:p>
        </w:tc>
        <w:tc>
          <w:tcPr>
            <w:tcW w:w="1045" w:type="dxa"/>
            <w:vAlign w:val="center"/>
          </w:tcPr>
          <w:p w14:paraId="2F146AD3">
            <w:pPr>
              <w:jc w:val="center"/>
              <w:rPr>
                <w:color w:val="FF0000"/>
                <w:sz w:val="18"/>
                <w:szCs w:val="18"/>
              </w:rPr>
            </w:pPr>
            <w:r>
              <w:rPr>
                <w:rFonts w:hint="eastAsia"/>
                <w:sz w:val="18"/>
                <w:szCs w:val="18"/>
              </w:rPr>
              <w:t>必修/考查</w:t>
            </w:r>
          </w:p>
        </w:tc>
      </w:tr>
      <w:tr w14:paraId="6AA7AB2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20EECA8">
            <w:pPr>
              <w:rPr>
                <w:b/>
                <w:color w:val="000000" w:themeColor="text1"/>
                <w:sz w:val="18"/>
                <w:szCs w:val="18"/>
                <w14:textFill>
                  <w14:solidFill>
                    <w14:schemeClr w14:val="tx1"/>
                  </w14:solidFill>
                </w14:textFill>
              </w:rPr>
            </w:pPr>
          </w:p>
        </w:tc>
        <w:tc>
          <w:tcPr>
            <w:tcW w:w="1226" w:type="dxa"/>
            <w:vMerge w:val="continue"/>
            <w:vAlign w:val="center"/>
          </w:tcPr>
          <w:p w14:paraId="1DBAC645">
            <w:pPr>
              <w:adjustRightInd w:val="0"/>
              <w:snapToGrid w:val="0"/>
              <w:jc w:val="center"/>
              <w:rPr>
                <w:rFonts w:hint="eastAsia" w:ascii="宋体" w:hAnsi="宋体" w:cs="宋体"/>
                <w:b/>
                <w:color w:val="FF0000"/>
                <w:sz w:val="18"/>
                <w:szCs w:val="18"/>
              </w:rPr>
            </w:pPr>
          </w:p>
        </w:tc>
        <w:tc>
          <w:tcPr>
            <w:tcW w:w="3516" w:type="dxa"/>
            <w:shd w:val="clear" w:color="auto" w:fill="auto"/>
            <w:vAlign w:val="center"/>
          </w:tcPr>
          <w:p w14:paraId="5C99C4ED">
            <w:pPr>
              <w:rPr>
                <w:i/>
                <w:sz w:val="18"/>
                <w:szCs w:val="18"/>
              </w:rPr>
            </w:pPr>
            <w:r>
              <w:rPr>
                <w:rFonts w:hint="eastAsia"/>
                <w:sz w:val="18"/>
                <w:szCs w:val="18"/>
              </w:rPr>
              <w:t>社会语言学</w:t>
            </w:r>
          </w:p>
        </w:tc>
        <w:tc>
          <w:tcPr>
            <w:tcW w:w="1081" w:type="dxa"/>
            <w:shd w:val="clear" w:color="auto" w:fill="auto"/>
            <w:vAlign w:val="center"/>
          </w:tcPr>
          <w:p w14:paraId="195CB5A3">
            <w:pPr>
              <w:jc w:val="center"/>
              <w:rPr>
                <w:sz w:val="18"/>
                <w:szCs w:val="18"/>
              </w:rPr>
            </w:pPr>
            <w:r>
              <w:rPr>
                <w:rFonts w:hint="eastAsia"/>
                <w:sz w:val="18"/>
                <w:szCs w:val="18"/>
              </w:rPr>
              <w:t>XS0102104</w:t>
            </w:r>
          </w:p>
        </w:tc>
        <w:tc>
          <w:tcPr>
            <w:tcW w:w="709" w:type="dxa"/>
            <w:shd w:val="clear" w:color="auto" w:fill="auto"/>
            <w:vAlign w:val="center"/>
          </w:tcPr>
          <w:p w14:paraId="49A15209">
            <w:pPr>
              <w:jc w:val="center"/>
            </w:pPr>
            <w:r>
              <w:rPr>
                <w:rFonts w:hint="eastAsia"/>
                <w:sz w:val="18"/>
                <w:szCs w:val="18"/>
              </w:rPr>
              <w:t>3</w:t>
            </w:r>
          </w:p>
        </w:tc>
        <w:tc>
          <w:tcPr>
            <w:tcW w:w="709" w:type="dxa"/>
            <w:shd w:val="clear" w:color="auto" w:fill="auto"/>
            <w:vAlign w:val="center"/>
          </w:tcPr>
          <w:p w14:paraId="16B644A6">
            <w:pPr>
              <w:jc w:val="center"/>
            </w:pPr>
            <w:r>
              <w:rPr>
                <w:rFonts w:hint="eastAsia"/>
                <w:sz w:val="18"/>
                <w:szCs w:val="18"/>
              </w:rPr>
              <w:t>1</w:t>
            </w:r>
          </w:p>
        </w:tc>
        <w:tc>
          <w:tcPr>
            <w:tcW w:w="1045" w:type="dxa"/>
            <w:vAlign w:val="center"/>
          </w:tcPr>
          <w:p w14:paraId="78AB6B8E">
            <w:pPr>
              <w:adjustRightInd w:val="0"/>
              <w:snapToGrid w:val="0"/>
              <w:jc w:val="center"/>
              <w:rPr>
                <w:color w:val="FF0000"/>
                <w:sz w:val="18"/>
                <w:szCs w:val="18"/>
              </w:rPr>
            </w:pPr>
            <w:r>
              <w:rPr>
                <w:rFonts w:hint="eastAsia"/>
                <w:sz w:val="18"/>
                <w:szCs w:val="18"/>
              </w:rPr>
              <w:t>必修/考查</w:t>
            </w:r>
          </w:p>
        </w:tc>
      </w:tr>
      <w:tr w14:paraId="3B8E996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99A7E74">
            <w:pPr>
              <w:rPr>
                <w:b/>
                <w:color w:val="000000" w:themeColor="text1"/>
                <w:sz w:val="18"/>
                <w:szCs w:val="18"/>
                <w14:textFill>
                  <w14:solidFill>
                    <w14:schemeClr w14:val="tx1"/>
                  </w14:solidFill>
                </w14:textFill>
              </w:rPr>
            </w:pPr>
          </w:p>
        </w:tc>
        <w:tc>
          <w:tcPr>
            <w:tcW w:w="1226" w:type="dxa"/>
            <w:vMerge w:val="continue"/>
            <w:vAlign w:val="center"/>
          </w:tcPr>
          <w:p w14:paraId="3D7317C2">
            <w:pPr>
              <w:adjustRightInd w:val="0"/>
              <w:snapToGrid w:val="0"/>
              <w:jc w:val="center"/>
              <w:rPr>
                <w:rFonts w:hint="eastAsia" w:ascii="宋体" w:hAnsi="宋体" w:cs="宋体"/>
                <w:b/>
                <w:color w:val="FF0000"/>
                <w:sz w:val="18"/>
                <w:szCs w:val="18"/>
              </w:rPr>
            </w:pPr>
          </w:p>
        </w:tc>
        <w:tc>
          <w:tcPr>
            <w:tcW w:w="3516" w:type="dxa"/>
            <w:shd w:val="clear" w:color="auto" w:fill="auto"/>
            <w:vAlign w:val="center"/>
          </w:tcPr>
          <w:p w14:paraId="3D1D244C">
            <w:pPr>
              <w:rPr>
                <w:i/>
                <w:sz w:val="18"/>
                <w:szCs w:val="18"/>
              </w:rPr>
            </w:pPr>
            <w:r>
              <w:rPr>
                <w:rFonts w:hint="eastAsia"/>
                <w:sz w:val="18"/>
                <w:szCs w:val="18"/>
              </w:rPr>
              <w:t>汉语词汇、语法研究</w:t>
            </w:r>
          </w:p>
        </w:tc>
        <w:tc>
          <w:tcPr>
            <w:tcW w:w="1081" w:type="dxa"/>
            <w:shd w:val="clear" w:color="auto" w:fill="auto"/>
            <w:vAlign w:val="center"/>
          </w:tcPr>
          <w:p w14:paraId="17F18211">
            <w:pPr>
              <w:jc w:val="center"/>
              <w:rPr>
                <w:sz w:val="18"/>
                <w:szCs w:val="18"/>
              </w:rPr>
            </w:pPr>
            <w:r>
              <w:rPr>
                <w:rFonts w:hint="eastAsia"/>
                <w:sz w:val="18"/>
                <w:szCs w:val="18"/>
              </w:rPr>
              <w:t>XS0102201</w:t>
            </w:r>
          </w:p>
        </w:tc>
        <w:tc>
          <w:tcPr>
            <w:tcW w:w="709" w:type="dxa"/>
            <w:shd w:val="clear" w:color="auto" w:fill="auto"/>
            <w:vAlign w:val="center"/>
          </w:tcPr>
          <w:p w14:paraId="1BBE01A2">
            <w:pPr>
              <w:jc w:val="center"/>
            </w:pPr>
            <w:r>
              <w:rPr>
                <w:rFonts w:hint="eastAsia"/>
                <w:sz w:val="18"/>
                <w:szCs w:val="18"/>
              </w:rPr>
              <w:t>3</w:t>
            </w:r>
          </w:p>
        </w:tc>
        <w:tc>
          <w:tcPr>
            <w:tcW w:w="709" w:type="dxa"/>
            <w:shd w:val="clear" w:color="auto" w:fill="auto"/>
            <w:vAlign w:val="center"/>
          </w:tcPr>
          <w:p w14:paraId="5A52EE05">
            <w:pPr>
              <w:jc w:val="center"/>
            </w:pPr>
            <w:r>
              <w:rPr>
                <w:rFonts w:hint="eastAsia"/>
                <w:sz w:val="18"/>
                <w:szCs w:val="18"/>
              </w:rPr>
              <w:t>2</w:t>
            </w:r>
          </w:p>
        </w:tc>
        <w:tc>
          <w:tcPr>
            <w:tcW w:w="1045" w:type="dxa"/>
            <w:vAlign w:val="center"/>
          </w:tcPr>
          <w:p w14:paraId="5F299E08">
            <w:pPr>
              <w:adjustRightInd w:val="0"/>
              <w:snapToGrid w:val="0"/>
              <w:jc w:val="center"/>
              <w:rPr>
                <w:color w:val="FF0000"/>
                <w:sz w:val="18"/>
                <w:szCs w:val="18"/>
              </w:rPr>
            </w:pPr>
            <w:r>
              <w:rPr>
                <w:rFonts w:hint="eastAsia"/>
                <w:sz w:val="18"/>
                <w:szCs w:val="18"/>
              </w:rPr>
              <w:t>必修/考查</w:t>
            </w:r>
          </w:p>
        </w:tc>
      </w:tr>
      <w:tr w14:paraId="62B80B6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555794F">
            <w:pPr>
              <w:rPr>
                <w:b/>
                <w:color w:val="000000" w:themeColor="text1"/>
                <w:sz w:val="18"/>
                <w:szCs w:val="18"/>
                <w14:textFill>
                  <w14:solidFill>
                    <w14:schemeClr w14:val="tx1"/>
                  </w14:solidFill>
                </w14:textFill>
              </w:rPr>
            </w:pPr>
          </w:p>
        </w:tc>
        <w:tc>
          <w:tcPr>
            <w:tcW w:w="1226" w:type="dxa"/>
            <w:vMerge w:val="continue"/>
            <w:vAlign w:val="center"/>
          </w:tcPr>
          <w:p w14:paraId="7E05143C">
            <w:pPr>
              <w:adjustRightInd w:val="0"/>
              <w:snapToGrid w:val="0"/>
              <w:jc w:val="center"/>
              <w:rPr>
                <w:rFonts w:hint="eastAsia" w:ascii="宋体" w:hAnsi="宋体" w:cs="宋体"/>
                <w:b/>
                <w:color w:val="FF0000"/>
                <w:sz w:val="18"/>
                <w:szCs w:val="18"/>
              </w:rPr>
            </w:pPr>
          </w:p>
        </w:tc>
        <w:tc>
          <w:tcPr>
            <w:tcW w:w="3516" w:type="dxa"/>
            <w:shd w:val="clear" w:color="auto" w:fill="auto"/>
            <w:vAlign w:val="center"/>
          </w:tcPr>
          <w:p w14:paraId="2B174ED2">
            <w:pPr>
              <w:rPr>
                <w:i/>
                <w:sz w:val="18"/>
                <w:szCs w:val="18"/>
              </w:rPr>
            </w:pPr>
            <w:r>
              <w:rPr>
                <w:sz w:val="18"/>
                <w:szCs w:val="18"/>
              </w:rPr>
              <w:t>语言类型学研究</w:t>
            </w:r>
          </w:p>
        </w:tc>
        <w:tc>
          <w:tcPr>
            <w:tcW w:w="1081" w:type="dxa"/>
            <w:shd w:val="clear" w:color="auto" w:fill="auto"/>
            <w:vAlign w:val="center"/>
          </w:tcPr>
          <w:p w14:paraId="0B069F70">
            <w:pPr>
              <w:jc w:val="center"/>
              <w:rPr>
                <w:sz w:val="18"/>
                <w:szCs w:val="18"/>
              </w:rPr>
            </w:pPr>
            <w:r>
              <w:rPr>
                <w:rFonts w:hint="eastAsia"/>
                <w:sz w:val="18"/>
                <w:szCs w:val="18"/>
              </w:rPr>
              <w:t>XS0102202</w:t>
            </w:r>
          </w:p>
        </w:tc>
        <w:tc>
          <w:tcPr>
            <w:tcW w:w="709" w:type="dxa"/>
            <w:shd w:val="clear" w:color="auto" w:fill="auto"/>
            <w:vAlign w:val="center"/>
          </w:tcPr>
          <w:p w14:paraId="7A42A884">
            <w:pPr>
              <w:jc w:val="center"/>
            </w:pPr>
            <w:r>
              <w:rPr>
                <w:rFonts w:hint="eastAsia"/>
                <w:sz w:val="18"/>
                <w:szCs w:val="18"/>
              </w:rPr>
              <w:t>2</w:t>
            </w:r>
          </w:p>
        </w:tc>
        <w:tc>
          <w:tcPr>
            <w:tcW w:w="709" w:type="dxa"/>
            <w:shd w:val="clear" w:color="auto" w:fill="auto"/>
            <w:vAlign w:val="center"/>
          </w:tcPr>
          <w:p w14:paraId="082FEA02">
            <w:pPr>
              <w:jc w:val="center"/>
            </w:pPr>
            <w:r>
              <w:rPr>
                <w:rFonts w:hint="eastAsia"/>
                <w:sz w:val="18"/>
                <w:szCs w:val="18"/>
              </w:rPr>
              <w:t>2</w:t>
            </w:r>
          </w:p>
        </w:tc>
        <w:tc>
          <w:tcPr>
            <w:tcW w:w="1045" w:type="dxa"/>
            <w:vAlign w:val="center"/>
          </w:tcPr>
          <w:p w14:paraId="485D2E1F">
            <w:pPr>
              <w:adjustRightInd w:val="0"/>
              <w:snapToGrid w:val="0"/>
              <w:jc w:val="center"/>
              <w:rPr>
                <w:color w:val="FF0000"/>
                <w:sz w:val="18"/>
                <w:szCs w:val="18"/>
              </w:rPr>
            </w:pPr>
            <w:r>
              <w:rPr>
                <w:rFonts w:hint="eastAsia"/>
                <w:sz w:val="18"/>
                <w:szCs w:val="18"/>
              </w:rPr>
              <w:t>必修/考查</w:t>
            </w:r>
          </w:p>
        </w:tc>
      </w:tr>
      <w:tr w14:paraId="615DC2C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B015FC9">
            <w:pPr>
              <w:rPr>
                <w:b/>
                <w:color w:val="000000" w:themeColor="text1"/>
                <w:sz w:val="18"/>
                <w:szCs w:val="18"/>
                <w14:textFill>
                  <w14:solidFill>
                    <w14:schemeClr w14:val="tx1"/>
                  </w14:solidFill>
                </w14:textFill>
              </w:rPr>
            </w:pPr>
          </w:p>
        </w:tc>
        <w:tc>
          <w:tcPr>
            <w:tcW w:w="1226" w:type="dxa"/>
            <w:vMerge w:val="continue"/>
            <w:vAlign w:val="center"/>
          </w:tcPr>
          <w:p w14:paraId="6009DD54">
            <w:pPr>
              <w:adjustRightInd w:val="0"/>
              <w:snapToGrid w:val="0"/>
              <w:jc w:val="center"/>
              <w:rPr>
                <w:rFonts w:hint="eastAsia" w:ascii="宋体" w:hAnsi="宋体" w:cs="宋体"/>
                <w:b/>
                <w:color w:val="FF0000"/>
                <w:sz w:val="18"/>
                <w:szCs w:val="18"/>
              </w:rPr>
            </w:pPr>
          </w:p>
        </w:tc>
        <w:tc>
          <w:tcPr>
            <w:tcW w:w="3516" w:type="dxa"/>
            <w:shd w:val="clear" w:color="auto" w:fill="auto"/>
            <w:vAlign w:val="center"/>
          </w:tcPr>
          <w:p w14:paraId="7E77E766">
            <w:pPr>
              <w:rPr>
                <w:rFonts w:hint="default" w:eastAsia="宋体"/>
                <w:sz w:val="18"/>
                <w:szCs w:val="18"/>
                <w:lang w:val="en-US" w:eastAsia="zh-CN"/>
              </w:rPr>
            </w:pPr>
            <w:r>
              <w:rPr>
                <w:rFonts w:hint="eastAsia"/>
                <w:sz w:val="18"/>
                <w:szCs w:val="18"/>
                <w:lang w:val="en-US" w:eastAsia="zh-CN"/>
              </w:rPr>
              <w:t>计算语言学专题</w:t>
            </w:r>
          </w:p>
        </w:tc>
        <w:tc>
          <w:tcPr>
            <w:tcW w:w="1081" w:type="dxa"/>
            <w:shd w:val="clear" w:color="auto" w:fill="auto"/>
            <w:vAlign w:val="center"/>
          </w:tcPr>
          <w:p w14:paraId="599565CD">
            <w:pPr>
              <w:jc w:val="center"/>
              <w:rPr>
                <w:rFonts w:hint="eastAsia" w:eastAsia="宋体"/>
                <w:sz w:val="18"/>
                <w:szCs w:val="18"/>
                <w:lang w:eastAsia="zh-CN"/>
              </w:rPr>
            </w:pPr>
            <w:r>
              <w:rPr>
                <w:rFonts w:hint="eastAsia"/>
                <w:sz w:val="18"/>
                <w:szCs w:val="18"/>
              </w:rPr>
              <w:t>XS010220</w:t>
            </w:r>
            <w:r>
              <w:rPr>
                <w:rFonts w:hint="eastAsia"/>
                <w:sz w:val="18"/>
                <w:szCs w:val="18"/>
                <w:lang w:val="en-US" w:eastAsia="zh-CN"/>
              </w:rPr>
              <w:t>5</w:t>
            </w:r>
          </w:p>
        </w:tc>
        <w:tc>
          <w:tcPr>
            <w:tcW w:w="709" w:type="dxa"/>
            <w:shd w:val="clear" w:color="auto" w:fill="auto"/>
            <w:vAlign w:val="center"/>
          </w:tcPr>
          <w:p w14:paraId="73C11B65">
            <w:pPr>
              <w:jc w:val="center"/>
              <w:rPr>
                <w:rFonts w:hint="eastAsia" w:eastAsia="宋体"/>
                <w:sz w:val="18"/>
                <w:szCs w:val="18"/>
                <w:lang w:val="en-US" w:eastAsia="zh-CN"/>
              </w:rPr>
            </w:pPr>
            <w:r>
              <w:rPr>
                <w:rFonts w:hint="eastAsia"/>
                <w:sz w:val="18"/>
                <w:szCs w:val="18"/>
                <w:lang w:val="en-US" w:eastAsia="zh-CN"/>
              </w:rPr>
              <w:t>1</w:t>
            </w:r>
          </w:p>
        </w:tc>
        <w:tc>
          <w:tcPr>
            <w:tcW w:w="709" w:type="dxa"/>
            <w:shd w:val="clear" w:color="auto" w:fill="auto"/>
            <w:vAlign w:val="center"/>
          </w:tcPr>
          <w:p w14:paraId="019A1173">
            <w:pPr>
              <w:jc w:val="center"/>
              <w:rPr>
                <w:rFonts w:hint="eastAsia" w:eastAsia="宋体"/>
                <w:sz w:val="18"/>
                <w:szCs w:val="18"/>
                <w:lang w:val="en-US" w:eastAsia="zh-CN"/>
              </w:rPr>
            </w:pPr>
            <w:r>
              <w:rPr>
                <w:rFonts w:hint="eastAsia"/>
                <w:sz w:val="18"/>
                <w:szCs w:val="18"/>
                <w:lang w:val="en-US" w:eastAsia="zh-CN"/>
              </w:rPr>
              <w:t>2</w:t>
            </w:r>
          </w:p>
        </w:tc>
        <w:tc>
          <w:tcPr>
            <w:tcW w:w="1045" w:type="dxa"/>
            <w:vAlign w:val="center"/>
          </w:tcPr>
          <w:p w14:paraId="2B9A5B03">
            <w:pPr>
              <w:adjustRightInd w:val="0"/>
              <w:snapToGrid w:val="0"/>
              <w:jc w:val="center"/>
              <w:rPr>
                <w:rFonts w:hint="eastAsia"/>
                <w:sz w:val="18"/>
                <w:szCs w:val="18"/>
              </w:rPr>
            </w:pPr>
            <w:r>
              <w:rPr>
                <w:rFonts w:hint="eastAsia"/>
                <w:sz w:val="18"/>
                <w:szCs w:val="18"/>
              </w:rPr>
              <w:t>必修/考查</w:t>
            </w:r>
          </w:p>
        </w:tc>
      </w:tr>
      <w:tr w14:paraId="458042E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6ABA9C72">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76ECFBFC">
            <w:pPr>
              <w:jc w:val="center"/>
              <w:rPr>
                <w:b/>
                <w:color w:val="000000" w:themeColor="text1"/>
                <w:sz w:val="18"/>
                <w:szCs w:val="18"/>
                <w14:textFill>
                  <w14:solidFill>
                    <w14:schemeClr w14:val="tx1"/>
                  </w14:solidFill>
                </w14:textFill>
              </w:rPr>
            </w:pPr>
          </w:p>
        </w:tc>
        <w:tc>
          <w:tcPr>
            <w:tcW w:w="1226" w:type="dxa"/>
            <w:vMerge w:val="restart"/>
            <w:vAlign w:val="center"/>
          </w:tcPr>
          <w:p w14:paraId="57C64E07">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素质拓展</w:t>
            </w:r>
          </w:p>
        </w:tc>
        <w:tc>
          <w:tcPr>
            <w:tcW w:w="3516" w:type="dxa"/>
            <w:vAlign w:val="center"/>
          </w:tcPr>
          <w:p w14:paraId="60797CAB">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入学教育</w:t>
            </w:r>
          </w:p>
        </w:tc>
        <w:tc>
          <w:tcPr>
            <w:tcW w:w="1081" w:type="dxa"/>
            <w:vAlign w:val="center"/>
          </w:tcPr>
          <w:p w14:paraId="10E73102">
            <w:pPr>
              <w:jc w:val="center"/>
              <w:rPr>
                <w:color w:val="000000" w:themeColor="text1"/>
                <w:sz w:val="18"/>
                <w:szCs w:val="18"/>
                <w:highlight w:val="yellow"/>
                <w14:textFill>
                  <w14:solidFill>
                    <w14:schemeClr w14:val="tx1"/>
                  </w14:solidFill>
                </w14:textFill>
              </w:rPr>
            </w:pPr>
          </w:p>
        </w:tc>
        <w:tc>
          <w:tcPr>
            <w:tcW w:w="709" w:type="dxa"/>
            <w:vAlign w:val="center"/>
          </w:tcPr>
          <w:p w14:paraId="065D048B">
            <w:pPr>
              <w:jc w:val="center"/>
              <w:rPr>
                <w:color w:val="000000" w:themeColor="text1"/>
                <w:sz w:val="18"/>
                <w:szCs w:val="18"/>
                <w:highlight w:val="yellow"/>
                <w14:textFill>
                  <w14:solidFill>
                    <w14:schemeClr w14:val="tx1"/>
                  </w14:solidFill>
                </w14:textFill>
              </w:rPr>
            </w:pPr>
          </w:p>
        </w:tc>
        <w:tc>
          <w:tcPr>
            <w:tcW w:w="709" w:type="dxa"/>
            <w:vAlign w:val="center"/>
          </w:tcPr>
          <w:p w14:paraId="0E105599">
            <w:pPr>
              <w:jc w:val="center"/>
              <w:rPr>
                <w:color w:val="000000" w:themeColor="text1"/>
                <w:sz w:val="18"/>
                <w:szCs w:val="18"/>
                <w:highlight w:val="yellow"/>
                <w14:textFill>
                  <w14:solidFill>
                    <w14:schemeClr w14:val="tx1"/>
                  </w14:solidFill>
                </w14:textFill>
              </w:rPr>
            </w:pPr>
            <w:r>
              <w:rPr>
                <w:color w:val="000000" w:themeColor="text1"/>
                <w:sz w:val="18"/>
                <w:szCs w:val="18"/>
                <w14:textFill>
                  <w14:solidFill>
                    <w14:schemeClr w14:val="tx1"/>
                  </w14:solidFill>
                </w14:textFill>
              </w:rPr>
              <w:t>1</w:t>
            </w:r>
          </w:p>
        </w:tc>
        <w:tc>
          <w:tcPr>
            <w:tcW w:w="1045" w:type="dxa"/>
            <w:vMerge w:val="restart"/>
            <w:vAlign w:val="center"/>
          </w:tcPr>
          <w:p w14:paraId="308F28CA">
            <w:pPr>
              <w:jc w:val="center"/>
              <w:rPr>
                <w:i/>
                <w:color w:val="FF0000"/>
                <w:sz w:val="18"/>
                <w:szCs w:val="18"/>
              </w:rPr>
            </w:pPr>
          </w:p>
        </w:tc>
      </w:tr>
      <w:tr w14:paraId="2565C2D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vAlign w:val="center"/>
          </w:tcPr>
          <w:p w14:paraId="4F6FF6BA">
            <w:pPr>
              <w:jc w:val="center"/>
              <w:rPr>
                <w:b/>
                <w:color w:val="000000" w:themeColor="text1"/>
                <w:sz w:val="18"/>
                <w:szCs w:val="18"/>
                <w14:textFill>
                  <w14:solidFill>
                    <w14:schemeClr w14:val="tx1"/>
                  </w14:solidFill>
                </w14:textFill>
              </w:rPr>
            </w:pPr>
          </w:p>
        </w:tc>
        <w:tc>
          <w:tcPr>
            <w:tcW w:w="1226" w:type="dxa"/>
            <w:vMerge w:val="continue"/>
            <w:vAlign w:val="center"/>
          </w:tcPr>
          <w:p w14:paraId="43A75F4C">
            <w:pPr>
              <w:jc w:val="center"/>
              <w:rPr>
                <w:b/>
                <w:color w:val="000000" w:themeColor="text1"/>
                <w:sz w:val="18"/>
                <w:szCs w:val="18"/>
                <w14:textFill>
                  <w14:solidFill>
                    <w14:schemeClr w14:val="tx1"/>
                  </w14:solidFill>
                </w14:textFill>
              </w:rPr>
            </w:pPr>
          </w:p>
        </w:tc>
        <w:tc>
          <w:tcPr>
            <w:tcW w:w="3516" w:type="dxa"/>
            <w:vAlign w:val="center"/>
          </w:tcPr>
          <w:p w14:paraId="3D7FC19D">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学术活动</w:t>
            </w:r>
          </w:p>
        </w:tc>
        <w:tc>
          <w:tcPr>
            <w:tcW w:w="1081" w:type="dxa"/>
            <w:vAlign w:val="center"/>
          </w:tcPr>
          <w:p w14:paraId="48E7A614">
            <w:pPr>
              <w:jc w:val="center"/>
              <w:rPr>
                <w:color w:val="000000" w:themeColor="text1"/>
                <w:sz w:val="18"/>
                <w:szCs w:val="18"/>
                <w14:textFill>
                  <w14:solidFill>
                    <w14:schemeClr w14:val="tx1"/>
                  </w14:solidFill>
                </w14:textFill>
              </w:rPr>
            </w:pPr>
          </w:p>
        </w:tc>
        <w:tc>
          <w:tcPr>
            <w:tcW w:w="709" w:type="dxa"/>
            <w:vAlign w:val="center"/>
          </w:tcPr>
          <w:p w14:paraId="2DAA9E6A">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6F89689A">
            <w:pPr>
              <w:jc w:val="center"/>
              <w:rPr>
                <w:color w:val="000000" w:themeColor="text1"/>
                <w:sz w:val="18"/>
                <w:szCs w:val="18"/>
                <w14:textFill>
                  <w14:solidFill>
                    <w14:schemeClr w14:val="tx1"/>
                  </w14:solidFill>
                </w14:textFill>
              </w:rPr>
            </w:pPr>
          </w:p>
        </w:tc>
        <w:tc>
          <w:tcPr>
            <w:tcW w:w="1045" w:type="dxa"/>
            <w:vMerge w:val="continue"/>
            <w:vAlign w:val="center"/>
          </w:tcPr>
          <w:p w14:paraId="1B761BC7">
            <w:pPr>
              <w:jc w:val="center"/>
              <w:rPr>
                <w:color w:val="000000" w:themeColor="text1"/>
                <w:sz w:val="18"/>
                <w:szCs w:val="18"/>
                <w14:textFill>
                  <w14:solidFill>
                    <w14:schemeClr w14:val="tx1"/>
                  </w14:solidFill>
                </w14:textFill>
              </w:rPr>
            </w:pPr>
          </w:p>
        </w:tc>
      </w:tr>
      <w:tr w14:paraId="7D2F712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3C3EC10">
            <w:pPr>
              <w:rPr>
                <w:b/>
                <w:color w:val="000000" w:themeColor="text1"/>
                <w:sz w:val="18"/>
                <w:szCs w:val="18"/>
                <w14:textFill>
                  <w14:solidFill>
                    <w14:schemeClr w14:val="tx1"/>
                  </w14:solidFill>
                </w14:textFill>
              </w:rPr>
            </w:pPr>
          </w:p>
        </w:tc>
        <w:tc>
          <w:tcPr>
            <w:tcW w:w="1226" w:type="dxa"/>
            <w:vMerge w:val="restart"/>
            <w:vAlign w:val="center"/>
          </w:tcPr>
          <w:p w14:paraId="1C1671DC">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516" w:type="dxa"/>
            <w:vAlign w:val="center"/>
          </w:tcPr>
          <w:p w14:paraId="1D874952">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081" w:type="dxa"/>
            <w:vAlign w:val="center"/>
          </w:tcPr>
          <w:p w14:paraId="493CA07B">
            <w:pPr>
              <w:jc w:val="center"/>
              <w:rPr>
                <w:color w:val="000000" w:themeColor="text1"/>
                <w:sz w:val="18"/>
                <w:szCs w:val="18"/>
                <w14:textFill>
                  <w14:solidFill>
                    <w14:schemeClr w14:val="tx1"/>
                  </w14:solidFill>
                </w14:textFill>
              </w:rPr>
            </w:pPr>
          </w:p>
        </w:tc>
        <w:tc>
          <w:tcPr>
            <w:tcW w:w="709" w:type="dxa"/>
            <w:vAlign w:val="center"/>
          </w:tcPr>
          <w:p w14:paraId="5D82166F">
            <w:pPr>
              <w:jc w:val="center"/>
              <w:rPr>
                <w:color w:val="000000" w:themeColor="text1"/>
                <w:sz w:val="18"/>
                <w:szCs w:val="18"/>
                <w14:textFill>
                  <w14:solidFill>
                    <w14:schemeClr w14:val="tx1"/>
                  </w14:solidFill>
                </w14:textFill>
              </w:rPr>
            </w:pPr>
          </w:p>
        </w:tc>
        <w:tc>
          <w:tcPr>
            <w:tcW w:w="709" w:type="dxa"/>
            <w:vAlign w:val="center"/>
          </w:tcPr>
          <w:p w14:paraId="4F7F73B2">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2-3</w:t>
            </w:r>
          </w:p>
        </w:tc>
        <w:tc>
          <w:tcPr>
            <w:tcW w:w="1045" w:type="dxa"/>
            <w:vMerge w:val="restart"/>
            <w:vAlign w:val="center"/>
          </w:tcPr>
          <w:p w14:paraId="7A27594F">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5C6C98F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38E5ACD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7068287">
            <w:pPr>
              <w:rPr>
                <w:b/>
                <w:color w:val="000000" w:themeColor="text1"/>
                <w:sz w:val="18"/>
                <w:szCs w:val="18"/>
                <w14:textFill>
                  <w14:solidFill>
                    <w14:schemeClr w14:val="tx1"/>
                  </w14:solidFill>
                </w14:textFill>
              </w:rPr>
            </w:pPr>
          </w:p>
        </w:tc>
        <w:tc>
          <w:tcPr>
            <w:tcW w:w="1226" w:type="dxa"/>
            <w:vMerge w:val="continue"/>
            <w:vAlign w:val="center"/>
          </w:tcPr>
          <w:p w14:paraId="71A048F3">
            <w:pPr>
              <w:jc w:val="center"/>
              <w:rPr>
                <w:b/>
                <w:color w:val="000000" w:themeColor="text1"/>
                <w:sz w:val="18"/>
                <w:szCs w:val="18"/>
                <w14:textFill>
                  <w14:solidFill>
                    <w14:schemeClr w14:val="tx1"/>
                  </w14:solidFill>
                </w14:textFill>
              </w:rPr>
            </w:pPr>
          </w:p>
        </w:tc>
        <w:tc>
          <w:tcPr>
            <w:tcW w:w="3516" w:type="dxa"/>
            <w:vAlign w:val="center"/>
          </w:tcPr>
          <w:p w14:paraId="14704A8D">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081" w:type="dxa"/>
            <w:vAlign w:val="center"/>
          </w:tcPr>
          <w:p w14:paraId="48D86707">
            <w:pPr>
              <w:jc w:val="center"/>
              <w:rPr>
                <w:color w:val="000000" w:themeColor="text1"/>
                <w:sz w:val="18"/>
                <w:szCs w:val="18"/>
                <w14:textFill>
                  <w14:solidFill>
                    <w14:schemeClr w14:val="tx1"/>
                  </w14:solidFill>
                </w14:textFill>
              </w:rPr>
            </w:pPr>
          </w:p>
        </w:tc>
        <w:tc>
          <w:tcPr>
            <w:tcW w:w="709" w:type="dxa"/>
            <w:vAlign w:val="center"/>
          </w:tcPr>
          <w:p w14:paraId="7D5D11B3">
            <w:pPr>
              <w:jc w:val="center"/>
              <w:rPr>
                <w:color w:val="000000" w:themeColor="text1"/>
                <w:sz w:val="18"/>
                <w:szCs w:val="18"/>
                <w14:textFill>
                  <w14:solidFill>
                    <w14:schemeClr w14:val="tx1"/>
                  </w14:solidFill>
                </w14:textFill>
              </w:rPr>
            </w:pPr>
          </w:p>
        </w:tc>
        <w:tc>
          <w:tcPr>
            <w:tcW w:w="709" w:type="dxa"/>
            <w:vAlign w:val="center"/>
          </w:tcPr>
          <w:p w14:paraId="7322B633">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3-4</w:t>
            </w:r>
          </w:p>
        </w:tc>
        <w:tc>
          <w:tcPr>
            <w:tcW w:w="1045" w:type="dxa"/>
            <w:vMerge w:val="continue"/>
            <w:vAlign w:val="center"/>
          </w:tcPr>
          <w:p w14:paraId="2F4C6DEE">
            <w:pPr>
              <w:jc w:val="center"/>
              <w:rPr>
                <w:color w:val="000000" w:themeColor="text1"/>
                <w:sz w:val="18"/>
                <w:szCs w:val="18"/>
                <w14:textFill>
                  <w14:solidFill>
                    <w14:schemeClr w14:val="tx1"/>
                  </w14:solidFill>
                </w14:textFill>
              </w:rPr>
            </w:pPr>
          </w:p>
        </w:tc>
      </w:tr>
      <w:tr w14:paraId="2D5781E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7E0D9E3">
            <w:pPr>
              <w:rPr>
                <w:b/>
                <w:color w:val="000000" w:themeColor="text1"/>
                <w:sz w:val="18"/>
                <w:szCs w:val="18"/>
                <w14:textFill>
                  <w14:solidFill>
                    <w14:schemeClr w14:val="tx1"/>
                  </w14:solidFill>
                </w14:textFill>
              </w:rPr>
            </w:pPr>
          </w:p>
        </w:tc>
        <w:tc>
          <w:tcPr>
            <w:tcW w:w="1226" w:type="dxa"/>
            <w:vMerge w:val="continue"/>
            <w:vAlign w:val="center"/>
          </w:tcPr>
          <w:p w14:paraId="7E786386">
            <w:pPr>
              <w:jc w:val="center"/>
              <w:rPr>
                <w:b/>
                <w:color w:val="000000" w:themeColor="text1"/>
                <w:sz w:val="18"/>
                <w:szCs w:val="18"/>
                <w14:textFill>
                  <w14:solidFill>
                    <w14:schemeClr w14:val="tx1"/>
                  </w14:solidFill>
                </w14:textFill>
              </w:rPr>
            </w:pPr>
          </w:p>
        </w:tc>
        <w:tc>
          <w:tcPr>
            <w:tcW w:w="3516" w:type="dxa"/>
            <w:vAlign w:val="center"/>
          </w:tcPr>
          <w:p w14:paraId="5923D0A4">
            <w:pPr>
              <w:rPr>
                <w:sz w:val="18"/>
                <w:szCs w:val="18"/>
              </w:rPr>
            </w:pPr>
            <w:r>
              <w:rPr>
                <w:sz w:val="18"/>
                <w:szCs w:val="18"/>
              </w:rPr>
              <w:t>论文中期进展报告</w:t>
            </w:r>
          </w:p>
        </w:tc>
        <w:tc>
          <w:tcPr>
            <w:tcW w:w="1081" w:type="dxa"/>
            <w:vAlign w:val="center"/>
          </w:tcPr>
          <w:p w14:paraId="1A80DACF">
            <w:pPr>
              <w:jc w:val="center"/>
              <w:rPr>
                <w:color w:val="000000" w:themeColor="text1"/>
                <w:sz w:val="18"/>
                <w:szCs w:val="18"/>
                <w14:textFill>
                  <w14:solidFill>
                    <w14:schemeClr w14:val="tx1"/>
                  </w14:solidFill>
                </w14:textFill>
              </w:rPr>
            </w:pPr>
          </w:p>
        </w:tc>
        <w:tc>
          <w:tcPr>
            <w:tcW w:w="709" w:type="dxa"/>
            <w:vAlign w:val="center"/>
          </w:tcPr>
          <w:p w14:paraId="7877EC68">
            <w:pPr>
              <w:jc w:val="center"/>
              <w:rPr>
                <w:color w:val="000000" w:themeColor="text1"/>
                <w:sz w:val="18"/>
                <w:szCs w:val="18"/>
                <w14:textFill>
                  <w14:solidFill>
                    <w14:schemeClr w14:val="tx1"/>
                  </w14:solidFill>
                </w14:textFill>
              </w:rPr>
            </w:pPr>
          </w:p>
        </w:tc>
        <w:tc>
          <w:tcPr>
            <w:tcW w:w="709" w:type="dxa"/>
            <w:vAlign w:val="center"/>
          </w:tcPr>
          <w:p w14:paraId="03B44455">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5</w:t>
            </w:r>
          </w:p>
        </w:tc>
        <w:tc>
          <w:tcPr>
            <w:tcW w:w="1045" w:type="dxa"/>
            <w:vMerge w:val="continue"/>
          </w:tcPr>
          <w:p w14:paraId="3D288BE1">
            <w:pPr>
              <w:jc w:val="center"/>
              <w:rPr>
                <w:color w:val="000000" w:themeColor="text1"/>
                <w:sz w:val="18"/>
                <w:szCs w:val="18"/>
                <w14:textFill>
                  <w14:solidFill>
                    <w14:schemeClr w14:val="tx1"/>
                  </w14:solidFill>
                </w14:textFill>
              </w:rPr>
            </w:pPr>
          </w:p>
        </w:tc>
      </w:tr>
      <w:tr w14:paraId="3EDE29B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60BF9DB">
            <w:pPr>
              <w:rPr>
                <w:b/>
                <w:color w:val="000000" w:themeColor="text1"/>
                <w:sz w:val="18"/>
                <w:szCs w:val="18"/>
                <w14:textFill>
                  <w14:solidFill>
                    <w14:schemeClr w14:val="tx1"/>
                  </w14:solidFill>
                </w14:textFill>
              </w:rPr>
            </w:pPr>
          </w:p>
        </w:tc>
        <w:tc>
          <w:tcPr>
            <w:tcW w:w="1226" w:type="dxa"/>
            <w:vMerge w:val="continue"/>
            <w:vAlign w:val="center"/>
          </w:tcPr>
          <w:p w14:paraId="2A907D92">
            <w:pPr>
              <w:jc w:val="center"/>
              <w:rPr>
                <w:b/>
                <w:color w:val="000000" w:themeColor="text1"/>
                <w:sz w:val="18"/>
                <w:szCs w:val="18"/>
                <w14:textFill>
                  <w14:solidFill>
                    <w14:schemeClr w14:val="tx1"/>
                  </w14:solidFill>
                </w14:textFill>
              </w:rPr>
            </w:pPr>
          </w:p>
        </w:tc>
        <w:tc>
          <w:tcPr>
            <w:tcW w:w="3516" w:type="dxa"/>
            <w:vAlign w:val="center"/>
          </w:tcPr>
          <w:p w14:paraId="206882BF">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081" w:type="dxa"/>
            <w:vAlign w:val="center"/>
          </w:tcPr>
          <w:p w14:paraId="60074F28">
            <w:pPr>
              <w:jc w:val="center"/>
              <w:rPr>
                <w:color w:val="000000" w:themeColor="text1"/>
                <w:sz w:val="18"/>
                <w:szCs w:val="18"/>
                <w14:textFill>
                  <w14:solidFill>
                    <w14:schemeClr w14:val="tx1"/>
                  </w14:solidFill>
                </w14:textFill>
              </w:rPr>
            </w:pPr>
          </w:p>
        </w:tc>
        <w:tc>
          <w:tcPr>
            <w:tcW w:w="709" w:type="dxa"/>
            <w:vAlign w:val="center"/>
          </w:tcPr>
          <w:p w14:paraId="04E18DD6">
            <w:pPr>
              <w:jc w:val="center"/>
              <w:rPr>
                <w:color w:val="000000" w:themeColor="text1"/>
                <w:sz w:val="18"/>
                <w:szCs w:val="18"/>
                <w14:textFill>
                  <w14:solidFill>
                    <w14:schemeClr w14:val="tx1"/>
                  </w14:solidFill>
                </w14:textFill>
              </w:rPr>
            </w:pPr>
          </w:p>
        </w:tc>
        <w:tc>
          <w:tcPr>
            <w:tcW w:w="709" w:type="dxa"/>
            <w:vAlign w:val="center"/>
          </w:tcPr>
          <w:p w14:paraId="70657DF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6</w:t>
            </w:r>
          </w:p>
        </w:tc>
        <w:tc>
          <w:tcPr>
            <w:tcW w:w="1045" w:type="dxa"/>
            <w:vMerge w:val="continue"/>
          </w:tcPr>
          <w:p w14:paraId="41549B1B">
            <w:pPr>
              <w:jc w:val="center"/>
              <w:rPr>
                <w:color w:val="000000" w:themeColor="text1"/>
                <w:sz w:val="18"/>
                <w:szCs w:val="18"/>
                <w14:textFill>
                  <w14:solidFill>
                    <w14:schemeClr w14:val="tx1"/>
                  </w14:solidFill>
                </w14:textFill>
              </w:rPr>
            </w:pPr>
          </w:p>
        </w:tc>
      </w:tr>
      <w:tr w14:paraId="50AC6EF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FEAFB82">
            <w:pPr>
              <w:rPr>
                <w:color w:val="000000" w:themeColor="text1"/>
                <w:sz w:val="18"/>
                <w:szCs w:val="18"/>
                <w14:textFill>
                  <w14:solidFill>
                    <w14:schemeClr w14:val="tx1"/>
                  </w14:solidFill>
                </w14:textFill>
              </w:rPr>
            </w:pPr>
          </w:p>
        </w:tc>
        <w:tc>
          <w:tcPr>
            <w:tcW w:w="1226" w:type="dxa"/>
            <w:vMerge w:val="continue"/>
          </w:tcPr>
          <w:p w14:paraId="2A50E9EA">
            <w:pPr>
              <w:jc w:val="center"/>
              <w:rPr>
                <w:color w:val="000000" w:themeColor="text1"/>
                <w:sz w:val="18"/>
                <w:szCs w:val="18"/>
                <w14:textFill>
                  <w14:solidFill>
                    <w14:schemeClr w14:val="tx1"/>
                  </w14:solidFill>
                </w14:textFill>
              </w:rPr>
            </w:pPr>
          </w:p>
        </w:tc>
        <w:tc>
          <w:tcPr>
            <w:tcW w:w="3516" w:type="dxa"/>
            <w:vAlign w:val="center"/>
          </w:tcPr>
          <w:p w14:paraId="490E8872">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081" w:type="dxa"/>
            <w:vAlign w:val="center"/>
          </w:tcPr>
          <w:p w14:paraId="40E51B4E">
            <w:pPr>
              <w:jc w:val="center"/>
              <w:rPr>
                <w:color w:val="000000" w:themeColor="text1"/>
                <w:sz w:val="18"/>
                <w:szCs w:val="18"/>
                <w14:textFill>
                  <w14:solidFill>
                    <w14:schemeClr w14:val="tx1"/>
                  </w14:solidFill>
                </w14:textFill>
              </w:rPr>
            </w:pPr>
          </w:p>
        </w:tc>
        <w:tc>
          <w:tcPr>
            <w:tcW w:w="709" w:type="dxa"/>
            <w:vAlign w:val="center"/>
          </w:tcPr>
          <w:p w14:paraId="532418FD">
            <w:pPr>
              <w:jc w:val="center"/>
              <w:rPr>
                <w:color w:val="000000" w:themeColor="text1"/>
                <w:sz w:val="18"/>
                <w:szCs w:val="18"/>
                <w14:textFill>
                  <w14:solidFill>
                    <w14:schemeClr w14:val="tx1"/>
                  </w14:solidFill>
                </w14:textFill>
              </w:rPr>
            </w:pPr>
          </w:p>
        </w:tc>
        <w:tc>
          <w:tcPr>
            <w:tcW w:w="709" w:type="dxa"/>
            <w:vAlign w:val="center"/>
          </w:tcPr>
          <w:p w14:paraId="64C66E46">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045" w:type="dxa"/>
            <w:vMerge w:val="continue"/>
          </w:tcPr>
          <w:p w14:paraId="3BDA4D03">
            <w:pPr>
              <w:jc w:val="center"/>
              <w:rPr>
                <w:color w:val="000000" w:themeColor="text1"/>
                <w:sz w:val="18"/>
                <w:szCs w:val="18"/>
                <w14:textFill>
                  <w14:solidFill>
                    <w14:schemeClr w14:val="tx1"/>
                  </w14:solidFill>
                </w14:textFill>
              </w:rPr>
            </w:pPr>
          </w:p>
        </w:tc>
      </w:tr>
      <w:tr w14:paraId="50E0B17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485E27F">
            <w:pPr>
              <w:rPr>
                <w:color w:val="000000" w:themeColor="text1"/>
                <w:sz w:val="18"/>
                <w:szCs w:val="18"/>
                <w14:textFill>
                  <w14:solidFill>
                    <w14:schemeClr w14:val="tx1"/>
                  </w14:solidFill>
                </w14:textFill>
              </w:rPr>
            </w:pPr>
          </w:p>
        </w:tc>
        <w:tc>
          <w:tcPr>
            <w:tcW w:w="1226" w:type="dxa"/>
            <w:vMerge w:val="continue"/>
          </w:tcPr>
          <w:p w14:paraId="15EE8912">
            <w:pPr>
              <w:jc w:val="center"/>
              <w:rPr>
                <w:color w:val="000000" w:themeColor="text1"/>
                <w:sz w:val="18"/>
                <w:szCs w:val="18"/>
                <w14:textFill>
                  <w14:solidFill>
                    <w14:schemeClr w14:val="tx1"/>
                  </w14:solidFill>
                </w14:textFill>
              </w:rPr>
            </w:pPr>
          </w:p>
        </w:tc>
        <w:tc>
          <w:tcPr>
            <w:tcW w:w="3516" w:type="dxa"/>
            <w:vAlign w:val="center"/>
          </w:tcPr>
          <w:p w14:paraId="4B40838C">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081" w:type="dxa"/>
            <w:vAlign w:val="center"/>
          </w:tcPr>
          <w:p w14:paraId="72AD2E6F">
            <w:pPr>
              <w:jc w:val="center"/>
              <w:rPr>
                <w:color w:val="000000" w:themeColor="text1"/>
                <w:sz w:val="18"/>
                <w:szCs w:val="18"/>
                <w14:textFill>
                  <w14:solidFill>
                    <w14:schemeClr w14:val="tx1"/>
                  </w14:solidFill>
                </w14:textFill>
              </w:rPr>
            </w:pPr>
          </w:p>
        </w:tc>
        <w:tc>
          <w:tcPr>
            <w:tcW w:w="709" w:type="dxa"/>
            <w:vAlign w:val="center"/>
          </w:tcPr>
          <w:p w14:paraId="3F75B39A">
            <w:pPr>
              <w:jc w:val="center"/>
              <w:rPr>
                <w:color w:val="000000" w:themeColor="text1"/>
                <w:sz w:val="18"/>
                <w:szCs w:val="18"/>
                <w14:textFill>
                  <w14:solidFill>
                    <w14:schemeClr w14:val="tx1"/>
                  </w14:solidFill>
                </w14:textFill>
              </w:rPr>
            </w:pPr>
          </w:p>
        </w:tc>
        <w:tc>
          <w:tcPr>
            <w:tcW w:w="709" w:type="dxa"/>
            <w:vAlign w:val="center"/>
          </w:tcPr>
          <w:p w14:paraId="353E4CC6">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045" w:type="dxa"/>
            <w:vMerge w:val="continue"/>
          </w:tcPr>
          <w:p w14:paraId="0C218B39">
            <w:pPr>
              <w:jc w:val="center"/>
              <w:rPr>
                <w:color w:val="000000" w:themeColor="text1"/>
                <w:sz w:val="18"/>
                <w:szCs w:val="18"/>
                <w14:textFill>
                  <w14:solidFill>
                    <w14:schemeClr w14:val="tx1"/>
                  </w14:solidFill>
                </w14:textFill>
              </w:rPr>
            </w:pPr>
          </w:p>
        </w:tc>
      </w:tr>
    </w:tbl>
    <w:p w14:paraId="68904C58">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73C8A941">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3A0AE46D">
      <w:pPr>
        <w:spacing w:line="440" w:lineRule="exact"/>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p w14:paraId="46E20BD9">
      <w:pPr>
        <w:spacing w:line="440" w:lineRule="exact"/>
        <w:ind w:firstLine="480" w:firstLineChars="200"/>
        <w:rPr>
          <w:rFonts w:eastAsia="黑体"/>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507997"/>
    <w:multiLevelType w:val="singleLevel"/>
    <w:tmpl w:val="57507997"/>
    <w:lvl w:ilvl="0" w:tentative="0">
      <w:start w:val="2"/>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杰">
    <w15:presenceInfo w15:providerId="WPS Office" w15:userId="7507588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0D0D"/>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47C19"/>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55F"/>
    <w:rsid w:val="002056DB"/>
    <w:rsid w:val="00205814"/>
    <w:rsid w:val="00206236"/>
    <w:rsid w:val="00206FD9"/>
    <w:rsid w:val="002072D0"/>
    <w:rsid w:val="002106EB"/>
    <w:rsid w:val="002120B8"/>
    <w:rsid w:val="002120E9"/>
    <w:rsid w:val="00212267"/>
    <w:rsid w:val="002154FC"/>
    <w:rsid w:val="00215A41"/>
    <w:rsid w:val="0021662C"/>
    <w:rsid w:val="00216D4F"/>
    <w:rsid w:val="00217554"/>
    <w:rsid w:val="00217A8B"/>
    <w:rsid w:val="0022264F"/>
    <w:rsid w:val="00222A5E"/>
    <w:rsid w:val="002231B6"/>
    <w:rsid w:val="002249A4"/>
    <w:rsid w:val="00226F23"/>
    <w:rsid w:val="00227548"/>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0A3B"/>
    <w:rsid w:val="0040266D"/>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293F"/>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4B00"/>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A59"/>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023"/>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248"/>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0D7D"/>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6E74"/>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63"/>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1D4"/>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5F2C"/>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57F19"/>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15A"/>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9E6"/>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3A"/>
    <w:rsid w:val="00FF735B"/>
    <w:rsid w:val="08063D7F"/>
    <w:rsid w:val="08283AEA"/>
    <w:rsid w:val="0D98311E"/>
    <w:rsid w:val="0EC03533"/>
    <w:rsid w:val="112371A2"/>
    <w:rsid w:val="128238F4"/>
    <w:rsid w:val="137B32C6"/>
    <w:rsid w:val="177F5569"/>
    <w:rsid w:val="1A5F3D37"/>
    <w:rsid w:val="1AEF6A73"/>
    <w:rsid w:val="1DE9345D"/>
    <w:rsid w:val="1EF519D9"/>
    <w:rsid w:val="1FE96C05"/>
    <w:rsid w:val="202076CF"/>
    <w:rsid w:val="20E0409F"/>
    <w:rsid w:val="227049F9"/>
    <w:rsid w:val="227373AB"/>
    <w:rsid w:val="24CB478F"/>
    <w:rsid w:val="2CA64AB8"/>
    <w:rsid w:val="2EF45A80"/>
    <w:rsid w:val="2F5C1DA5"/>
    <w:rsid w:val="2FCC2A87"/>
    <w:rsid w:val="348002E4"/>
    <w:rsid w:val="382043DD"/>
    <w:rsid w:val="3C992E26"/>
    <w:rsid w:val="3D8E7E7B"/>
    <w:rsid w:val="40027CE7"/>
    <w:rsid w:val="42640ACD"/>
    <w:rsid w:val="4A330784"/>
    <w:rsid w:val="4A985588"/>
    <w:rsid w:val="5385202A"/>
    <w:rsid w:val="56B0015D"/>
    <w:rsid w:val="571E4952"/>
    <w:rsid w:val="600F2399"/>
    <w:rsid w:val="61C96577"/>
    <w:rsid w:val="67C47F0C"/>
    <w:rsid w:val="681E2893"/>
    <w:rsid w:val="68AC5F38"/>
    <w:rsid w:val="6AC03ED3"/>
    <w:rsid w:val="7055717F"/>
    <w:rsid w:val="70BC0E22"/>
    <w:rsid w:val="715F24EA"/>
    <w:rsid w:val="7A6730A5"/>
    <w:rsid w:val="7B761AFA"/>
    <w:rsid w:val="7BAB0D70"/>
    <w:rsid w:val="7C1F52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6"/>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9"/>
    <w:semiHidden/>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0"/>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标题 2 字符"/>
    <w:basedOn w:val="13"/>
    <w:link w:val="3"/>
    <w:qFormat/>
    <w:uiPriority w:val="99"/>
    <w:rPr>
      <w:rFonts w:ascii="Cambria" w:hAnsi="Cambria" w:eastAsia="宋体" w:cs="Times New Roman"/>
      <w:b/>
      <w:bCs/>
      <w:sz w:val="32"/>
      <w:szCs w:val="32"/>
    </w:rPr>
  </w:style>
  <w:style w:type="character" w:customStyle="1" w:styleId="17">
    <w:name w:val="标题 1 字符"/>
    <w:basedOn w:val="13"/>
    <w:link w:val="2"/>
    <w:qFormat/>
    <w:uiPriority w:val="0"/>
    <w:rPr>
      <w:rFonts w:ascii="Times New Roman" w:hAnsi="Times New Roman" w:eastAsia="华文行楷" w:cs="Times New Roman"/>
      <w:kern w:val="44"/>
      <w:sz w:val="44"/>
      <w:szCs w:val="20"/>
    </w:rPr>
  </w:style>
  <w:style w:type="paragraph" w:customStyle="1" w:styleId="18">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9">
    <w:name w:val="批注文字 字符"/>
    <w:basedOn w:val="13"/>
    <w:link w:val="5"/>
    <w:semiHidden/>
    <w:qFormat/>
    <w:uiPriority w:val="99"/>
    <w:rPr>
      <w:rFonts w:ascii="Times New Roman" w:hAnsi="Times New Roman" w:eastAsia="宋体" w:cs="Times New Roman"/>
      <w:szCs w:val="24"/>
    </w:rPr>
  </w:style>
  <w:style w:type="character" w:customStyle="1" w:styleId="20">
    <w:name w:val="批注主题 字符"/>
    <w:basedOn w:val="19"/>
    <w:link w:val="10"/>
    <w:semiHidden/>
    <w:qFormat/>
    <w:uiPriority w:val="99"/>
    <w:rPr>
      <w:rFonts w:ascii="Times New Roman" w:hAnsi="Times New Roman" w:eastAsia="宋体" w:cs="Times New Roman"/>
      <w:b/>
      <w:bCs/>
      <w:szCs w:val="24"/>
    </w:rPr>
  </w:style>
  <w:style w:type="character" w:customStyle="1" w:styleId="21">
    <w:name w:val="批注框文本 字符"/>
    <w:basedOn w:val="13"/>
    <w:link w:val="6"/>
    <w:semiHidden/>
    <w:qFormat/>
    <w:uiPriority w:val="99"/>
    <w:rPr>
      <w:rFonts w:ascii="Times New Roman" w:hAnsi="Times New Roman" w:eastAsia="宋体" w:cs="Times New Roman"/>
      <w:sz w:val="18"/>
      <w:szCs w:val="18"/>
    </w:rPr>
  </w:style>
  <w:style w:type="character" w:customStyle="1" w:styleId="22">
    <w:name w:val="页眉 字符"/>
    <w:basedOn w:val="13"/>
    <w:link w:val="8"/>
    <w:qFormat/>
    <w:uiPriority w:val="99"/>
    <w:rPr>
      <w:rFonts w:ascii="Times New Roman" w:hAnsi="Times New Roman" w:eastAsia="宋体" w:cs="Times New Roman"/>
      <w:sz w:val="18"/>
      <w:szCs w:val="18"/>
    </w:rPr>
  </w:style>
  <w:style w:type="character" w:customStyle="1" w:styleId="23">
    <w:name w:val="页脚 字符"/>
    <w:basedOn w:val="13"/>
    <w:link w:val="7"/>
    <w:qFormat/>
    <w:uiPriority w:val="99"/>
    <w:rPr>
      <w:rFonts w:ascii="Times New Roman" w:hAnsi="Times New Roman" w:eastAsia="宋体" w:cs="Times New Roman"/>
      <w:sz w:val="18"/>
      <w:szCs w:val="18"/>
    </w:rPr>
  </w:style>
  <w:style w:type="paragraph" w:customStyle="1" w:styleId="24">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5">
    <w:name w:val="List Paragraph"/>
    <w:basedOn w:val="1"/>
    <w:qFormat/>
    <w:uiPriority w:val="99"/>
    <w:pPr>
      <w:ind w:firstLine="420" w:firstLineChars="200"/>
    </w:pPr>
  </w:style>
  <w:style w:type="character" w:customStyle="1" w:styleId="26">
    <w:name w:val="标题 4 字符"/>
    <w:basedOn w:val="13"/>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316A59-7AD1-44D5-9BB0-7CD750BB9C55}">
  <ds:schemaRefs/>
</ds:datastoreItem>
</file>

<file path=docProps/app.xml><?xml version="1.0" encoding="utf-8"?>
<Properties xmlns="http://schemas.openxmlformats.org/officeDocument/2006/extended-properties" xmlns:vt="http://schemas.openxmlformats.org/officeDocument/2006/docPropsVTypes">
  <Template>Normal.dotm</Template>
  <Company>yanjiushengyuan</Company>
  <Pages>4</Pages>
  <Words>2954</Words>
  <Characters>3119</Characters>
  <Lines>23</Lines>
  <Paragraphs>6</Paragraphs>
  <TotalTime>1</TotalTime>
  <ScaleCrop>false</ScaleCrop>
  <LinksUpToDate>false</LinksUpToDate>
  <CharactersWithSpaces>3129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2025-05-06T09:51:00Z</dcterms:created>
  <dc:creator>刘明旭</dc:creator>
  <cp:lastModifiedBy>杰</cp:lastModifiedBy>
  <cp:lastPrinted>2025-06-25T01:23:29Z</cp:lastPrinted>
  <dcterms:modified xsi:type="dcterms:W3CDTF">2025-06-25T01:23:50Z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eyJoZGlkIjoiNDgxYmFmNmU4Yzk1NjliM2E1OGMwOTBiNGIyYWU4MzIiLCJ1c2VySWQiOiIzMDM1NjkzMDgifQ==</vt:lpwstr>
  </property>
  <property fmtid="{D5CDD505-2E9C-101B-9397-08002B2CF9AE}" pid="4" name="ICV">
    <vt:lpwstr>B6674BCEB4584963B0EDF16CC23E315E_12</vt:lpwstr>
  </property>
</Properties>
</file>