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3E187">
      <w:pPr>
        <w:spacing w:line="360" w:lineRule="auto"/>
        <w:ind w:left="321" w:leftChars="153" w:right="227"/>
        <w:jc w:val="center"/>
        <w:rPr>
          <w:rFonts w:eastAsia="黑体"/>
          <w:b/>
          <w:bCs/>
          <w:sz w:val="36"/>
          <w:szCs w:val="36"/>
        </w:rPr>
      </w:pPr>
      <w:bookmarkStart w:id="0" w:name="OLE_LINK7"/>
      <w:bookmarkStart w:id="1" w:name="OLE_LINK6"/>
      <w:r>
        <w:rPr>
          <w:rFonts w:hint="eastAsia" w:eastAsia="黑体"/>
          <w:iCs/>
          <w:sz w:val="36"/>
          <w:szCs w:val="36"/>
          <w:u w:val="single"/>
        </w:rPr>
        <w:t>博物馆</w:t>
      </w:r>
      <w:r>
        <w:rPr>
          <w:rFonts w:eastAsia="黑体"/>
          <w:b/>
          <w:bCs/>
          <w:sz w:val="36"/>
          <w:szCs w:val="36"/>
        </w:rPr>
        <w:t>专业全日制专业学位硕士研究生培养方案</w:t>
      </w:r>
    </w:p>
    <w:p w14:paraId="6A881339">
      <w:pPr>
        <w:spacing w:line="360" w:lineRule="auto"/>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历史</w:t>
      </w:r>
      <w:r>
        <w:rPr>
          <w:rFonts w:eastAsia="黑体"/>
          <w:b/>
          <w:bCs/>
          <w:sz w:val="28"/>
          <w:szCs w:val="28"/>
        </w:rPr>
        <w:t>学院</w:t>
      </w:r>
      <w:r>
        <w:rPr>
          <w:rFonts w:hint="eastAsia" w:eastAsia="黑体"/>
          <w:b/>
          <w:bCs/>
          <w:sz w:val="28"/>
          <w:szCs w:val="28"/>
        </w:rPr>
        <w:t>）</w:t>
      </w:r>
    </w:p>
    <w:p w14:paraId="06949BD4">
      <w:pPr>
        <w:spacing w:line="360" w:lineRule="auto"/>
        <w:ind w:firstLine="560"/>
        <w:rPr>
          <w:rFonts w:eastAsia="黑体"/>
          <w:bCs/>
          <w:sz w:val="28"/>
          <w:szCs w:val="28"/>
        </w:rPr>
      </w:pPr>
      <w:r>
        <w:rPr>
          <w:rFonts w:eastAsia="黑体"/>
          <w:bCs/>
          <w:sz w:val="28"/>
          <w:szCs w:val="28"/>
        </w:rPr>
        <w:t>一、专业名称、代码</w:t>
      </w:r>
    </w:p>
    <w:p w14:paraId="43B133EA">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博物馆学</w:t>
      </w:r>
    </w:p>
    <w:p w14:paraId="537E2425">
      <w:pPr>
        <w:widowControl/>
        <w:spacing w:line="360" w:lineRule="auto"/>
        <w:ind w:firstLine="960" w:firstLineChars="400"/>
        <w:jc w:val="left"/>
        <w:rPr>
          <w:color w:val="222222"/>
          <w:kern w:val="0"/>
          <w:sz w:val="18"/>
          <w:szCs w:val="18"/>
        </w:rPr>
      </w:pPr>
      <w:r>
        <w:rPr>
          <w:color w:val="222222"/>
          <w:kern w:val="0"/>
          <w:sz w:val="24"/>
        </w:rPr>
        <w:t>专业代码：</w:t>
      </w:r>
      <w:r>
        <w:rPr>
          <w:rFonts w:hint="eastAsia" w:ascii="宋体" w:hAnsi="宋体" w:cs="宋体"/>
          <w:sz w:val="24"/>
        </w:rPr>
        <w:t>0651</w:t>
      </w:r>
    </w:p>
    <w:p w14:paraId="7BBB1B26">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7481F73A">
      <w:pPr>
        <w:spacing w:line="360" w:lineRule="auto"/>
        <w:ind w:firstLine="480" w:firstLineChars="200"/>
        <w:rPr>
          <w:rFonts w:ascii="宋体" w:hAnsi="宋体" w:cs="宋体"/>
          <w:sz w:val="24"/>
        </w:rPr>
      </w:pPr>
      <w:r>
        <w:rPr>
          <w:rFonts w:hint="eastAsia" w:ascii="宋体" w:hAnsi="宋体" w:cs="宋体"/>
          <w:sz w:val="24"/>
        </w:rPr>
        <w:t>博物馆学专业学位是国家为适应新时期文物与博物馆事业快速发展对高层次、应用型专门人才的迫切需求而设置的一种新兴学位类型，对于完善文物与博物馆人才培养体系、创新文物与博物馆人才培养模式具有重要意义。</w:t>
      </w:r>
    </w:p>
    <w:p w14:paraId="7F0BADF1">
      <w:pPr>
        <w:spacing w:line="360" w:lineRule="auto"/>
        <w:ind w:firstLine="480" w:firstLineChars="200"/>
        <w:rPr>
          <w:rFonts w:ascii="宋体" w:hAnsi="宋体" w:cs="宋体"/>
          <w:sz w:val="24"/>
        </w:rPr>
      </w:pPr>
      <w:r>
        <w:rPr>
          <w:rFonts w:hint="eastAsia" w:ascii="宋体" w:hAnsi="宋体" w:cs="宋体"/>
          <w:sz w:val="24"/>
        </w:rPr>
        <w:t>河北大学博物馆学学位授权点于2018年获批，2019年招收第一批专业硕士研究生。截止目前，本学科人才建设效果较为显著,已形成学缘结构良好、职称和年龄结构合理的师资团队。现任教师多毕业于北京大学、北京师范大学、南开大学、吉林大学、山东大学等知名高校。现有专职教师8人，其中教授2人，副教授4人，讲师2人，专任教师中7人获得博士学位。本学位点以考古学一级学科为基点，致力于为学生创造良好的培养环境，依托本校博物馆和校外的各种文物考古机构，保证学生实习实践的顺利进行。其中河北大学博物馆是河北省唯一的综合性高校博物馆，馆内现有藏品约7000余件，种类丰富，其中国家一、二、三级文物476件，是文物与博物馆方向硕士的重要教学实习基地。与我们建立合作培养计划的20多家单位，不但有考古所及博物馆，还有文化产业单位。</w:t>
      </w:r>
    </w:p>
    <w:p w14:paraId="493E4015">
      <w:pPr>
        <w:spacing w:line="360" w:lineRule="auto"/>
        <w:ind w:firstLine="480" w:firstLineChars="200"/>
        <w:rPr>
          <w:rFonts w:ascii="宋体" w:hAnsi="宋体" w:cs="宋体"/>
          <w:sz w:val="24"/>
        </w:rPr>
      </w:pPr>
      <w:r>
        <w:rPr>
          <w:rFonts w:hint="eastAsia" w:ascii="宋体" w:hAnsi="宋体" w:cs="宋体"/>
          <w:sz w:val="24"/>
        </w:rPr>
        <w:t>本学位点立足区域社会经济发展需求，多年来形成了较好的文物与博物馆方向教学与学术传统的积累，实行错位发展和针对性、差异性培养，注重塑造研究型和实用型复合人才，始终面向就业需求和区域特点来突出凝练专业特色优势。</w:t>
      </w:r>
    </w:p>
    <w:p w14:paraId="28696449">
      <w:pPr>
        <w:spacing w:line="360" w:lineRule="auto"/>
        <w:ind w:firstLine="560" w:firstLineChars="200"/>
        <w:rPr>
          <w:rFonts w:eastAsia="黑体"/>
          <w:bCs/>
          <w:sz w:val="28"/>
          <w:szCs w:val="28"/>
        </w:rPr>
      </w:pPr>
      <w:r>
        <w:rPr>
          <w:rFonts w:eastAsia="黑体"/>
          <w:bCs/>
          <w:sz w:val="28"/>
          <w:szCs w:val="28"/>
        </w:rPr>
        <w:t>三、研究方向</w:t>
      </w:r>
    </w:p>
    <w:p w14:paraId="12A56816">
      <w:pPr>
        <w:spacing w:line="360" w:lineRule="auto"/>
        <w:ind w:firstLine="480"/>
        <w:rPr>
          <w:rFonts w:ascii="宋体" w:hAnsi="宋体"/>
          <w:color w:val="000000"/>
          <w:sz w:val="24"/>
        </w:rPr>
      </w:pPr>
      <w:r>
        <w:rPr>
          <w:rFonts w:hint="eastAsia" w:ascii="宋体" w:hAnsi="宋体"/>
          <w:color w:val="000000"/>
          <w:sz w:val="24"/>
        </w:rPr>
        <w:t>本学科点研究方向的设置基于博物馆的专业特点以及河北大学本专业多年来形成的良好传统。分为三个方向：</w:t>
      </w:r>
    </w:p>
    <w:p w14:paraId="0E60C5F9">
      <w:pPr>
        <w:widowControl/>
        <w:spacing w:line="360" w:lineRule="auto"/>
        <w:ind w:firstLine="480" w:firstLineChars="200"/>
        <w:jc w:val="left"/>
        <w:rPr>
          <w:rFonts w:ascii="宋体" w:hAnsi="宋体"/>
          <w:color w:val="000000"/>
          <w:sz w:val="24"/>
        </w:rPr>
      </w:pPr>
      <w:r>
        <w:rPr>
          <w:rFonts w:hint="eastAsia" w:ascii="宋体" w:hAnsi="宋体"/>
          <w:color w:val="000000"/>
          <w:sz w:val="24"/>
        </w:rPr>
        <w:t>1．</w:t>
      </w:r>
      <w:r>
        <w:rPr>
          <w:rFonts w:hint="eastAsia" w:ascii="宋体" w:hAnsi="宋体" w:cs="宋体"/>
          <w:color w:val="000000"/>
          <w:kern w:val="0"/>
          <w:sz w:val="24"/>
          <w:lang w:bidi="ar"/>
        </w:rPr>
        <w:t>博物馆藏品研究</w:t>
      </w:r>
    </w:p>
    <w:p w14:paraId="3433549B">
      <w:pPr>
        <w:spacing w:line="360" w:lineRule="auto"/>
        <w:ind w:firstLine="480"/>
        <w:rPr>
          <w:rFonts w:ascii="宋体" w:hAnsi="宋体"/>
          <w:color w:val="000000"/>
          <w:sz w:val="24"/>
        </w:rPr>
      </w:pPr>
      <w:r>
        <w:rPr>
          <w:rFonts w:hint="eastAsia" w:ascii="宋体" w:hAnsi="宋体"/>
          <w:color w:val="000000"/>
          <w:sz w:val="24"/>
        </w:rPr>
        <w:t>本方向主要研究文物的内涵价值、合理利用以及有关的文物保护工作。博物馆藏品中文物是最核心、最大宗的展品资源，本方向致力于从博物馆事业的基础发力，揭示文物的历史价值、艺术价值和科学价值，阐释文物的史料作用和教育作用，根据不同标准对各类文物进行整理与分类，对文物的管理与保护进行针对性研究。本学位点长期以来对河北及邻近地区出土及馆藏的石器、陶器、瓷器、铜器、玉器、碑刻等大量文物遗存进行过专门调查与研究，整合考古和博物馆学研究优势，实现多学科交叉，形成有良好的学术传统。</w:t>
      </w:r>
    </w:p>
    <w:p w14:paraId="7C90F1A2">
      <w:pPr>
        <w:spacing w:line="360" w:lineRule="auto"/>
        <w:ind w:firstLine="480"/>
        <w:rPr>
          <w:rFonts w:ascii="宋体" w:hAnsi="宋体"/>
          <w:color w:val="000000"/>
          <w:sz w:val="24"/>
        </w:rPr>
      </w:pPr>
      <w:r>
        <w:rPr>
          <w:rFonts w:hint="eastAsia" w:ascii="宋体" w:hAnsi="宋体"/>
          <w:color w:val="000000"/>
          <w:sz w:val="24"/>
        </w:rPr>
        <w:t>2．博物馆资源拓展</w:t>
      </w:r>
    </w:p>
    <w:p w14:paraId="5E75DAF4">
      <w:pPr>
        <w:spacing w:line="360" w:lineRule="auto"/>
        <w:ind w:firstLine="480"/>
        <w:rPr>
          <w:rFonts w:ascii="宋体" w:hAnsi="宋体"/>
          <w:color w:val="000000"/>
          <w:sz w:val="24"/>
        </w:rPr>
      </w:pPr>
      <w:r>
        <w:rPr>
          <w:rFonts w:hint="eastAsia" w:ascii="宋体" w:hAnsi="宋体"/>
          <w:color w:val="000000"/>
          <w:sz w:val="24"/>
        </w:rPr>
        <w:t>本方向探讨多途径和方法促进博物馆的发展，主要侧重于博物馆馆际合作与资源共享、教育与公共文化服务创新、文创开发、可持续发展与社会资源整合等方面。该方向旨在培养学生的资源整合能力、跨学科视野和公共服务意识。本学位点依托区域资源，对华北区域内的博物馆进行过调研，从具体研究案例出发，进行了切实的探索，毕业生具备较丰富的理论研究与较强的实践能力。</w:t>
      </w:r>
    </w:p>
    <w:p w14:paraId="74F5C966">
      <w:pPr>
        <w:spacing w:line="360" w:lineRule="auto"/>
        <w:ind w:firstLine="480"/>
        <w:rPr>
          <w:rFonts w:ascii="宋体" w:hAnsi="宋体"/>
          <w:color w:val="000000"/>
          <w:sz w:val="24"/>
        </w:rPr>
      </w:pPr>
      <w:r>
        <w:rPr>
          <w:rFonts w:hint="eastAsia" w:ascii="宋体" w:hAnsi="宋体"/>
          <w:color w:val="000000"/>
          <w:sz w:val="24"/>
        </w:rPr>
        <w:t>3．革命文物学</w:t>
      </w:r>
    </w:p>
    <w:p w14:paraId="37D287EF">
      <w:pPr>
        <w:spacing w:line="360" w:lineRule="auto"/>
        <w:ind w:firstLine="480"/>
        <w:rPr>
          <w:rFonts w:ascii="宋体" w:hAnsi="宋体"/>
          <w:color w:val="000000"/>
          <w:sz w:val="24"/>
        </w:rPr>
      </w:pPr>
      <w:r>
        <w:rPr>
          <w:rFonts w:hint="eastAsia" w:ascii="宋体" w:hAnsi="宋体"/>
          <w:color w:val="000000"/>
          <w:sz w:val="24"/>
        </w:rPr>
        <w:t>本方向主要研究1840年以来的革命与建设时期可移动、不可移动文物及等口头和非物资文化遗产。结合河北省、保定市革命老区、红色文化圣地的革命资源，重点围绕新民主主义革命时期和社会主义革命、建设时期遗留下来的革命遗址、文献档案、战争文物、生活器具、口述史、革命文艺等，系统研究其历史价值、文化内涵及社会功能，推动文化遗产活化利用和红色基因传承。</w:t>
      </w:r>
    </w:p>
    <w:p w14:paraId="4F0FC241">
      <w:pPr>
        <w:spacing w:line="360" w:lineRule="auto"/>
        <w:ind w:firstLine="560" w:firstLineChars="200"/>
        <w:rPr>
          <w:rFonts w:eastAsia="黑体"/>
          <w:bCs/>
          <w:sz w:val="28"/>
          <w:szCs w:val="28"/>
        </w:rPr>
      </w:pPr>
      <w:r>
        <w:rPr>
          <w:rFonts w:eastAsia="黑体"/>
          <w:bCs/>
          <w:sz w:val="28"/>
          <w:szCs w:val="28"/>
        </w:rPr>
        <w:t>四、学制及学习年限</w:t>
      </w:r>
    </w:p>
    <w:p w14:paraId="0023892D">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43D81267">
      <w:pPr>
        <w:spacing w:line="360" w:lineRule="auto"/>
        <w:ind w:firstLine="560" w:firstLineChars="200"/>
        <w:rPr>
          <w:rFonts w:eastAsia="黑体"/>
          <w:bCs/>
          <w:sz w:val="28"/>
          <w:szCs w:val="28"/>
        </w:rPr>
      </w:pPr>
      <w:r>
        <w:rPr>
          <w:rFonts w:eastAsia="黑体"/>
          <w:bCs/>
          <w:sz w:val="28"/>
          <w:szCs w:val="28"/>
        </w:rPr>
        <w:t>五、培养目标</w:t>
      </w:r>
    </w:p>
    <w:p w14:paraId="576E150D">
      <w:pPr>
        <w:spacing w:line="360" w:lineRule="auto"/>
        <w:ind w:firstLine="480" w:firstLineChars="200"/>
        <w:rPr>
          <w:rFonts w:ascii="宋体" w:hAnsi="宋体"/>
          <w:color w:val="000000"/>
          <w:sz w:val="24"/>
        </w:rPr>
      </w:pPr>
      <w:r>
        <w:rPr>
          <w:rFonts w:hint="eastAsia" w:ascii="宋体" w:hAnsi="宋体"/>
          <w:color w:val="000000"/>
          <w:sz w:val="24"/>
        </w:rPr>
        <w:t>1．以习近平新时代中国特色社会主义思想为指引，贯彻落实立德树人的根本任务，立足国家战略需求和京津冀区域优势，紧密服务区域、行业产业发展趋势，瞄准博物馆学学术前沿，着力培养基础理论知识扎实、学术视野广阔、政治素养过硬，热爱祖国、遵纪守法、品行端正、积极进取的复合型高层次人才。</w:t>
      </w:r>
    </w:p>
    <w:p w14:paraId="6CB0B301">
      <w:pPr>
        <w:spacing w:line="360" w:lineRule="auto"/>
        <w:ind w:firstLine="480" w:firstLineChars="200"/>
        <w:rPr>
          <w:rFonts w:ascii="宋体" w:hAnsi="宋体"/>
          <w:color w:val="000000"/>
          <w:sz w:val="24"/>
        </w:rPr>
      </w:pPr>
      <w:r>
        <w:rPr>
          <w:rFonts w:hint="eastAsia" w:ascii="宋体" w:hAnsi="宋体"/>
          <w:color w:val="000000"/>
          <w:sz w:val="24"/>
        </w:rPr>
        <w:t>2．在文物与博物馆领域掌握坚实的理论基础和系统的专门知识；具有从事文博科学研究工作或独立担负专门技术工作的能力；具有现代文博事业理念；胜任文物与博物馆较高水平业务或管理工作；实践能力突出。</w:t>
      </w:r>
    </w:p>
    <w:p w14:paraId="0A9FDAA7">
      <w:pPr>
        <w:spacing w:line="360" w:lineRule="auto"/>
        <w:ind w:firstLine="480" w:firstLineChars="200"/>
        <w:rPr>
          <w:rFonts w:ascii="宋体" w:hAnsi="宋体"/>
          <w:color w:val="000000"/>
          <w:sz w:val="24"/>
        </w:rPr>
      </w:pPr>
      <w:r>
        <w:rPr>
          <w:rFonts w:hint="eastAsia" w:ascii="宋体" w:hAnsi="宋体"/>
          <w:color w:val="000000"/>
          <w:sz w:val="24"/>
        </w:rPr>
        <w:t>3．掌握一门或多门外语。要求能较熟练地阅读本专业的外文资料，具有一定的写译能力和基本的听、说能力。</w:t>
      </w:r>
    </w:p>
    <w:p w14:paraId="0095A802">
      <w:pPr>
        <w:spacing w:line="360" w:lineRule="auto"/>
        <w:ind w:firstLine="480" w:firstLineChars="200"/>
        <w:rPr>
          <w:rFonts w:ascii="宋体" w:hAnsi="宋体"/>
          <w:color w:val="000000"/>
          <w:sz w:val="24"/>
        </w:rPr>
      </w:pPr>
      <w:r>
        <w:rPr>
          <w:rFonts w:hint="eastAsia" w:ascii="宋体" w:hAnsi="宋体"/>
          <w:color w:val="000000"/>
          <w:sz w:val="24"/>
        </w:rPr>
        <w:t>4．人格健全，身心健康。</w:t>
      </w:r>
    </w:p>
    <w:p w14:paraId="48011A65">
      <w:pPr>
        <w:spacing w:line="360" w:lineRule="auto"/>
        <w:ind w:firstLine="560" w:firstLineChars="200"/>
        <w:rPr>
          <w:rFonts w:eastAsia="黑体"/>
          <w:bCs/>
          <w:sz w:val="28"/>
          <w:szCs w:val="28"/>
        </w:rPr>
      </w:pPr>
      <w:r>
        <w:rPr>
          <w:rFonts w:eastAsia="黑体"/>
          <w:bCs/>
          <w:sz w:val="28"/>
          <w:szCs w:val="28"/>
        </w:rPr>
        <w:t>六、培养方式</w:t>
      </w:r>
    </w:p>
    <w:p w14:paraId="70FDC6A4">
      <w:pPr>
        <w:spacing w:line="360" w:lineRule="auto"/>
        <w:ind w:firstLine="480" w:firstLineChars="200"/>
        <w:rPr>
          <w:sz w:val="24"/>
          <w:szCs w:val="28"/>
        </w:rPr>
      </w:pPr>
      <w:r>
        <w:rPr>
          <w:rFonts w:hint="eastAsia" w:asciiTheme="minorEastAsia" w:hAnsiTheme="minorEastAsia" w:eastAsiaTheme="minorEastAsia" w:cstheme="minorEastAsia"/>
          <w:bCs/>
          <w:sz w:val="24"/>
        </w:rPr>
        <w:t>博物馆学具有较强的实践特点，需要在博物馆进行藏品整理、展陈设计、观众调研等实践活动，因此本专业培养坚持理论学习和一定时长实习实践相结合。</w:t>
      </w:r>
      <w:r>
        <w:rPr>
          <w:rFonts w:hint="eastAsia"/>
          <w:sz w:val="24"/>
          <w:szCs w:val="28"/>
        </w:rPr>
        <w:t>在指导方式上，采取导师负责与导师组集体培养相结合的方式。</w:t>
      </w:r>
    </w:p>
    <w:p w14:paraId="351F8B1A">
      <w:pPr>
        <w:adjustRightInd w:val="0"/>
        <w:snapToGrid w:val="0"/>
        <w:spacing w:line="360" w:lineRule="auto"/>
        <w:ind w:firstLine="480" w:firstLineChars="200"/>
        <w:rPr>
          <w:rFonts w:asciiTheme="minorEastAsia" w:hAnsiTheme="minorEastAsia" w:eastAsiaTheme="minorEastAsia" w:cstheme="minorEastAsia"/>
          <w:bCs/>
          <w:sz w:val="24"/>
        </w:rPr>
      </w:pPr>
      <w:r>
        <w:rPr>
          <w:rFonts w:hint="eastAsia"/>
          <w:sz w:val="24"/>
          <w:szCs w:val="28"/>
        </w:rPr>
        <w:t>在培养过程中，本专业</w:t>
      </w:r>
      <w:r>
        <w:rPr>
          <w:sz w:val="24"/>
          <w:szCs w:val="28"/>
        </w:rPr>
        <w:t>注重引进院外资源、校外资源和</w:t>
      </w:r>
      <w:r>
        <w:rPr>
          <w:rFonts w:hint="eastAsia"/>
          <w:sz w:val="24"/>
          <w:szCs w:val="28"/>
        </w:rPr>
        <w:t>省</w:t>
      </w:r>
      <w:r>
        <w:rPr>
          <w:sz w:val="24"/>
          <w:szCs w:val="28"/>
        </w:rPr>
        <w:t>外资源。根据</w:t>
      </w:r>
      <w:r>
        <w:rPr>
          <w:rFonts w:hint="eastAsia"/>
          <w:sz w:val="24"/>
          <w:szCs w:val="28"/>
        </w:rPr>
        <w:t>考古学</w:t>
      </w:r>
      <w:r>
        <w:rPr>
          <w:sz w:val="24"/>
          <w:szCs w:val="28"/>
        </w:rPr>
        <w:t>学科的特点，有计划地聘请国内外专家来校授课，鼓励学生选修跨学科课程，鼓励学生参加</w:t>
      </w:r>
      <w:r>
        <w:rPr>
          <w:rFonts w:hint="eastAsia"/>
          <w:sz w:val="24"/>
          <w:szCs w:val="28"/>
        </w:rPr>
        <w:t>学术</w:t>
      </w:r>
      <w:r>
        <w:rPr>
          <w:sz w:val="24"/>
          <w:szCs w:val="28"/>
        </w:rPr>
        <w:t>交流，支持学生赴进行学术调研、搜集资料或参加社会实践活动，让学生掌握跨学科的理论和方法，熟悉学术前沿，拓展</w:t>
      </w:r>
      <w:r>
        <w:rPr>
          <w:rFonts w:hint="eastAsia"/>
          <w:sz w:val="24"/>
          <w:szCs w:val="28"/>
        </w:rPr>
        <w:t>学术</w:t>
      </w:r>
      <w:r>
        <w:rPr>
          <w:sz w:val="24"/>
          <w:szCs w:val="28"/>
        </w:rPr>
        <w:t>视野、提升学习</w:t>
      </w:r>
      <w:r>
        <w:rPr>
          <w:rFonts w:hint="eastAsia"/>
          <w:sz w:val="24"/>
          <w:szCs w:val="28"/>
        </w:rPr>
        <w:t>和</w:t>
      </w:r>
      <w:r>
        <w:rPr>
          <w:sz w:val="24"/>
          <w:szCs w:val="28"/>
        </w:rPr>
        <w:t>沟通能力。</w:t>
      </w:r>
    </w:p>
    <w:p w14:paraId="5EF7F907">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1EED24C2">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552B56DB">
      <w:pPr>
        <w:spacing w:before="156" w:beforeLines="50" w:line="360" w:lineRule="auto"/>
        <w:ind w:firstLine="480" w:firstLineChars="200"/>
        <w:rPr>
          <w:rFonts w:eastAsiaTheme="minorEastAsia"/>
          <w:bCs/>
          <w:sz w:val="24"/>
        </w:rPr>
      </w:pPr>
      <w:r>
        <w:rPr>
          <w:rFonts w:hint="eastAsia" w:eastAsiaTheme="minorEastAsia"/>
          <w:bCs/>
          <w:sz w:val="24"/>
        </w:rPr>
        <w:t>中期筛选对研究生经过课程学习后知识结构、能力素质等是否达到规定要求进行考核。根据《河北大学研究生中期筛选管理办法》，开展相关工作，一般在课程学习结束后一年内进行。对暂未通过考核的，由指导教师专门进行指导督促，延期再次考核。对不适宜继续攻读学位的，予以分流或淘汰。</w:t>
      </w:r>
    </w:p>
    <w:p w14:paraId="3A3F5871">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F90E197">
      <w:pPr>
        <w:widowControl/>
        <w:adjustRightInd w:val="0"/>
        <w:snapToGrid w:val="0"/>
        <w:spacing w:before="105" w:after="105" w:line="360" w:lineRule="auto"/>
        <w:ind w:firstLine="480"/>
        <w:jc w:val="left"/>
        <w:rPr>
          <w:bCs/>
          <w:color w:val="222222"/>
          <w:kern w:val="0"/>
          <w:sz w:val="24"/>
        </w:rPr>
      </w:pPr>
      <w:r>
        <w:rPr>
          <w:bCs/>
          <w:color w:val="222222"/>
          <w:kern w:val="0"/>
          <w:sz w:val="24"/>
        </w:rPr>
        <w:t>1</w:t>
      </w:r>
      <w:r>
        <w:rPr>
          <w:rFonts w:hint="eastAsia"/>
          <w:bCs/>
          <w:color w:val="222222"/>
          <w:kern w:val="0"/>
          <w:sz w:val="24"/>
        </w:rPr>
        <w:t>．</w:t>
      </w:r>
      <w:r>
        <w:rPr>
          <w:bCs/>
          <w:color w:val="222222"/>
          <w:kern w:val="0"/>
          <w:sz w:val="24"/>
        </w:rPr>
        <w:t>总体要求</w:t>
      </w:r>
    </w:p>
    <w:p w14:paraId="76E5B10E">
      <w:pPr>
        <w:widowControl/>
        <w:adjustRightInd w:val="0"/>
        <w:snapToGrid w:val="0"/>
        <w:spacing w:before="105" w:after="105" w:line="360" w:lineRule="auto"/>
        <w:ind w:firstLine="480"/>
        <w:jc w:val="left"/>
        <w:rPr>
          <w:bCs/>
          <w:color w:val="222222"/>
          <w:kern w:val="0"/>
          <w:sz w:val="24"/>
        </w:rPr>
      </w:pP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bCs/>
          <w:color w:val="222222"/>
          <w:kern w:val="0"/>
          <w:sz w:val="24"/>
        </w:rPr>
        <w:t>学位（毕业）论文应当表明作者具有独立从事学术研究工作的能力，鼓励硕士研究生参与科学研究，取得创新性成果</w:t>
      </w:r>
      <w:r>
        <w:rPr>
          <w:rFonts w:hint="eastAsia"/>
          <w:bCs/>
          <w:color w:val="222222"/>
          <w:kern w:val="0"/>
          <w:sz w:val="24"/>
        </w:rPr>
        <w:t>。</w:t>
      </w:r>
    </w:p>
    <w:p w14:paraId="7619619E">
      <w:pPr>
        <w:widowControl/>
        <w:spacing w:line="360" w:lineRule="auto"/>
        <w:ind w:firstLine="480"/>
        <w:jc w:val="left"/>
        <w:rPr>
          <w:iCs/>
          <w:kern w:val="0"/>
          <w:sz w:val="18"/>
          <w:szCs w:val="18"/>
        </w:rPr>
      </w:pPr>
      <w:r>
        <w:rPr>
          <w:bCs/>
          <w:color w:val="222222"/>
          <w:kern w:val="0"/>
          <w:sz w:val="24"/>
        </w:rPr>
        <w:t>2.开题：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3B444433">
      <w:pPr>
        <w:adjustRightInd w:val="0"/>
        <w:snapToGrid w:val="0"/>
        <w:spacing w:line="360" w:lineRule="auto"/>
        <w:ind w:firstLine="480" w:firstLineChars="200"/>
        <w:rPr>
          <w:spacing w:val="-2"/>
          <w:sz w:val="24"/>
        </w:rPr>
      </w:pPr>
      <w:r>
        <w:rPr>
          <w:iCs/>
          <w:kern w:val="0"/>
          <w:sz w:val="24"/>
        </w:rPr>
        <w:t>原则上在入学后第3学期（最迟不超过第4学期）完成开题。开题由3-5名具有高级专业技术职务人员参加，以学术报告的方式进行。</w:t>
      </w:r>
    </w:p>
    <w:p w14:paraId="72CE8093">
      <w:pPr>
        <w:adjustRightInd w:val="0"/>
        <w:snapToGrid w:val="0"/>
        <w:spacing w:line="360" w:lineRule="auto"/>
        <w:ind w:firstLine="472" w:firstLineChars="200"/>
        <w:rPr>
          <w:i/>
          <w:color w:val="FF0000"/>
          <w:kern w:val="0"/>
          <w:sz w:val="24"/>
        </w:rPr>
      </w:pPr>
      <w:r>
        <w:rPr>
          <w:rFonts w:hint="eastAsia"/>
          <w:spacing w:val="-2"/>
          <w:sz w:val="24"/>
        </w:rPr>
        <w:t>3．</w:t>
      </w:r>
      <w:r>
        <w:rPr>
          <w:bCs/>
          <w:color w:val="222222"/>
          <w:kern w:val="0"/>
          <w:sz w:val="24"/>
        </w:rPr>
        <w:t>中期进展报告</w:t>
      </w:r>
    </w:p>
    <w:p w14:paraId="52CA32A5">
      <w:pPr>
        <w:pStyle w:val="4"/>
        <w:spacing w:line="360" w:lineRule="auto"/>
        <w:ind w:firstLine="472"/>
        <w:rPr>
          <w:rFonts w:ascii="宋体" w:hAnsi="宋体" w:eastAsia="宋体"/>
          <w:color w:val="auto"/>
          <w:spacing w:val="-2"/>
          <w:sz w:val="24"/>
          <w:szCs w:val="24"/>
        </w:rPr>
      </w:pPr>
      <w:r>
        <w:rPr>
          <w:rFonts w:hint="eastAsia" w:ascii="宋体" w:hAnsi="宋体" w:eastAsia="宋体"/>
          <w:color w:val="auto"/>
          <w:spacing w:val="-2"/>
          <w:sz w:val="24"/>
          <w:szCs w:val="24"/>
        </w:rPr>
        <w:t>中期进展报告是检查研究生个人综合能力及学位论文进展、指导研究生把握学位（毕业）论文方向、提高学位（毕业）论文质量的必要环节。中期进展报告原则上应在入学后第</w:t>
      </w:r>
      <w:r>
        <w:rPr>
          <w:rFonts w:hint="eastAsia" w:ascii="Times New Roman" w:hAnsi="Times New Roman" w:eastAsia="宋体"/>
          <w:color w:val="auto"/>
          <w:spacing w:val="-2"/>
          <w:sz w:val="24"/>
          <w:szCs w:val="24"/>
        </w:rPr>
        <w:t>5</w:t>
      </w:r>
      <w:r>
        <w:rPr>
          <w:rFonts w:hint="eastAsia" w:ascii="宋体" w:hAnsi="宋体" w:eastAsia="宋体"/>
          <w:color w:val="auto"/>
          <w:spacing w:val="-2"/>
          <w:sz w:val="24"/>
          <w:szCs w:val="24"/>
        </w:rPr>
        <w:t>学期进行；各导师组自行制定中期考核办法并组织考核。</w:t>
      </w:r>
    </w:p>
    <w:p w14:paraId="55D7BC8E">
      <w:pPr>
        <w:pStyle w:val="4"/>
        <w:spacing w:line="360" w:lineRule="auto"/>
        <w:ind w:firstLine="480"/>
        <w:rPr>
          <w:rFonts w:ascii="Times New Roman" w:hAnsi="Times New Roman" w:eastAsia="宋体"/>
          <w:bCs/>
          <w:color w:val="222222"/>
          <w:kern w:val="0"/>
          <w:sz w:val="24"/>
          <w:szCs w:val="24"/>
        </w:rPr>
      </w:pPr>
      <w:r>
        <w:rPr>
          <w:rFonts w:hint="eastAsia" w:ascii="Times New Roman" w:hAnsi="Times New Roman" w:eastAsia="宋体"/>
          <w:bCs/>
          <w:color w:val="222222"/>
          <w:kern w:val="0"/>
          <w:sz w:val="24"/>
          <w:szCs w:val="24"/>
        </w:rPr>
        <w:t>4．</w:t>
      </w:r>
      <w:r>
        <w:rPr>
          <w:rFonts w:ascii="Times New Roman" w:hAnsi="Times New Roman" w:eastAsia="宋体"/>
          <w:bCs/>
          <w:color w:val="222222"/>
          <w:kern w:val="0"/>
          <w:sz w:val="24"/>
          <w:szCs w:val="24"/>
        </w:rPr>
        <w:t>学位申请</w:t>
      </w:r>
    </w:p>
    <w:p w14:paraId="19382730">
      <w:pPr>
        <w:adjustRightInd w:val="0"/>
        <w:snapToGrid w:val="0"/>
        <w:spacing w:line="360" w:lineRule="auto"/>
        <w:ind w:firstLine="480" w:firstLineChars="200"/>
        <w:rPr>
          <w:rFonts w:ascii="仿宋" w:hAnsi="仿宋" w:cs="仿宋"/>
          <w:sz w:val="24"/>
        </w:rPr>
      </w:pPr>
      <w:r>
        <w:rPr>
          <w:rFonts w:hint="eastAsia"/>
          <w:bCs/>
          <w:color w:val="222222"/>
          <w:kern w:val="0"/>
          <w:sz w:val="24"/>
        </w:rPr>
        <w:t>达到学位授予条件的申请人，经导师同意后，应于答辩前三个月，向所属学位评定</w:t>
      </w:r>
      <w:r>
        <w:rPr>
          <w:rFonts w:hint="eastAsia" w:ascii="仿宋" w:hAnsi="仿宋" w:cs="仿宋"/>
          <w:sz w:val="24"/>
        </w:rPr>
        <w:t>分委员会提出学位申请，提交学位申请材料。</w:t>
      </w:r>
    </w:p>
    <w:p w14:paraId="08EC9F52">
      <w:pPr>
        <w:adjustRightInd w:val="0"/>
        <w:snapToGrid w:val="0"/>
        <w:spacing w:line="360" w:lineRule="auto"/>
        <w:ind w:firstLine="480" w:firstLineChars="200"/>
        <w:rPr>
          <w:i/>
          <w:color w:val="FF0000"/>
          <w:kern w:val="0"/>
          <w:sz w:val="24"/>
        </w:rPr>
      </w:pPr>
      <w:r>
        <w:rPr>
          <w:rFonts w:hint="eastAsia" w:ascii="仿宋" w:hAnsi="仿宋" w:cs="仿宋"/>
          <w:sz w:val="24"/>
        </w:rPr>
        <w:t>5．</w:t>
      </w:r>
      <w:r>
        <w:rPr>
          <w:bCs/>
          <w:color w:val="222222"/>
          <w:kern w:val="0"/>
          <w:sz w:val="24"/>
        </w:rPr>
        <w:t>预答辩</w:t>
      </w:r>
    </w:p>
    <w:p w14:paraId="5F253C3A">
      <w:pPr>
        <w:adjustRightInd w:val="0"/>
        <w:snapToGrid w:val="0"/>
        <w:spacing w:line="360" w:lineRule="auto"/>
        <w:ind w:firstLine="480" w:firstLineChars="200"/>
        <w:rPr>
          <w:rFonts w:ascii="仿宋" w:hAnsi="仿宋" w:cs="仿宋"/>
          <w:sz w:val="24"/>
        </w:rPr>
      </w:pPr>
      <w:r>
        <w:rPr>
          <w:rFonts w:hint="eastAsia" w:ascii="仿宋" w:hAnsi="仿宋" w:cs="仿宋"/>
          <w:sz w:val="24"/>
        </w:rPr>
        <w:t>严格落实预答辩制度。预答辩组成员由三名专业相近方向导师或副教授组成，并可适当增加部分讲师。</w:t>
      </w:r>
    </w:p>
    <w:p w14:paraId="1830DD0A">
      <w:pPr>
        <w:adjustRightInd w:val="0"/>
        <w:snapToGrid w:val="0"/>
        <w:spacing w:line="360" w:lineRule="auto"/>
        <w:ind w:firstLine="480" w:firstLineChars="200"/>
        <w:rPr>
          <w:rFonts w:ascii="仿宋" w:hAnsi="仿宋" w:cs="仿宋"/>
          <w:sz w:val="24"/>
        </w:rPr>
      </w:pPr>
      <w:r>
        <w:rPr>
          <w:kern w:val="0"/>
          <w:sz w:val="24"/>
        </w:rPr>
        <w:t>学位（毕业）论文预答辩在正式答辩前3个月进行</w:t>
      </w:r>
      <w:r>
        <w:rPr>
          <w:rFonts w:hint="eastAsia" w:ascii="仿宋" w:hAnsi="仿宋" w:cs="仿宋"/>
          <w:sz w:val="24"/>
        </w:rPr>
        <w:t>。所有拟申请学位的研究生必须参加预答辩。预答辩结果分为合格、修改、未通过。合格等级可在经过修改后进入机审及相应环节；修改等级必须要对论文进行逐项的认真修改后，经导师同意及预答辩同组老师全部签字同意后方可进入机审及相应环节；未通过等级经学院分学位委员会认定后做延期处理，不得进入机审及毕业流程。</w:t>
      </w:r>
    </w:p>
    <w:p w14:paraId="72DCBAD0">
      <w:pPr>
        <w:adjustRightInd w:val="0"/>
        <w:snapToGrid w:val="0"/>
        <w:spacing w:line="360" w:lineRule="auto"/>
        <w:ind w:firstLine="480" w:firstLineChars="200"/>
        <w:rPr>
          <w:rFonts w:ascii="仿宋" w:hAnsi="仿宋" w:cs="仿宋"/>
          <w:sz w:val="24"/>
        </w:rPr>
      </w:pPr>
      <w:r>
        <w:rPr>
          <w:rFonts w:hint="eastAsia" w:ascii="仿宋" w:hAnsi="仿宋" w:cs="仿宋"/>
          <w:sz w:val="24"/>
        </w:rPr>
        <w:t>未经过预答辩论文不准进入机审等相应程序，必须延期处理。导师原则上应参与本学生预答辩环节，若因个人原因不能出席，需要书面情况说明留档备案。</w:t>
      </w:r>
    </w:p>
    <w:p w14:paraId="0F208FF3">
      <w:pPr>
        <w:adjustRightInd w:val="0"/>
        <w:snapToGrid w:val="0"/>
        <w:spacing w:line="360" w:lineRule="auto"/>
        <w:ind w:firstLine="480" w:firstLineChars="200"/>
        <w:rPr>
          <w:bCs/>
          <w:color w:val="222222"/>
          <w:kern w:val="0"/>
          <w:sz w:val="24"/>
        </w:rPr>
      </w:pPr>
      <w:r>
        <w:rPr>
          <w:rFonts w:hint="eastAsia" w:ascii="仿宋" w:hAnsi="仿宋" w:cs="仿宋"/>
          <w:sz w:val="24"/>
        </w:rPr>
        <w:t>6．</w:t>
      </w:r>
      <w:r>
        <w:rPr>
          <w:bCs/>
          <w:color w:val="222222"/>
          <w:kern w:val="0"/>
          <w:sz w:val="24"/>
        </w:rPr>
        <w:t>论文评阅</w:t>
      </w:r>
    </w:p>
    <w:p w14:paraId="38BAAA33">
      <w:pPr>
        <w:adjustRightInd w:val="0"/>
        <w:snapToGrid w:val="0"/>
        <w:spacing w:line="360" w:lineRule="auto"/>
        <w:ind w:firstLine="480" w:firstLineChars="200"/>
        <w:rPr>
          <w:color w:val="222222"/>
          <w:kern w:val="0"/>
          <w:sz w:val="24"/>
        </w:rPr>
      </w:pPr>
      <w:r>
        <w:rPr>
          <w:color w:val="222222"/>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40440911">
      <w:pPr>
        <w:spacing w:line="360" w:lineRule="auto"/>
        <w:ind w:firstLine="480" w:firstLineChars="200"/>
        <w:rPr>
          <w:bCs/>
          <w:color w:val="222222"/>
          <w:kern w:val="0"/>
          <w:sz w:val="24"/>
        </w:rPr>
      </w:pPr>
      <w:r>
        <w:rPr>
          <w:rFonts w:hint="eastAsia"/>
          <w:bCs/>
          <w:color w:val="222222"/>
          <w:kern w:val="0"/>
          <w:sz w:val="24"/>
        </w:rPr>
        <w:t>7．</w:t>
      </w:r>
      <w:r>
        <w:rPr>
          <w:bCs/>
          <w:color w:val="222222"/>
          <w:kern w:val="0"/>
          <w:sz w:val="24"/>
        </w:rPr>
        <w:t>答辩</w:t>
      </w:r>
    </w:p>
    <w:p w14:paraId="02BD8506">
      <w:pPr>
        <w:spacing w:line="360" w:lineRule="auto"/>
        <w:ind w:firstLine="480" w:firstLineChars="200"/>
        <w:rPr>
          <w:rFonts w:cs="仿宋"/>
          <w:sz w:val="24"/>
          <w:szCs w:val="28"/>
        </w:rPr>
      </w:pPr>
      <w:r>
        <w:rPr>
          <w:bCs/>
          <w:color w:val="222222"/>
          <w:kern w:val="0"/>
          <w:sz w:val="24"/>
        </w:rPr>
        <w:t>学位（毕业）论文答辩按照</w:t>
      </w:r>
      <w:r>
        <w:rPr>
          <w:color w:val="222222"/>
          <w:kern w:val="0"/>
          <w:sz w:val="24"/>
        </w:rPr>
        <w:t>《河北大学博士、硕士学位授予工作实施细则》（校政字〔2025〕7号）执行。</w:t>
      </w:r>
      <w:r>
        <w:rPr>
          <w:rFonts w:cs="仿宋"/>
          <w:sz w:val="24"/>
          <w:szCs w:val="28"/>
        </w:rPr>
        <w:t>硕士研究生必须完成培养方案所规定的各项要求并且成绩达标方可申请学位论文答辩。答辩及学位授予程序严格按照</w:t>
      </w:r>
      <w:r>
        <w:rPr>
          <w:color w:val="222222"/>
          <w:kern w:val="0"/>
          <w:sz w:val="24"/>
        </w:rPr>
        <w:t>《河北大学博士、硕士学位授予工作实施细则》（校政字〔2025〕7号）</w:t>
      </w:r>
      <w:r>
        <w:rPr>
          <w:rFonts w:cs="仿宋"/>
          <w:sz w:val="24"/>
          <w:szCs w:val="28"/>
        </w:rPr>
        <w:t>的有关规定执行。硕士生通过学位审核后，颁发硕士学位证书、硕士生毕业证书。</w:t>
      </w:r>
    </w:p>
    <w:p w14:paraId="0CD032AB">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287D81D4">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1183CF0A">
      <w:pPr>
        <w:spacing w:line="360" w:lineRule="auto"/>
        <w:ind w:firstLine="480" w:firstLineChars="200"/>
        <w:rPr>
          <w:rFonts w:eastAsiaTheme="minorEastAsia"/>
          <w:bCs/>
          <w:sz w:val="24"/>
          <w:szCs w:val="22"/>
        </w:rPr>
      </w:pPr>
      <w:r>
        <w:rPr>
          <w:rFonts w:eastAsiaTheme="minorEastAsia"/>
          <w:bCs/>
          <w:sz w:val="24"/>
        </w:rPr>
        <w:t xml:space="preserve">2. </w:t>
      </w:r>
      <w:r>
        <w:rPr>
          <w:rFonts w:hint="eastAsia" w:eastAsiaTheme="minorEastAsia"/>
          <w:bCs/>
          <w:sz w:val="24"/>
        </w:rPr>
        <w:t>专业实习</w:t>
      </w:r>
      <w:r>
        <w:rPr>
          <w:bCs/>
          <w:sz w:val="24"/>
        </w:rPr>
        <w:t>。</w:t>
      </w:r>
    </w:p>
    <w:p w14:paraId="67E9EC2E">
      <w:pPr>
        <w:spacing w:line="360" w:lineRule="auto"/>
        <w:ind w:firstLine="480" w:firstLineChars="200"/>
        <w:rPr>
          <w:color w:val="000000"/>
          <w:sz w:val="24"/>
        </w:rPr>
      </w:pPr>
      <w:r>
        <w:rPr>
          <w:rFonts w:hint="eastAsia"/>
          <w:color w:val="000000"/>
          <w:sz w:val="24"/>
        </w:rPr>
        <w:t>专业实习时间不少于6个月。本专业学生在第2学期学习结束后，填写《河北大学博物馆专业硕士生毕业实习申请表》。实习单位及内容由导师及行业导师共同确定；实习申请由考古文博学科导师组审核通过并经学院批准后方可实施；实习内容应与实习申请相一致，如有变动应重新申请；实习结束后</w:t>
      </w:r>
      <w:r>
        <w:rPr>
          <w:rFonts w:hint="eastAsia" w:eastAsiaTheme="minorEastAsia"/>
          <w:iCs/>
          <w:sz w:val="24"/>
        </w:rPr>
        <w:t>研究生需要撰写实习实践的总结报告，详细介绍实习目标、实习过程和实习收获，并在实习结束后进行汇报，</w:t>
      </w:r>
      <w:r>
        <w:rPr>
          <w:rFonts w:hint="eastAsia"/>
          <w:color w:val="000000"/>
          <w:sz w:val="24"/>
        </w:rPr>
        <w:t>由考古文博学科导师组进行鉴定，未通过者不能进入毕业答辩程序；申请鉴定时应提交实习记录、实习作品、实习报告、实习单位评价等材料。</w:t>
      </w:r>
    </w:p>
    <w:p w14:paraId="39E66D71">
      <w:pPr>
        <w:spacing w:line="360" w:lineRule="auto"/>
        <w:ind w:firstLine="480" w:firstLineChars="200"/>
        <w:rPr>
          <w:color w:val="000000"/>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46BA690">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2824353F">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1F370F48">
      <w:pPr>
        <w:spacing w:line="360" w:lineRule="auto"/>
        <w:ind w:firstLine="480" w:firstLineChars="200"/>
        <w:rPr>
          <w:rFonts w:eastAsiaTheme="minorEastAsia"/>
          <w:iCs/>
          <w:sz w:val="24"/>
        </w:rPr>
      </w:pPr>
      <w:r>
        <w:rPr>
          <w:rFonts w:hint="eastAsia" w:eastAsiaTheme="minorEastAsia"/>
          <w:iCs/>
          <w:sz w:val="24"/>
        </w:rPr>
        <w:t>硕士研究生在攻读硕士学位期间，取得的创新性成果可为学术论文、专著、科研项目、科研奖励等多种形式。鼓励硕士研究生参与科研活动，产出创新性成果，但不做硬性要求。</w:t>
      </w:r>
    </w:p>
    <w:p w14:paraId="09B0C821">
      <w:pPr>
        <w:spacing w:line="360" w:lineRule="auto"/>
        <w:ind w:firstLine="560" w:firstLineChars="200"/>
        <w:rPr>
          <w:rFonts w:eastAsia="黑体"/>
          <w:bCs/>
          <w:sz w:val="28"/>
          <w:szCs w:val="28"/>
        </w:rPr>
      </w:pPr>
      <w:r>
        <w:rPr>
          <w:rFonts w:eastAsia="黑体"/>
          <w:bCs/>
          <w:sz w:val="28"/>
          <w:szCs w:val="28"/>
        </w:rPr>
        <w:t>十一、学位授予</w:t>
      </w:r>
    </w:p>
    <w:p w14:paraId="4F267EAB">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color w:val="222222"/>
          <w:kern w:val="0"/>
          <w:sz w:val="24"/>
        </w:rPr>
        <w:t>专业</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5CC21094">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062505DB">
      <w:pPr>
        <w:spacing w:line="360" w:lineRule="auto"/>
        <w:ind w:firstLine="480" w:firstLineChars="200"/>
        <w:rPr>
          <w:rFonts w:eastAsiaTheme="minorEastAsia"/>
          <w:sz w:val="24"/>
        </w:rPr>
      </w:pPr>
      <w:r>
        <w:rPr>
          <w:rFonts w:eastAsiaTheme="minorEastAsia"/>
          <w:color w:val="000000"/>
          <w:sz w:val="24"/>
        </w:rPr>
        <w:t>本专业最低毕业学分为</w:t>
      </w:r>
      <w:r>
        <w:rPr>
          <w:rFonts w:hint="eastAsia" w:eastAsiaTheme="minorEastAsia"/>
          <w:sz w:val="24"/>
        </w:rPr>
        <w:t>27学</w:t>
      </w:r>
      <w:r>
        <w:rPr>
          <w:rFonts w:eastAsiaTheme="minorEastAsia"/>
          <w:sz w:val="24"/>
        </w:rPr>
        <w:t>分，其中学位课</w:t>
      </w:r>
      <w:r>
        <w:rPr>
          <w:rFonts w:hint="eastAsia" w:eastAsiaTheme="minorEastAsia"/>
          <w:sz w:val="24"/>
        </w:rPr>
        <w:t>16</w:t>
      </w:r>
      <w:r>
        <w:rPr>
          <w:rFonts w:eastAsiaTheme="minorEastAsia"/>
          <w:sz w:val="24"/>
        </w:rPr>
        <w:t>学分，非学位课</w:t>
      </w:r>
      <w:r>
        <w:rPr>
          <w:rFonts w:hint="eastAsia" w:eastAsiaTheme="minorEastAsia"/>
          <w:sz w:val="24"/>
        </w:rPr>
        <w:t>10</w:t>
      </w:r>
      <w:r>
        <w:rPr>
          <w:rFonts w:eastAsiaTheme="minorEastAsia"/>
          <w:sz w:val="24"/>
        </w:rPr>
        <w:t>学分，必修环节</w:t>
      </w:r>
      <w:r>
        <w:rPr>
          <w:rFonts w:hint="eastAsia" w:eastAsiaTheme="minorEastAsia"/>
          <w:sz w:val="24"/>
        </w:rPr>
        <w:t>1</w:t>
      </w:r>
      <w:r>
        <w:rPr>
          <w:rFonts w:eastAsiaTheme="minorEastAsia"/>
          <w:sz w:val="24"/>
        </w:rPr>
        <w:t>分。</w:t>
      </w:r>
    </w:p>
    <w:p w14:paraId="6676E095">
      <w:pPr>
        <w:spacing w:line="360" w:lineRule="auto"/>
        <w:ind w:firstLine="480"/>
        <w:rPr>
          <w:i/>
          <w:color w:val="000000"/>
          <w:sz w:val="24"/>
        </w:rPr>
      </w:pPr>
      <w:r>
        <w:rPr>
          <w:rFonts w:eastAsiaTheme="minorEastAsia"/>
          <w:color w:val="000000"/>
          <w:sz w:val="24"/>
        </w:rPr>
        <w:t>课程考试不设补考环节，</w:t>
      </w:r>
      <w:r>
        <w:rPr>
          <w:color w:val="000000"/>
          <w:sz w:val="24"/>
        </w:rPr>
        <w:t>考试成绩低于60分的需重修。</w:t>
      </w:r>
    </w:p>
    <w:p w14:paraId="2FCD29ED">
      <w:pPr>
        <w:spacing w:line="360" w:lineRule="auto"/>
        <w:rPr>
          <w:rFonts w:eastAsiaTheme="minorEastAsia"/>
          <w:color w:val="FF0000"/>
          <w:sz w:val="24"/>
        </w:rPr>
      </w:pPr>
    </w:p>
    <w:p w14:paraId="5EA8BDDE">
      <w:pPr>
        <w:spacing w:line="360" w:lineRule="auto"/>
        <w:rPr>
          <w:rFonts w:eastAsiaTheme="minorEastAsia"/>
          <w:color w:val="FF0000"/>
          <w:sz w:val="24"/>
        </w:rPr>
      </w:pPr>
    </w:p>
    <w:p w14:paraId="35B63560">
      <w:pPr>
        <w:spacing w:line="360" w:lineRule="auto"/>
        <w:rPr>
          <w:rFonts w:eastAsiaTheme="minorEastAsia"/>
          <w:color w:val="FF0000"/>
          <w:sz w:val="24"/>
        </w:rPr>
      </w:pPr>
    </w:p>
    <w:p w14:paraId="1E6BAD62">
      <w:pPr>
        <w:spacing w:line="360" w:lineRule="auto"/>
        <w:rPr>
          <w:rFonts w:eastAsiaTheme="minorEastAsia"/>
          <w:color w:val="FF0000"/>
          <w:sz w:val="24"/>
        </w:rPr>
      </w:pPr>
    </w:p>
    <w:p w14:paraId="77CC590E">
      <w:pPr>
        <w:spacing w:line="360" w:lineRule="auto"/>
        <w:rPr>
          <w:rFonts w:eastAsiaTheme="minorEastAsia"/>
          <w:color w:val="FF0000"/>
          <w:sz w:val="24"/>
        </w:rPr>
      </w:pPr>
    </w:p>
    <w:p w14:paraId="39B886D0">
      <w:pPr>
        <w:spacing w:after="156" w:afterLines="50" w:line="360" w:lineRule="auto"/>
        <w:ind w:firstLine="482" w:firstLineChars="200"/>
        <w:jc w:val="center"/>
        <w:rPr>
          <w:rFonts w:eastAsiaTheme="minorEastAsia"/>
          <w:b/>
          <w:bCs/>
          <w:sz w:val="24"/>
        </w:rPr>
      </w:pPr>
      <w:r>
        <w:rPr>
          <w:rFonts w:hint="eastAsia" w:eastAsiaTheme="minorEastAsia"/>
          <w:b/>
          <w:bCs/>
          <w:sz w:val="24"/>
        </w:rPr>
        <w:t>博物馆学</w:t>
      </w:r>
      <w:r>
        <w:rPr>
          <w:rFonts w:eastAsiaTheme="minorEastAsia"/>
          <w:b/>
          <w:bCs/>
          <w:sz w:val="24"/>
        </w:rPr>
        <w:t>专业全日制专业学位硕士研究生课程及培养环节设置一览表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5C7C3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099D6E4">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38D5CAFC">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7CD8FD6F">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2B7F8E00">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57776772">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AC86B44">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5D3FA6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2BB44C17">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3ED7E4E6">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7B751D86">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56FA92F1">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65E40BBA">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78A2D926">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A718D4E">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1469E9D">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103F91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6DD5298F">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25A85088">
            <w:pPr>
              <w:spacing w:line="360" w:lineRule="auto"/>
              <w:jc w:val="center"/>
              <w:rPr>
                <w:b/>
                <w:color w:val="000000" w:themeColor="text1"/>
                <w:sz w:val="18"/>
                <w:szCs w:val="18"/>
                <w14:textFill>
                  <w14:solidFill>
                    <w14:schemeClr w14:val="tx1"/>
                  </w14:solidFill>
                </w14:textFill>
              </w:rPr>
            </w:pPr>
          </w:p>
        </w:tc>
        <w:tc>
          <w:tcPr>
            <w:tcW w:w="3516" w:type="dxa"/>
            <w:vAlign w:val="center"/>
          </w:tcPr>
          <w:p w14:paraId="4526355E">
            <w:pPr>
              <w:spacing w:line="360" w:lineRule="auto"/>
              <w:rPr>
                <w:sz w:val="18"/>
                <w:szCs w:val="18"/>
              </w:rPr>
            </w:pPr>
            <w:r>
              <w:rPr>
                <w:sz w:val="18"/>
                <w:szCs w:val="18"/>
              </w:rPr>
              <w:t>通用学术英语</w:t>
            </w:r>
          </w:p>
        </w:tc>
        <w:tc>
          <w:tcPr>
            <w:tcW w:w="1081" w:type="dxa"/>
            <w:vAlign w:val="center"/>
          </w:tcPr>
          <w:p w14:paraId="65DA2752">
            <w:pPr>
              <w:spacing w:line="360" w:lineRule="auto"/>
              <w:jc w:val="center"/>
              <w:rPr>
                <w:sz w:val="18"/>
                <w:szCs w:val="18"/>
              </w:rPr>
            </w:pPr>
            <w:r>
              <w:rPr>
                <w:sz w:val="18"/>
                <w:szCs w:val="18"/>
              </w:rPr>
              <w:t>TS0000002</w:t>
            </w:r>
          </w:p>
        </w:tc>
        <w:tc>
          <w:tcPr>
            <w:tcW w:w="709" w:type="dxa"/>
            <w:vAlign w:val="center"/>
          </w:tcPr>
          <w:p w14:paraId="7D235C43">
            <w:pPr>
              <w:spacing w:line="360" w:lineRule="auto"/>
              <w:jc w:val="center"/>
              <w:rPr>
                <w:sz w:val="18"/>
                <w:szCs w:val="18"/>
              </w:rPr>
            </w:pPr>
            <w:r>
              <w:rPr>
                <w:sz w:val="18"/>
                <w:szCs w:val="18"/>
              </w:rPr>
              <w:t>2</w:t>
            </w:r>
          </w:p>
        </w:tc>
        <w:tc>
          <w:tcPr>
            <w:tcW w:w="709" w:type="dxa"/>
            <w:vAlign w:val="center"/>
          </w:tcPr>
          <w:p w14:paraId="5097709F">
            <w:pPr>
              <w:spacing w:line="360" w:lineRule="auto"/>
              <w:jc w:val="center"/>
              <w:rPr>
                <w:sz w:val="18"/>
                <w:szCs w:val="18"/>
              </w:rPr>
            </w:pPr>
            <w:r>
              <w:rPr>
                <w:sz w:val="18"/>
                <w:szCs w:val="18"/>
              </w:rPr>
              <w:t>1</w:t>
            </w:r>
          </w:p>
        </w:tc>
        <w:tc>
          <w:tcPr>
            <w:tcW w:w="1045" w:type="dxa"/>
            <w:vAlign w:val="center"/>
          </w:tcPr>
          <w:p w14:paraId="5CC86E62">
            <w:pPr>
              <w:spacing w:line="360" w:lineRule="auto"/>
              <w:jc w:val="center"/>
              <w:rPr>
                <w:sz w:val="18"/>
                <w:szCs w:val="18"/>
              </w:rPr>
            </w:pPr>
            <w:r>
              <w:rPr>
                <w:rFonts w:hint="eastAsia"/>
                <w:sz w:val="18"/>
                <w:szCs w:val="18"/>
              </w:rPr>
              <w:t>考查</w:t>
            </w:r>
          </w:p>
        </w:tc>
      </w:tr>
      <w:tr w14:paraId="6107A1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1C3644B">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6FEB8D06">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3A8E2214">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79BE3FB0">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129E4EC2">
            <w:pPr>
              <w:spacing w:line="360" w:lineRule="auto"/>
              <w:jc w:val="center"/>
              <w:rPr>
                <w:i/>
                <w:color w:val="FF0000"/>
                <w:sz w:val="18"/>
                <w:szCs w:val="18"/>
              </w:rPr>
            </w:pPr>
            <w:r>
              <w:rPr>
                <w:rFonts w:hint="eastAsia"/>
                <w:color w:val="000000"/>
                <w:sz w:val="18"/>
                <w:szCs w:val="18"/>
              </w:rPr>
              <w:t>ZS190500</w:t>
            </w:r>
            <w:r>
              <w:rPr>
                <w:color w:val="000000"/>
                <w:sz w:val="18"/>
                <w:szCs w:val="18"/>
              </w:rPr>
              <w:t>6</w:t>
            </w:r>
          </w:p>
        </w:tc>
        <w:tc>
          <w:tcPr>
            <w:tcW w:w="709" w:type="dxa"/>
            <w:vAlign w:val="center"/>
          </w:tcPr>
          <w:p w14:paraId="5E4019DA">
            <w:pPr>
              <w:spacing w:line="360" w:lineRule="auto"/>
              <w:jc w:val="center"/>
            </w:pPr>
            <w:r>
              <w:rPr>
                <w:rFonts w:hint="eastAsia"/>
                <w:iCs/>
                <w:sz w:val="18"/>
                <w:szCs w:val="18"/>
              </w:rPr>
              <w:t>2</w:t>
            </w:r>
          </w:p>
        </w:tc>
        <w:tc>
          <w:tcPr>
            <w:tcW w:w="709" w:type="dxa"/>
            <w:vAlign w:val="center"/>
          </w:tcPr>
          <w:p w14:paraId="5C2CB4EF">
            <w:pPr>
              <w:spacing w:line="360" w:lineRule="auto"/>
              <w:jc w:val="center"/>
            </w:pPr>
            <w:r>
              <w:rPr>
                <w:rFonts w:hint="eastAsia"/>
                <w:iCs/>
                <w:sz w:val="18"/>
                <w:szCs w:val="18"/>
              </w:rPr>
              <w:t>1</w:t>
            </w:r>
          </w:p>
        </w:tc>
        <w:tc>
          <w:tcPr>
            <w:tcW w:w="1045" w:type="dxa"/>
            <w:vAlign w:val="center"/>
          </w:tcPr>
          <w:p w14:paraId="3A260E84">
            <w:pPr>
              <w:spacing w:line="360" w:lineRule="auto"/>
              <w:jc w:val="center"/>
              <w:rPr>
                <w:i/>
                <w:color w:val="FF0000"/>
                <w:sz w:val="18"/>
                <w:szCs w:val="18"/>
              </w:rPr>
            </w:pPr>
            <w:r>
              <w:rPr>
                <w:rFonts w:hint="eastAsia"/>
                <w:sz w:val="18"/>
                <w:szCs w:val="18"/>
              </w:rPr>
              <w:t>考查</w:t>
            </w:r>
          </w:p>
        </w:tc>
      </w:tr>
      <w:tr w14:paraId="75E3FA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CD2BE91">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3BE5B484">
            <w:pPr>
              <w:spacing w:line="360" w:lineRule="auto"/>
              <w:jc w:val="center"/>
              <w:rPr>
                <w:b/>
                <w:color w:val="000000" w:themeColor="text1"/>
                <w:sz w:val="18"/>
                <w:szCs w:val="18"/>
                <w14:textFill>
                  <w14:solidFill>
                    <w14:schemeClr w14:val="tx1"/>
                  </w14:solidFill>
                </w14:textFill>
              </w:rPr>
            </w:pPr>
          </w:p>
        </w:tc>
        <w:tc>
          <w:tcPr>
            <w:tcW w:w="3516" w:type="dxa"/>
            <w:vAlign w:val="center"/>
          </w:tcPr>
          <w:p w14:paraId="764AFEE5">
            <w:pPr>
              <w:adjustRightInd w:val="0"/>
              <w:snapToGrid w:val="0"/>
              <w:spacing w:line="360" w:lineRule="auto"/>
              <w:rPr>
                <w:sz w:val="18"/>
                <w:szCs w:val="18"/>
              </w:rPr>
            </w:pPr>
            <w:r>
              <w:rPr>
                <w:rFonts w:hint="eastAsia"/>
                <w:sz w:val="18"/>
                <w:szCs w:val="18"/>
              </w:rPr>
              <w:t>博物馆学理论与实践</w:t>
            </w:r>
          </w:p>
        </w:tc>
        <w:tc>
          <w:tcPr>
            <w:tcW w:w="1081" w:type="dxa"/>
            <w:vAlign w:val="center"/>
          </w:tcPr>
          <w:p w14:paraId="36219A51">
            <w:pPr>
              <w:spacing w:line="360" w:lineRule="auto"/>
              <w:jc w:val="center"/>
              <w:rPr>
                <w:sz w:val="18"/>
                <w:szCs w:val="18"/>
              </w:rPr>
            </w:pPr>
            <w:r>
              <w:rPr>
                <w:rFonts w:hint="eastAsia"/>
                <w:sz w:val="18"/>
                <w:szCs w:val="18"/>
              </w:rPr>
              <w:t>ZS190500</w:t>
            </w:r>
            <w:r>
              <w:rPr>
                <w:sz w:val="18"/>
                <w:szCs w:val="18"/>
              </w:rPr>
              <w:t>7</w:t>
            </w:r>
          </w:p>
        </w:tc>
        <w:tc>
          <w:tcPr>
            <w:tcW w:w="709" w:type="dxa"/>
            <w:vAlign w:val="center"/>
          </w:tcPr>
          <w:p w14:paraId="4229EA78">
            <w:pPr>
              <w:spacing w:line="360" w:lineRule="auto"/>
              <w:jc w:val="center"/>
            </w:pPr>
            <w:r>
              <w:rPr>
                <w:rFonts w:hint="eastAsia"/>
                <w:sz w:val="18"/>
                <w:szCs w:val="18"/>
              </w:rPr>
              <w:t>2</w:t>
            </w:r>
          </w:p>
        </w:tc>
        <w:tc>
          <w:tcPr>
            <w:tcW w:w="709" w:type="dxa"/>
            <w:vAlign w:val="center"/>
          </w:tcPr>
          <w:p w14:paraId="5D14DDA6">
            <w:pPr>
              <w:spacing w:line="360" w:lineRule="auto"/>
              <w:jc w:val="center"/>
              <w:rPr>
                <w:color w:val="FF0000"/>
              </w:rPr>
            </w:pPr>
            <w:r>
              <w:rPr>
                <w:rFonts w:hint="eastAsia"/>
                <w:color w:val="000000"/>
                <w:sz w:val="18"/>
                <w:szCs w:val="18"/>
              </w:rPr>
              <w:t>1</w:t>
            </w:r>
          </w:p>
        </w:tc>
        <w:tc>
          <w:tcPr>
            <w:tcW w:w="1045" w:type="dxa"/>
            <w:vAlign w:val="center"/>
          </w:tcPr>
          <w:p w14:paraId="04882444">
            <w:pPr>
              <w:spacing w:line="360" w:lineRule="auto"/>
              <w:jc w:val="center"/>
              <w:rPr>
                <w:color w:val="FF0000"/>
                <w:sz w:val="18"/>
                <w:szCs w:val="18"/>
              </w:rPr>
            </w:pPr>
            <w:r>
              <w:rPr>
                <w:rFonts w:hint="eastAsia"/>
                <w:sz w:val="18"/>
                <w:szCs w:val="18"/>
              </w:rPr>
              <w:t>考查</w:t>
            </w:r>
          </w:p>
        </w:tc>
      </w:tr>
      <w:tr w14:paraId="499CF0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61F2999">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348BAD06">
            <w:pPr>
              <w:spacing w:line="360" w:lineRule="auto"/>
              <w:jc w:val="center"/>
              <w:rPr>
                <w:b/>
                <w:color w:val="000000" w:themeColor="text1"/>
                <w:sz w:val="18"/>
                <w:szCs w:val="18"/>
                <w14:textFill>
                  <w14:solidFill>
                    <w14:schemeClr w14:val="tx1"/>
                  </w14:solidFill>
                </w14:textFill>
              </w:rPr>
            </w:pPr>
          </w:p>
        </w:tc>
        <w:tc>
          <w:tcPr>
            <w:tcW w:w="3516" w:type="dxa"/>
            <w:vAlign w:val="center"/>
          </w:tcPr>
          <w:p w14:paraId="6D797BDF">
            <w:pPr>
              <w:adjustRightInd w:val="0"/>
              <w:snapToGrid w:val="0"/>
              <w:spacing w:line="360" w:lineRule="auto"/>
              <w:rPr>
                <w:i/>
                <w:sz w:val="18"/>
                <w:szCs w:val="18"/>
              </w:rPr>
            </w:pPr>
            <w:r>
              <w:rPr>
                <w:rFonts w:hint="eastAsia"/>
                <w:iCs/>
                <w:sz w:val="18"/>
                <w:szCs w:val="18"/>
              </w:rPr>
              <w:t>考古学理论与方法</w:t>
            </w:r>
          </w:p>
        </w:tc>
        <w:tc>
          <w:tcPr>
            <w:tcW w:w="1081" w:type="dxa"/>
            <w:vAlign w:val="center"/>
          </w:tcPr>
          <w:p w14:paraId="6891F8CB">
            <w:pPr>
              <w:spacing w:line="360" w:lineRule="auto"/>
              <w:jc w:val="center"/>
              <w:rPr>
                <w:sz w:val="18"/>
                <w:szCs w:val="18"/>
              </w:rPr>
            </w:pPr>
            <w:r>
              <w:rPr>
                <w:rFonts w:hint="eastAsia"/>
                <w:sz w:val="18"/>
                <w:szCs w:val="18"/>
              </w:rPr>
              <w:t>ZS190500</w:t>
            </w:r>
            <w:r>
              <w:rPr>
                <w:sz w:val="18"/>
                <w:szCs w:val="18"/>
              </w:rPr>
              <w:t>8</w:t>
            </w:r>
          </w:p>
        </w:tc>
        <w:tc>
          <w:tcPr>
            <w:tcW w:w="709" w:type="dxa"/>
            <w:vAlign w:val="center"/>
          </w:tcPr>
          <w:p w14:paraId="43027B68">
            <w:pPr>
              <w:spacing w:line="360" w:lineRule="auto"/>
              <w:jc w:val="center"/>
            </w:pPr>
            <w:r>
              <w:rPr>
                <w:rFonts w:hint="eastAsia"/>
                <w:sz w:val="18"/>
                <w:szCs w:val="18"/>
              </w:rPr>
              <w:t>2</w:t>
            </w:r>
          </w:p>
        </w:tc>
        <w:tc>
          <w:tcPr>
            <w:tcW w:w="709" w:type="dxa"/>
            <w:vAlign w:val="center"/>
          </w:tcPr>
          <w:p w14:paraId="514521B1">
            <w:pPr>
              <w:spacing w:line="360" w:lineRule="auto"/>
              <w:jc w:val="center"/>
              <w:rPr>
                <w:color w:val="FF0000"/>
              </w:rPr>
            </w:pPr>
            <w:r>
              <w:rPr>
                <w:rFonts w:hint="eastAsia"/>
                <w:color w:val="000000"/>
                <w:sz w:val="18"/>
                <w:szCs w:val="18"/>
              </w:rPr>
              <w:t>1</w:t>
            </w:r>
          </w:p>
        </w:tc>
        <w:tc>
          <w:tcPr>
            <w:tcW w:w="1045" w:type="dxa"/>
            <w:vAlign w:val="center"/>
          </w:tcPr>
          <w:p w14:paraId="642A6621">
            <w:pPr>
              <w:spacing w:line="360" w:lineRule="auto"/>
              <w:jc w:val="center"/>
              <w:rPr>
                <w:color w:val="FF0000"/>
                <w:sz w:val="18"/>
                <w:szCs w:val="18"/>
              </w:rPr>
            </w:pPr>
            <w:r>
              <w:rPr>
                <w:rFonts w:hint="eastAsia"/>
                <w:sz w:val="18"/>
                <w:szCs w:val="18"/>
              </w:rPr>
              <w:t>考查</w:t>
            </w:r>
          </w:p>
        </w:tc>
      </w:tr>
      <w:tr w14:paraId="11DE63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4B8E505">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6436C5A2">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2448C95F">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tcPr>
          <w:p w14:paraId="1761FC1C">
            <w:pPr>
              <w:spacing w:line="360" w:lineRule="auto"/>
              <w:rPr>
                <w:sz w:val="18"/>
                <w:szCs w:val="18"/>
              </w:rPr>
            </w:pPr>
            <w:r>
              <w:rPr>
                <w:rFonts w:hint="eastAsia" w:ascii="宋体" w:hAnsi="宋体" w:cs="宋体"/>
                <w:bCs/>
                <w:sz w:val="18"/>
                <w:szCs w:val="18"/>
              </w:rPr>
              <w:t>文化遗产理论与实践</w:t>
            </w:r>
          </w:p>
        </w:tc>
        <w:tc>
          <w:tcPr>
            <w:tcW w:w="1081" w:type="dxa"/>
            <w:vAlign w:val="center"/>
          </w:tcPr>
          <w:p w14:paraId="2511734C">
            <w:pPr>
              <w:spacing w:line="360" w:lineRule="auto"/>
              <w:jc w:val="center"/>
              <w:rPr>
                <w:sz w:val="18"/>
                <w:szCs w:val="18"/>
              </w:rPr>
            </w:pPr>
            <w:r>
              <w:rPr>
                <w:rFonts w:hint="eastAsia"/>
                <w:sz w:val="18"/>
                <w:szCs w:val="18"/>
              </w:rPr>
              <w:t>ZS190500</w:t>
            </w:r>
            <w:r>
              <w:rPr>
                <w:sz w:val="18"/>
                <w:szCs w:val="18"/>
              </w:rPr>
              <w:t>9</w:t>
            </w:r>
          </w:p>
        </w:tc>
        <w:tc>
          <w:tcPr>
            <w:tcW w:w="709" w:type="dxa"/>
            <w:vAlign w:val="center"/>
          </w:tcPr>
          <w:p w14:paraId="2980FC22">
            <w:pPr>
              <w:spacing w:line="360" w:lineRule="auto"/>
              <w:jc w:val="center"/>
            </w:pPr>
            <w:r>
              <w:rPr>
                <w:rFonts w:hint="eastAsia"/>
                <w:sz w:val="18"/>
                <w:szCs w:val="18"/>
              </w:rPr>
              <w:t>3</w:t>
            </w:r>
          </w:p>
        </w:tc>
        <w:tc>
          <w:tcPr>
            <w:tcW w:w="709" w:type="dxa"/>
            <w:vAlign w:val="center"/>
          </w:tcPr>
          <w:p w14:paraId="54556FCE">
            <w:pPr>
              <w:spacing w:line="360" w:lineRule="auto"/>
              <w:jc w:val="center"/>
              <w:rPr>
                <w:color w:val="FF0000"/>
              </w:rPr>
            </w:pPr>
            <w:r>
              <w:rPr>
                <w:rFonts w:hint="eastAsia"/>
                <w:color w:val="000000"/>
                <w:sz w:val="18"/>
                <w:szCs w:val="18"/>
              </w:rPr>
              <w:t>1</w:t>
            </w:r>
          </w:p>
        </w:tc>
        <w:tc>
          <w:tcPr>
            <w:tcW w:w="1045" w:type="dxa"/>
            <w:vAlign w:val="center"/>
          </w:tcPr>
          <w:p w14:paraId="6CAF084D">
            <w:pPr>
              <w:spacing w:line="360" w:lineRule="auto"/>
              <w:jc w:val="center"/>
              <w:rPr>
                <w:color w:val="FF0000"/>
                <w:sz w:val="18"/>
                <w:szCs w:val="18"/>
              </w:rPr>
            </w:pPr>
            <w:r>
              <w:rPr>
                <w:rFonts w:hint="eastAsia"/>
                <w:sz w:val="18"/>
                <w:szCs w:val="18"/>
              </w:rPr>
              <w:t>考查</w:t>
            </w:r>
          </w:p>
        </w:tc>
      </w:tr>
      <w:tr w14:paraId="73217B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B95D3B4">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5DE764B9">
            <w:pPr>
              <w:spacing w:line="360" w:lineRule="auto"/>
              <w:jc w:val="center"/>
              <w:rPr>
                <w:b/>
                <w:color w:val="000000" w:themeColor="text1"/>
                <w:sz w:val="18"/>
                <w:szCs w:val="18"/>
                <w14:textFill>
                  <w14:solidFill>
                    <w14:schemeClr w14:val="tx1"/>
                  </w14:solidFill>
                </w14:textFill>
              </w:rPr>
            </w:pPr>
          </w:p>
        </w:tc>
        <w:tc>
          <w:tcPr>
            <w:tcW w:w="3516" w:type="dxa"/>
          </w:tcPr>
          <w:p w14:paraId="1110003A">
            <w:pPr>
              <w:spacing w:line="360" w:lineRule="auto"/>
            </w:pPr>
            <w:r>
              <w:rPr>
                <w:rFonts w:hint="eastAsia"/>
                <w:sz w:val="18"/>
                <w:szCs w:val="18"/>
              </w:rPr>
              <w:t>文物学理论与方法</w:t>
            </w:r>
          </w:p>
        </w:tc>
        <w:tc>
          <w:tcPr>
            <w:tcW w:w="1081" w:type="dxa"/>
            <w:vAlign w:val="center"/>
          </w:tcPr>
          <w:p w14:paraId="2DE55D94">
            <w:pPr>
              <w:spacing w:line="360" w:lineRule="auto"/>
              <w:jc w:val="center"/>
              <w:rPr>
                <w:sz w:val="18"/>
                <w:szCs w:val="18"/>
              </w:rPr>
            </w:pPr>
            <w:r>
              <w:rPr>
                <w:rFonts w:hint="eastAsia"/>
                <w:sz w:val="18"/>
                <w:szCs w:val="18"/>
              </w:rPr>
              <w:t>ZS190500</w:t>
            </w:r>
            <w:r>
              <w:rPr>
                <w:sz w:val="18"/>
                <w:szCs w:val="18"/>
              </w:rPr>
              <w:t>4</w:t>
            </w:r>
          </w:p>
        </w:tc>
        <w:tc>
          <w:tcPr>
            <w:tcW w:w="709" w:type="dxa"/>
            <w:vAlign w:val="center"/>
          </w:tcPr>
          <w:p w14:paraId="5343CC8F">
            <w:pPr>
              <w:spacing w:line="360" w:lineRule="auto"/>
              <w:jc w:val="center"/>
            </w:pPr>
            <w:r>
              <w:rPr>
                <w:rFonts w:hint="eastAsia"/>
                <w:sz w:val="18"/>
                <w:szCs w:val="18"/>
              </w:rPr>
              <w:t>3</w:t>
            </w:r>
          </w:p>
        </w:tc>
        <w:tc>
          <w:tcPr>
            <w:tcW w:w="709" w:type="dxa"/>
            <w:vAlign w:val="center"/>
          </w:tcPr>
          <w:p w14:paraId="6B0B62F6">
            <w:pPr>
              <w:spacing w:line="360" w:lineRule="auto"/>
              <w:jc w:val="center"/>
              <w:rPr>
                <w:color w:val="FF0000"/>
              </w:rPr>
            </w:pPr>
            <w:r>
              <w:rPr>
                <w:rFonts w:hint="eastAsia"/>
                <w:color w:val="000000"/>
                <w:sz w:val="18"/>
                <w:szCs w:val="18"/>
              </w:rPr>
              <w:t>1</w:t>
            </w:r>
          </w:p>
        </w:tc>
        <w:tc>
          <w:tcPr>
            <w:tcW w:w="1045" w:type="dxa"/>
            <w:vAlign w:val="center"/>
          </w:tcPr>
          <w:p w14:paraId="2EE06F7B">
            <w:pPr>
              <w:spacing w:line="360" w:lineRule="auto"/>
              <w:jc w:val="center"/>
              <w:rPr>
                <w:color w:val="FF0000"/>
                <w:sz w:val="18"/>
                <w:szCs w:val="18"/>
              </w:rPr>
            </w:pPr>
            <w:r>
              <w:rPr>
                <w:rFonts w:hint="eastAsia"/>
                <w:sz w:val="18"/>
                <w:szCs w:val="18"/>
              </w:rPr>
              <w:t>考查</w:t>
            </w:r>
          </w:p>
        </w:tc>
      </w:tr>
      <w:tr w14:paraId="237ECF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6956C2F">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D643599">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5868DEFC">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4A3F506C">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79FD2821">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7FF98593">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28667E4">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94C69AD">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5A77D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2" w:hRule="atLeast"/>
          <w:jc w:val="center"/>
        </w:trPr>
        <w:tc>
          <w:tcPr>
            <w:tcW w:w="571" w:type="dxa"/>
            <w:vMerge w:val="continue"/>
            <w:vAlign w:val="center"/>
          </w:tcPr>
          <w:p w14:paraId="52DD61E2">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1200F1B9">
            <w:pPr>
              <w:spacing w:line="360" w:lineRule="auto"/>
              <w:jc w:val="center"/>
              <w:rPr>
                <w:b/>
                <w:color w:val="000000" w:themeColor="text1"/>
                <w:sz w:val="18"/>
                <w:szCs w:val="18"/>
                <w14:textFill>
                  <w14:solidFill>
                    <w14:schemeClr w14:val="tx1"/>
                  </w14:solidFill>
                </w14:textFill>
              </w:rPr>
            </w:pPr>
          </w:p>
        </w:tc>
        <w:tc>
          <w:tcPr>
            <w:tcW w:w="3516" w:type="dxa"/>
            <w:vAlign w:val="center"/>
          </w:tcPr>
          <w:p w14:paraId="4945F8C9">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1C6601CD">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105FD397">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47451196">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Merge w:val="restart"/>
            <w:vAlign w:val="center"/>
          </w:tcPr>
          <w:p w14:paraId="3FC07724">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D3650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578987C">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4E7E8EAF">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6834ADE8">
            <w:pPr>
              <w:adjustRightInd w:val="0"/>
              <w:snapToGrid w:val="0"/>
              <w:spacing w:line="360" w:lineRule="auto"/>
              <w:jc w:val="center"/>
              <w:rPr>
                <w:b/>
                <w:color w:val="FF0000"/>
                <w:sz w:val="18"/>
                <w:szCs w:val="18"/>
              </w:rPr>
            </w:pPr>
          </w:p>
        </w:tc>
        <w:tc>
          <w:tcPr>
            <w:tcW w:w="3516" w:type="dxa"/>
            <w:vAlign w:val="center"/>
          </w:tcPr>
          <w:p w14:paraId="4800916C">
            <w:pPr>
              <w:spacing w:line="360" w:lineRule="auto"/>
              <w:rPr>
                <w:i/>
                <w:color w:val="FF0000"/>
                <w:sz w:val="18"/>
                <w:szCs w:val="18"/>
              </w:rPr>
            </w:pPr>
            <w:r>
              <w:rPr>
                <w:rFonts w:hint="eastAsia"/>
                <w:color w:val="000000"/>
                <w:sz w:val="18"/>
                <w:szCs w:val="18"/>
              </w:rPr>
              <w:t>文物保护基础</w:t>
            </w:r>
          </w:p>
        </w:tc>
        <w:tc>
          <w:tcPr>
            <w:tcW w:w="1081" w:type="dxa"/>
            <w:vAlign w:val="center"/>
          </w:tcPr>
          <w:p w14:paraId="58D7A48A">
            <w:pPr>
              <w:spacing w:line="360" w:lineRule="auto"/>
              <w:jc w:val="center"/>
              <w:rPr>
                <w:sz w:val="18"/>
                <w:szCs w:val="18"/>
              </w:rPr>
            </w:pPr>
            <w:r>
              <w:rPr>
                <w:rFonts w:hint="eastAsia"/>
                <w:sz w:val="18"/>
                <w:szCs w:val="18"/>
              </w:rPr>
              <w:t>ZS190520</w:t>
            </w:r>
            <w:r>
              <w:rPr>
                <w:sz w:val="18"/>
                <w:szCs w:val="18"/>
              </w:rPr>
              <w:t>2</w:t>
            </w:r>
          </w:p>
        </w:tc>
        <w:tc>
          <w:tcPr>
            <w:tcW w:w="709" w:type="dxa"/>
            <w:vAlign w:val="center"/>
          </w:tcPr>
          <w:p w14:paraId="63D026D6">
            <w:pPr>
              <w:spacing w:line="360" w:lineRule="auto"/>
              <w:jc w:val="center"/>
              <w:rPr>
                <w:color w:val="FF0000"/>
              </w:rPr>
            </w:pPr>
            <w:r>
              <w:rPr>
                <w:rFonts w:hint="eastAsia"/>
                <w:color w:val="000000"/>
                <w:sz w:val="18"/>
                <w:szCs w:val="18"/>
              </w:rPr>
              <w:t>2</w:t>
            </w:r>
          </w:p>
        </w:tc>
        <w:tc>
          <w:tcPr>
            <w:tcW w:w="709" w:type="dxa"/>
            <w:vAlign w:val="center"/>
          </w:tcPr>
          <w:p w14:paraId="436EBE60">
            <w:pPr>
              <w:spacing w:line="360" w:lineRule="auto"/>
              <w:jc w:val="center"/>
              <w:rPr>
                <w:color w:val="FF0000"/>
              </w:rPr>
            </w:pPr>
            <w:r>
              <w:rPr>
                <w:rFonts w:hint="eastAsia"/>
                <w:color w:val="000000"/>
                <w:sz w:val="18"/>
                <w:szCs w:val="18"/>
              </w:rPr>
              <w:t>2</w:t>
            </w:r>
          </w:p>
        </w:tc>
        <w:tc>
          <w:tcPr>
            <w:tcW w:w="1045" w:type="dxa"/>
            <w:vMerge w:val="restart"/>
            <w:vAlign w:val="center"/>
          </w:tcPr>
          <w:p w14:paraId="0A8A5287">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至少选修</w:t>
            </w:r>
          </w:p>
          <w:p w14:paraId="778CBCDD">
            <w:pPr>
              <w:adjustRightInd w:val="0"/>
              <w:snapToGrid w:val="0"/>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学分</w:t>
            </w:r>
          </w:p>
        </w:tc>
      </w:tr>
      <w:tr w14:paraId="24BE59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BA9BF5">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2CFDEA09">
            <w:pPr>
              <w:adjustRightInd w:val="0"/>
              <w:snapToGrid w:val="0"/>
              <w:spacing w:line="360" w:lineRule="auto"/>
              <w:jc w:val="center"/>
              <w:rPr>
                <w:b/>
                <w:color w:val="FF0000"/>
                <w:sz w:val="18"/>
                <w:szCs w:val="18"/>
              </w:rPr>
            </w:pPr>
          </w:p>
        </w:tc>
        <w:tc>
          <w:tcPr>
            <w:tcW w:w="3516" w:type="dxa"/>
            <w:vAlign w:val="center"/>
          </w:tcPr>
          <w:p w14:paraId="2408218E">
            <w:pPr>
              <w:spacing w:line="360" w:lineRule="auto"/>
              <w:rPr>
                <w:i/>
                <w:color w:val="FF0000"/>
                <w:sz w:val="18"/>
                <w:szCs w:val="18"/>
              </w:rPr>
            </w:pPr>
            <w:r>
              <w:rPr>
                <w:rFonts w:hint="eastAsia"/>
                <w:color w:val="000000"/>
                <w:sz w:val="18"/>
                <w:szCs w:val="18"/>
              </w:rPr>
              <w:t>文物图像处理</w:t>
            </w:r>
          </w:p>
        </w:tc>
        <w:tc>
          <w:tcPr>
            <w:tcW w:w="1081" w:type="dxa"/>
            <w:vAlign w:val="center"/>
          </w:tcPr>
          <w:p w14:paraId="66FC0699">
            <w:pPr>
              <w:spacing w:line="360" w:lineRule="auto"/>
              <w:jc w:val="center"/>
              <w:rPr>
                <w:sz w:val="18"/>
                <w:szCs w:val="18"/>
              </w:rPr>
            </w:pPr>
            <w:r>
              <w:rPr>
                <w:rFonts w:hint="eastAsia"/>
                <w:sz w:val="18"/>
                <w:szCs w:val="18"/>
              </w:rPr>
              <w:t>ZS190520</w:t>
            </w:r>
            <w:r>
              <w:rPr>
                <w:sz w:val="18"/>
                <w:szCs w:val="18"/>
              </w:rPr>
              <w:t>5</w:t>
            </w:r>
          </w:p>
        </w:tc>
        <w:tc>
          <w:tcPr>
            <w:tcW w:w="709" w:type="dxa"/>
            <w:vAlign w:val="center"/>
          </w:tcPr>
          <w:p w14:paraId="6D95F665">
            <w:pPr>
              <w:spacing w:line="360" w:lineRule="auto"/>
              <w:jc w:val="center"/>
              <w:rPr>
                <w:color w:val="FF0000"/>
              </w:rPr>
            </w:pPr>
            <w:r>
              <w:rPr>
                <w:rFonts w:hint="eastAsia"/>
                <w:color w:val="000000"/>
                <w:sz w:val="18"/>
                <w:szCs w:val="18"/>
              </w:rPr>
              <w:t>2</w:t>
            </w:r>
          </w:p>
        </w:tc>
        <w:tc>
          <w:tcPr>
            <w:tcW w:w="709" w:type="dxa"/>
            <w:vAlign w:val="center"/>
          </w:tcPr>
          <w:p w14:paraId="2D1A603A">
            <w:pPr>
              <w:spacing w:line="360" w:lineRule="auto"/>
              <w:jc w:val="center"/>
              <w:rPr>
                <w:color w:val="FF0000"/>
              </w:rPr>
            </w:pPr>
            <w:r>
              <w:rPr>
                <w:rFonts w:hint="eastAsia"/>
                <w:color w:val="000000"/>
                <w:sz w:val="18"/>
                <w:szCs w:val="18"/>
              </w:rPr>
              <w:t>2</w:t>
            </w:r>
          </w:p>
        </w:tc>
        <w:tc>
          <w:tcPr>
            <w:tcW w:w="1045" w:type="dxa"/>
            <w:vMerge w:val="continue"/>
            <w:vAlign w:val="center"/>
          </w:tcPr>
          <w:p w14:paraId="67EA5B52">
            <w:pPr>
              <w:adjustRightInd w:val="0"/>
              <w:snapToGrid w:val="0"/>
              <w:spacing w:line="360" w:lineRule="auto"/>
              <w:jc w:val="center"/>
              <w:rPr>
                <w:color w:val="000000" w:themeColor="text1"/>
                <w:sz w:val="18"/>
                <w:szCs w:val="18"/>
                <w14:textFill>
                  <w14:solidFill>
                    <w14:schemeClr w14:val="tx1"/>
                  </w14:solidFill>
                </w14:textFill>
              </w:rPr>
            </w:pPr>
          </w:p>
        </w:tc>
      </w:tr>
      <w:tr w14:paraId="203BBD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571" w:type="dxa"/>
            <w:vMerge w:val="continue"/>
          </w:tcPr>
          <w:p w14:paraId="3571798F">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5D512FF9">
            <w:pPr>
              <w:spacing w:line="360" w:lineRule="auto"/>
              <w:jc w:val="center"/>
              <w:rPr>
                <w:b/>
                <w:color w:val="000000" w:themeColor="text1"/>
                <w:sz w:val="18"/>
                <w:szCs w:val="18"/>
                <w14:textFill>
                  <w14:solidFill>
                    <w14:schemeClr w14:val="tx1"/>
                  </w14:solidFill>
                </w14:textFill>
              </w:rPr>
            </w:pPr>
          </w:p>
        </w:tc>
        <w:tc>
          <w:tcPr>
            <w:tcW w:w="3516" w:type="dxa"/>
            <w:vAlign w:val="center"/>
          </w:tcPr>
          <w:p w14:paraId="0EAA592C">
            <w:pPr>
              <w:adjustRightInd w:val="0"/>
              <w:snapToGrid w:val="0"/>
              <w:spacing w:line="360" w:lineRule="auto"/>
              <w:rPr>
                <w:i/>
                <w:color w:val="FF0000"/>
                <w:sz w:val="18"/>
                <w:szCs w:val="18"/>
              </w:rPr>
            </w:pPr>
            <w:r>
              <w:rPr>
                <w:rFonts w:hint="eastAsia"/>
                <w:color w:val="000000"/>
                <w:sz w:val="18"/>
                <w:szCs w:val="18"/>
              </w:rPr>
              <w:t>墓葬壁画研究</w:t>
            </w:r>
          </w:p>
        </w:tc>
        <w:tc>
          <w:tcPr>
            <w:tcW w:w="1081" w:type="dxa"/>
            <w:vAlign w:val="center"/>
          </w:tcPr>
          <w:p w14:paraId="382BAE2C">
            <w:pPr>
              <w:spacing w:line="360" w:lineRule="auto"/>
              <w:jc w:val="center"/>
              <w:rPr>
                <w:sz w:val="18"/>
                <w:szCs w:val="18"/>
              </w:rPr>
            </w:pPr>
            <w:r>
              <w:rPr>
                <w:rFonts w:hint="eastAsia"/>
                <w:sz w:val="18"/>
                <w:szCs w:val="18"/>
              </w:rPr>
              <w:t>ZS19052</w:t>
            </w:r>
            <w:r>
              <w:rPr>
                <w:sz w:val="18"/>
                <w:szCs w:val="18"/>
              </w:rPr>
              <w:t>11</w:t>
            </w:r>
          </w:p>
        </w:tc>
        <w:tc>
          <w:tcPr>
            <w:tcW w:w="709" w:type="dxa"/>
            <w:vAlign w:val="center"/>
          </w:tcPr>
          <w:p w14:paraId="7EC5A8DE">
            <w:pPr>
              <w:spacing w:line="360" w:lineRule="auto"/>
              <w:jc w:val="center"/>
              <w:rPr>
                <w:color w:val="FF0000"/>
                <w:sz w:val="18"/>
                <w:szCs w:val="18"/>
              </w:rPr>
            </w:pPr>
            <w:r>
              <w:rPr>
                <w:rFonts w:hint="eastAsia"/>
                <w:color w:val="000000"/>
                <w:sz w:val="18"/>
                <w:szCs w:val="18"/>
              </w:rPr>
              <w:t>2</w:t>
            </w:r>
          </w:p>
        </w:tc>
        <w:tc>
          <w:tcPr>
            <w:tcW w:w="709" w:type="dxa"/>
            <w:vAlign w:val="center"/>
          </w:tcPr>
          <w:p w14:paraId="7FEC5983">
            <w:pPr>
              <w:spacing w:line="360" w:lineRule="auto"/>
              <w:jc w:val="center"/>
              <w:rPr>
                <w:i/>
                <w:color w:val="FF0000"/>
                <w:sz w:val="18"/>
                <w:szCs w:val="18"/>
              </w:rPr>
            </w:pPr>
            <w:r>
              <w:rPr>
                <w:rFonts w:hint="eastAsia"/>
                <w:color w:val="000000"/>
                <w:sz w:val="18"/>
                <w:szCs w:val="18"/>
              </w:rPr>
              <w:t>2</w:t>
            </w:r>
          </w:p>
        </w:tc>
        <w:tc>
          <w:tcPr>
            <w:tcW w:w="1045" w:type="dxa"/>
            <w:vMerge w:val="continue"/>
            <w:vAlign w:val="center"/>
          </w:tcPr>
          <w:p w14:paraId="2932E303">
            <w:pPr>
              <w:spacing w:line="360" w:lineRule="auto"/>
              <w:jc w:val="center"/>
              <w:rPr>
                <w:color w:val="000000" w:themeColor="text1"/>
                <w:sz w:val="18"/>
                <w:szCs w:val="18"/>
                <w14:textFill>
                  <w14:solidFill>
                    <w14:schemeClr w14:val="tx1"/>
                  </w14:solidFill>
                </w14:textFill>
              </w:rPr>
            </w:pPr>
          </w:p>
        </w:tc>
      </w:tr>
      <w:tr w14:paraId="123746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571" w:type="dxa"/>
            <w:vMerge w:val="continue"/>
          </w:tcPr>
          <w:p w14:paraId="2EE6DDFF">
            <w:pPr>
              <w:adjustRightInd w:val="0"/>
              <w:snapToGrid w:val="0"/>
              <w:spacing w:line="360" w:lineRule="auto"/>
            </w:pPr>
          </w:p>
        </w:tc>
        <w:tc>
          <w:tcPr>
            <w:tcW w:w="1226" w:type="dxa"/>
            <w:vMerge w:val="continue"/>
            <w:vAlign w:val="center"/>
          </w:tcPr>
          <w:p w14:paraId="69DF59EC">
            <w:pPr>
              <w:adjustRightInd w:val="0"/>
              <w:snapToGrid w:val="0"/>
              <w:spacing w:line="360" w:lineRule="auto"/>
            </w:pPr>
          </w:p>
        </w:tc>
        <w:tc>
          <w:tcPr>
            <w:tcW w:w="3516" w:type="dxa"/>
            <w:vAlign w:val="center"/>
          </w:tcPr>
          <w:p w14:paraId="3889AE38">
            <w:pPr>
              <w:adjustRightInd w:val="0"/>
              <w:snapToGrid w:val="0"/>
              <w:spacing w:line="360" w:lineRule="auto"/>
              <w:rPr>
                <w:color w:val="000000"/>
                <w:sz w:val="18"/>
                <w:szCs w:val="18"/>
              </w:rPr>
            </w:pPr>
            <w:bookmarkStart w:id="2" w:name="OLE_LINK1"/>
            <w:bookmarkStart w:id="3" w:name="OLE_LINK2"/>
            <w:r>
              <w:rPr>
                <w:rFonts w:hint="eastAsia"/>
                <w:color w:val="000000"/>
                <w:sz w:val="18"/>
                <w:szCs w:val="18"/>
              </w:rPr>
              <w:t>古代钱币研究</w:t>
            </w:r>
            <w:bookmarkEnd w:id="2"/>
            <w:bookmarkEnd w:id="3"/>
          </w:p>
        </w:tc>
        <w:tc>
          <w:tcPr>
            <w:tcW w:w="1081" w:type="dxa"/>
            <w:vAlign w:val="center"/>
          </w:tcPr>
          <w:p w14:paraId="14ED5B03">
            <w:pPr>
              <w:adjustRightInd w:val="0"/>
              <w:snapToGrid w:val="0"/>
              <w:spacing w:line="360" w:lineRule="auto"/>
              <w:rPr>
                <w:szCs w:val="21"/>
              </w:rPr>
            </w:pPr>
            <w:r>
              <w:rPr>
                <w:rFonts w:hint="eastAsia"/>
                <w:sz w:val="18"/>
                <w:szCs w:val="18"/>
              </w:rPr>
              <w:t>ZS19052</w:t>
            </w:r>
            <w:r>
              <w:rPr>
                <w:sz w:val="18"/>
                <w:szCs w:val="18"/>
              </w:rPr>
              <w:t>1</w:t>
            </w:r>
            <w:r>
              <w:rPr>
                <w:rFonts w:hint="eastAsia"/>
                <w:sz w:val="18"/>
                <w:szCs w:val="18"/>
              </w:rPr>
              <w:t>3</w:t>
            </w:r>
          </w:p>
        </w:tc>
        <w:tc>
          <w:tcPr>
            <w:tcW w:w="709" w:type="dxa"/>
            <w:vAlign w:val="center"/>
          </w:tcPr>
          <w:p w14:paraId="70C92C32">
            <w:pPr>
              <w:spacing w:line="360" w:lineRule="auto"/>
              <w:jc w:val="center"/>
              <w:rPr>
                <w:color w:val="000000"/>
                <w:szCs w:val="21"/>
              </w:rPr>
            </w:pPr>
            <w:r>
              <w:rPr>
                <w:rFonts w:hint="eastAsia"/>
                <w:color w:val="000000"/>
                <w:sz w:val="18"/>
                <w:szCs w:val="18"/>
              </w:rPr>
              <w:t>2</w:t>
            </w:r>
          </w:p>
        </w:tc>
        <w:tc>
          <w:tcPr>
            <w:tcW w:w="709" w:type="dxa"/>
            <w:vAlign w:val="center"/>
          </w:tcPr>
          <w:p w14:paraId="70B17D83">
            <w:pPr>
              <w:spacing w:line="360" w:lineRule="auto"/>
              <w:jc w:val="center"/>
              <w:rPr>
                <w:color w:val="000000"/>
                <w:szCs w:val="21"/>
              </w:rPr>
            </w:pPr>
            <w:r>
              <w:rPr>
                <w:rFonts w:hint="eastAsia"/>
                <w:color w:val="000000"/>
                <w:sz w:val="18"/>
                <w:szCs w:val="18"/>
              </w:rPr>
              <w:t>2</w:t>
            </w:r>
          </w:p>
        </w:tc>
        <w:tc>
          <w:tcPr>
            <w:tcW w:w="1045" w:type="dxa"/>
            <w:vMerge w:val="continue"/>
            <w:vAlign w:val="center"/>
          </w:tcPr>
          <w:p w14:paraId="6428F476">
            <w:pPr>
              <w:adjustRightInd w:val="0"/>
              <w:snapToGrid w:val="0"/>
              <w:spacing w:line="360" w:lineRule="auto"/>
              <w:rPr>
                <w:color w:val="000000"/>
                <w:szCs w:val="21"/>
              </w:rPr>
            </w:pPr>
          </w:p>
        </w:tc>
      </w:tr>
      <w:tr w14:paraId="6009E5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D8681B6">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5C2B1708">
            <w:pPr>
              <w:adjustRightInd w:val="0"/>
              <w:snapToGrid w:val="0"/>
              <w:spacing w:line="360" w:lineRule="auto"/>
              <w:jc w:val="center"/>
              <w:rPr>
                <w:b/>
                <w:color w:val="FF0000"/>
                <w:sz w:val="18"/>
                <w:szCs w:val="18"/>
              </w:rPr>
            </w:pPr>
          </w:p>
        </w:tc>
        <w:tc>
          <w:tcPr>
            <w:tcW w:w="3516" w:type="dxa"/>
            <w:vAlign w:val="center"/>
          </w:tcPr>
          <w:p w14:paraId="7C1F67BE">
            <w:pPr>
              <w:spacing w:line="360" w:lineRule="auto"/>
              <w:rPr>
                <w:i/>
                <w:color w:val="FF0000"/>
                <w:sz w:val="18"/>
                <w:szCs w:val="18"/>
              </w:rPr>
            </w:pPr>
            <w:r>
              <w:rPr>
                <w:rFonts w:hint="eastAsia"/>
                <w:color w:val="000000"/>
                <w:sz w:val="18"/>
                <w:szCs w:val="18"/>
              </w:rPr>
              <w:t>碑刻研究</w:t>
            </w:r>
          </w:p>
        </w:tc>
        <w:tc>
          <w:tcPr>
            <w:tcW w:w="1081" w:type="dxa"/>
            <w:vAlign w:val="center"/>
          </w:tcPr>
          <w:p w14:paraId="5BDBDC0F">
            <w:pPr>
              <w:spacing w:line="360" w:lineRule="auto"/>
              <w:jc w:val="center"/>
              <w:rPr>
                <w:sz w:val="18"/>
                <w:szCs w:val="18"/>
              </w:rPr>
            </w:pPr>
            <w:r>
              <w:rPr>
                <w:rFonts w:hint="eastAsia"/>
                <w:sz w:val="18"/>
                <w:szCs w:val="18"/>
              </w:rPr>
              <w:t>ZS19052</w:t>
            </w:r>
            <w:r>
              <w:rPr>
                <w:sz w:val="18"/>
                <w:szCs w:val="18"/>
              </w:rPr>
              <w:t>14</w:t>
            </w:r>
          </w:p>
        </w:tc>
        <w:tc>
          <w:tcPr>
            <w:tcW w:w="709" w:type="dxa"/>
            <w:vAlign w:val="center"/>
          </w:tcPr>
          <w:p w14:paraId="1C9604FE">
            <w:pPr>
              <w:spacing w:line="360" w:lineRule="auto"/>
              <w:jc w:val="center"/>
              <w:rPr>
                <w:color w:val="FF0000"/>
              </w:rPr>
            </w:pPr>
            <w:r>
              <w:rPr>
                <w:rFonts w:hint="eastAsia"/>
                <w:color w:val="000000"/>
                <w:sz w:val="18"/>
                <w:szCs w:val="18"/>
              </w:rPr>
              <w:t>2</w:t>
            </w:r>
          </w:p>
        </w:tc>
        <w:tc>
          <w:tcPr>
            <w:tcW w:w="709" w:type="dxa"/>
            <w:vAlign w:val="center"/>
          </w:tcPr>
          <w:p w14:paraId="424A3A12">
            <w:pPr>
              <w:spacing w:line="360" w:lineRule="auto"/>
              <w:jc w:val="center"/>
              <w:rPr>
                <w:color w:val="FF0000"/>
              </w:rPr>
            </w:pPr>
            <w:r>
              <w:rPr>
                <w:rFonts w:hint="eastAsia"/>
                <w:color w:val="000000"/>
                <w:sz w:val="18"/>
                <w:szCs w:val="18"/>
              </w:rPr>
              <w:t>2</w:t>
            </w:r>
          </w:p>
        </w:tc>
        <w:tc>
          <w:tcPr>
            <w:tcW w:w="1045" w:type="dxa"/>
            <w:vMerge w:val="continue"/>
            <w:vAlign w:val="center"/>
          </w:tcPr>
          <w:p w14:paraId="34A2AE6A">
            <w:pPr>
              <w:adjustRightInd w:val="0"/>
              <w:snapToGrid w:val="0"/>
              <w:spacing w:line="360" w:lineRule="auto"/>
              <w:jc w:val="center"/>
              <w:rPr>
                <w:color w:val="000000" w:themeColor="text1"/>
                <w:sz w:val="18"/>
                <w:szCs w:val="18"/>
                <w14:textFill>
                  <w14:solidFill>
                    <w14:schemeClr w14:val="tx1"/>
                  </w14:solidFill>
                </w14:textFill>
              </w:rPr>
            </w:pPr>
          </w:p>
        </w:tc>
      </w:tr>
      <w:tr w14:paraId="2A03B5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AC08A2">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40D426E3">
            <w:pPr>
              <w:adjustRightInd w:val="0"/>
              <w:snapToGrid w:val="0"/>
              <w:spacing w:line="360" w:lineRule="auto"/>
              <w:jc w:val="center"/>
              <w:rPr>
                <w:b/>
                <w:color w:val="FF0000"/>
                <w:sz w:val="18"/>
                <w:szCs w:val="18"/>
              </w:rPr>
            </w:pPr>
          </w:p>
        </w:tc>
        <w:tc>
          <w:tcPr>
            <w:tcW w:w="3516" w:type="dxa"/>
            <w:vAlign w:val="center"/>
          </w:tcPr>
          <w:p w14:paraId="25E4AC02">
            <w:pPr>
              <w:spacing w:line="360" w:lineRule="auto"/>
              <w:rPr>
                <w:i/>
                <w:color w:val="FF0000"/>
                <w:sz w:val="18"/>
                <w:szCs w:val="18"/>
              </w:rPr>
            </w:pPr>
            <w:bookmarkStart w:id="4" w:name="OLE_LINK3"/>
            <w:bookmarkStart w:id="5" w:name="OLE_LINK4"/>
            <w:r>
              <w:rPr>
                <w:rFonts w:hint="eastAsia"/>
                <w:color w:val="000000"/>
                <w:sz w:val="18"/>
                <w:szCs w:val="18"/>
              </w:rPr>
              <w:t>商周文字研究</w:t>
            </w:r>
            <w:bookmarkEnd w:id="4"/>
            <w:bookmarkEnd w:id="5"/>
          </w:p>
        </w:tc>
        <w:tc>
          <w:tcPr>
            <w:tcW w:w="1081" w:type="dxa"/>
            <w:shd w:val="clear" w:color="auto" w:fill="auto"/>
            <w:vAlign w:val="center"/>
          </w:tcPr>
          <w:p w14:paraId="50A77E86">
            <w:pPr>
              <w:spacing w:line="360" w:lineRule="auto"/>
              <w:jc w:val="center"/>
              <w:rPr>
                <w:sz w:val="18"/>
                <w:szCs w:val="18"/>
              </w:rPr>
            </w:pPr>
            <w:r>
              <w:rPr>
                <w:rFonts w:hint="eastAsia"/>
                <w:sz w:val="18"/>
                <w:szCs w:val="18"/>
              </w:rPr>
              <w:t>ZS19052</w:t>
            </w:r>
            <w:r>
              <w:rPr>
                <w:sz w:val="18"/>
                <w:szCs w:val="18"/>
              </w:rPr>
              <w:t>15</w:t>
            </w:r>
          </w:p>
        </w:tc>
        <w:tc>
          <w:tcPr>
            <w:tcW w:w="709" w:type="dxa"/>
            <w:vAlign w:val="center"/>
          </w:tcPr>
          <w:p w14:paraId="44ADC48E">
            <w:pPr>
              <w:spacing w:line="360" w:lineRule="auto"/>
              <w:jc w:val="center"/>
              <w:rPr>
                <w:color w:val="FF0000"/>
              </w:rPr>
            </w:pPr>
            <w:r>
              <w:rPr>
                <w:rFonts w:hint="eastAsia"/>
                <w:color w:val="000000"/>
                <w:sz w:val="18"/>
                <w:szCs w:val="18"/>
              </w:rPr>
              <w:t>2</w:t>
            </w:r>
          </w:p>
        </w:tc>
        <w:tc>
          <w:tcPr>
            <w:tcW w:w="709" w:type="dxa"/>
            <w:vAlign w:val="center"/>
          </w:tcPr>
          <w:p w14:paraId="595A4850">
            <w:pPr>
              <w:spacing w:line="360" w:lineRule="auto"/>
              <w:jc w:val="center"/>
              <w:rPr>
                <w:color w:val="FF0000"/>
              </w:rPr>
            </w:pPr>
            <w:r>
              <w:rPr>
                <w:rFonts w:hint="eastAsia"/>
                <w:color w:val="000000"/>
                <w:sz w:val="18"/>
                <w:szCs w:val="18"/>
              </w:rPr>
              <w:t>2</w:t>
            </w:r>
          </w:p>
        </w:tc>
        <w:tc>
          <w:tcPr>
            <w:tcW w:w="1045" w:type="dxa"/>
            <w:vMerge w:val="continue"/>
            <w:vAlign w:val="center"/>
          </w:tcPr>
          <w:p w14:paraId="7794FEE6">
            <w:pPr>
              <w:adjustRightInd w:val="0"/>
              <w:snapToGrid w:val="0"/>
              <w:spacing w:line="360" w:lineRule="auto"/>
              <w:jc w:val="center"/>
              <w:rPr>
                <w:color w:val="000000" w:themeColor="text1"/>
                <w:sz w:val="18"/>
                <w:szCs w:val="18"/>
                <w14:textFill>
                  <w14:solidFill>
                    <w14:schemeClr w14:val="tx1"/>
                  </w14:solidFill>
                </w14:textFill>
              </w:rPr>
            </w:pPr>
          </w:p>
        </w:tc>
      </w:tr>
      <w:tr w14:paraId="237E7E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571" w:type="dxa"/>
            <w:vMerge w:val="continue"/>
          </w:tcPr>
          <w:p w14:paraId="6B5A3B64">
            <w:pPr>
              <w:spacing w:line="360" w:lineRule="auto"/>
              <w:rPr>
                <w:b/>
                <w:color w:val="000000" w:themeColor="text1"/>
                <w:sz w:val="18"/>
                <w:szCs w:val="18"/>
                <w14:textFill>
                  <w14:solidFill>
                    <w14:schemeClr w14:val="tx1"/>
                  </w14:solidFill>
                </w14:textFill>
              </w:rPr>
            </w:pPr>
          </w:p>
        </w:tc>
        <w:tc>
          <w:tcPr>
            <w:tcW w:w="1226" w:type="dxa"/>
            <w:vMerge w:val="continue"/>
          </w:tcPr>
          <w:p w14:paraId="7FA56DDA">
            <w:pPr>
              <w:spacing w:line="360" w:lineRule="auto"/>
              <w:jc w:val="center"/>
              <w:rPr>
                <w:b/>
                <w:color w:val="000000" w:themeColor="text1"/>
                <w:sz w:val="18"/>
                <w:szCs w:val="18"/>
                <w14:textFill>
                  <w14:solidFill>
                    <w14:schemeClr w14:val="tx1"/>
                  </w14:solidFill>
                </w14:textFill>
              </w:rPr>
            </w:pPr>
          </w:p>
        </w:tc>
        <w:tc>
          <w:tcPr>
            <w:tcW w:w="3516" w:type="dxa"/>
            <w:vAlign w:val="center"/>
          </w:tcPr>
          <w:p w14:paraId="08742E39">
            <w:pPr>
              <w:adjustRightInd w:val="0"/>
              <w:snapToGrid w:val="0"/>
              <w:spacing w:line="360" w:lineRule="auto"/>
              <w:rPr>
                <w:i/>
                <w:color w:val="FF0000"/>
                <w:sz w:val="18"/>
                <w:szCs w:val="18"/>
              </w:rPr>
            </w:pPr>
            <w:r>
              <w:rPr>
                <w:rFonts w:hint="eastAsia"/>
                <w:color w:val="000000"/>
                <w:sz w:val="18"/>
                <w:szCs w:val="18"/>
              </w:rPr>
              <w:t>博物馆与跨文化传播</w:t>
            </w:r>
          </w:p>
        </w:tc>
        <w:tc>
          <w:tcPr>
            <w:tcW w:w="1081" w:type="dxa"/>
            <w:shd w:val="clear" w:color="auto" w:fill="auto"/>
            <w:vAlign w:val="center"/>
          </w:tcPr>
          <w:p w14:paraId="6C1DF514">
            <w:pPr>
              <w:spacing w:line="360" w:lineRule="auto"/>
              <w:jc w:val="center"/>
              <w:rPr>
                <w:sz w:val="18"/>
                <w:szCs w:val="18"/>
              </w:rPr>
            </w:pPr>
            <w:r>
              <w:rPr>
                <w:rFonts w:hint="eastAsia"/>
                <w:sz w:val="18"/>
                <w:szCs w:val="18"/>
              </w:rPr>
              <w:t>ZS19052</w:t>
            </w:r>
            <w:r>
              <w:rPr>
                <w:sz w:val="18"/>
                <w:szCs w:val="18"/>
              </w:rPr>
              <w:t>16</w:t>
            </w:r>
          </w:p>
        </w:tc>
        <w:tc>
          <w:tcPr>
            <w:tcW w:w="709" w:type="dxa"/>
            <w:vAlign w:val="center"/>
          </w:tcPr>
          <w:p w14:paraId="544FFF31">
            <w:pPr>
              <w:spacing w:line="360" w:lineRule="auto"/>
              <w:jc w:val="center"/>
              <w:rPr>
                <w:color w:val="FF0000"/>
                <w:sz w:val="18"/>
                <w:szCs w:val="18"/>
              </w:rPr>
            </w:pPr>
            <w:r>
              <w:rPr>
                <w:rFonts w:hint="eastAsia"/>
                <w:color w:val="000000"/>
                <w:sz w:val="18"/>
                <w:szCs w:val="18"/>
              </w:rPr>
              <w:t>2</w:t>
            </w:r>
          </w:p>
        </w:tc>
        <w:tc>
          <w:tcPr>
            <w:tcW w:w="709" w:type="dxa"/>
            <w:vAlign w:val="center"/>
          </w:tcPr>
          <w:p w14:paraId="1BFDEF9E">
            <w:pPr>
              <w:spacing w:line="360" w:lineRule="auto"/>
              <w:jc w:val="center"/>
              <w:rPr>
                <w:color w:val="FF0000"/>
                <w:sz w:val="18"/>
                <w:szCs w:val="18"/>
              </w:rPr>
            </w:pPr>
            <w:r>
              <w:rPr>
                <w:rFonts w:hint="eastAsia"/>
                <w:color w:val="000000"/>
                <w:sz w:val="18"/>
                <w:szCs w:val="18"/>
              </w:rPr>
              <w:t>2</w:t>
            </w:r>
          </w:p>
        </w:tc>
        <w:tc>
          <w:tcPr>
            <w:tcW w:w="1045" w:type="dxa"/>
            <w:vMerge w:val="continue"/>
            <w:vAlign w:val="center"/>
          </w:tcPr>
          <w:p w14:paraId="77DE3AB1">
            <w:pPr>
              <w:spacing w:line="360" w:lineRule="auto"/>
              <w:jc w:val="center"/>
              <w:rPr>
                <w:color w:val="000000" w:themeColor="text1"/>
                <w:sz w:val="18"/>
                <w:szCs w:val="18"/>
                <w14:textFill>
                  <w14:solidFill>
                    <w14:schemeClr w14:val="tx1"/>
                  </w14:solidFill>
                </w14:textFill>
              </w:rPr>
            </w:pPr>
          </w:p>
        </w:tc>
      </w:tr>
      <w:tr w14:paraId="313C05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571" w:type="dxa"/>
            <w:vMerge w:val="continue"/>
          </w:tcPr>
          <w:p w14:paraId="46BF4BE0">
            <w:pPr>
              <w:adjustRightInd w:val="0"/>
              <w:snapToGrid w:val="0"/>
              <w:spacing w:line="360" w:lineRule="auto"/>
            </w:pPr>
          </w:p>
        </w:tc>
        <w:tc>
          <w:tcPr>
            <w:tcW w:w="1226" w:type="dxa"/>
            <w:vMerge w:val="continue"/>
          </w:tcPr>
          <w:p w14:paraId="33CEA14C">
            <w:pPr>
              <w:adjustRightInd w:val="0"/>
              <w:snapToGrid w:val="0"/>
              <w:spacing w:line="360" w:lineRule="auto"/>
            </w:pPr>
          </w:p>
        </w:tc>
        <w:tc>
          <w:tcPr>
            <w:tcW w:w="3516" w:type="dxa"/>
            <w:vAlign w:val="center"/>
          </w:tcPr>
          <w:p w14:paraId="190EC10B">
            <w:pPr>
              <w:adjustRightInd w:val="0"/>
              <w:snapToGrid w:val="0"/>
              <w:spacing w:line="360" w:lineRule="auto"/>
              <w:rPr>
                <w:color w:val="000000"/>
                <w:sz w:val="18"/>
                <w:szCs w:val="18"/>
              </w:rPr>
            </w:pPr>
            <w:r>
              <w:rPr>
                <w:rFonts w:hint="eastAsia"/>
                <w:color w:val="000000"/>
                <w:sz w:val="18"/>
                <w:szCs w:val="18"/>
              </w:rPr>
              <w:t>博物馆文化创意开发</w:t>
            </w:r>
          </w:p>
        </w:tc>
        <w:tc>
          <w:tcPr>
            <w:tcW w:w="1081" w:type="dxa"/>
            <w:vAlign w:val="center"/>
          </w:tcPr>
          <w:p w14:paraId="66109411">
            <w:pPr>
              <w:adjustRightInd w:val="0"/>
              <w:snapToGrid w:val="0"/>
              <w:spacing w:line="360" w:lineRule="auto"/>
              <w:rPr>
                <w:szCs w:val="21"/>
              </w:rPr>
            </w:pPr>
            <w:r>
              <w:rPr>
                <w:rFonts w:hint="eastAsia"/>
                <w:sz w:val="18"/>
                <w:szCs w:val="18"/>
              </w:rPr>
              <w:t>ZS19052</w:t>
            </w:r>
            <w:r>
              <w:rPr>
                <w:sz w:val="18"/>
                <w:szCs w:val="18"/>
              </w:rPr>
              <w:t>12</w:t>
            </w:r>
          </w:p>
        </w:tc>
        <w:tc>
          <w:tcPr>
            <w:tcW w:w="709" w:type="dxa"/>
            <w:vAlign w:val="center"/>
          </w:tcPr>
          <w:p w14:paraId="250D3E8C">
            <w:pPr>
              <w:spacing w:line="360" w:lineRule="auto"/>
              <w:jc w:val="center"/>
              <w:rPr>
                <w:color w:val="000000"/>
                <w:szCs w:val="21"/>
              </w:rPr>
            </w:pPr>
            <w:r>
              <w:rPr>
                <w:rFonts w:hint="eastAsia"/>
                <w:color w:val="000000"/>
                <w:sz w:val="18"/>
                <w:szCs w:val="18"/>
              </w:rPr>
              <w:t>2</w:t>
            </w:r>
          </w:p>
        </w:tc>
        <w:tc>
          <w:tcPr>
            <w:tcW w:w="709" w:type="dxa"/>
            <w:vAlign w:val="center"/>
          </w:tcPr>
          <w:p w14:paraId="082549B2">
            <w:pPr>
              <w:spacing w:line="360" w:lineRule="auto"/>
              <w:jc w:val="center"/>
              <w:rPr>
                <w:color w:val="000000"/>
                <w:szCs w:val="21"/>
              </w:rPr>
            </w:pPr>
            <w:r>
              <w:rPr>
                <w:rFonts w:hint="eastAsia"/>
                <w:color w:val="000000"/>
                <w:sz w:val="18"/>
                <w:szCs w:val="18"/>
              </w:rPr>
              <w:t>2</w:t>
            </w:r>
          </w:p>
        </w:tc>
        <w:tc>
          <w:tcPr>
            <w:tcW w:w="1045" w:type="dxa"/>
            <w:vMerge w:val="continue"/>
            <w:vAlign w:val="center"/>
          </w:tcPr>
          <w:p w14:paraId="1988D40F">
            <w:pPr>
              <w:adjustRightInd w:val="0"/>
              <w:snapToGrid w:val="0"/>
              <w:spacing w:line="360" w:lineRule="auto"/>
              <w:rPr>
                <w:color w:val="000000"/>
                <w:szCs w:val="21"/>
              </w:rPr>
            </w:pPr>
          </w:p>
        </w:tc>
      </w:tr>
      <w:tr w14:paraId="2413F0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571" w:type="dxa"/>
            <w:vMerge w:val="continue"/>
          </w:tcPr>
          <w:p w14:paraId="66A1BB11">
            <w:pPr>
              <w:adjustRightInd w:val="0"/>
              <w:snapToGrid w:val="0"/>
              <w:spacing w:line="360" w:lineRule="auto"/>
            </w:pPr>
          </w:p>
        </w:tc>
        <w:tc>
          <w:tcPr>
            <w:tcW w:w="1226" w:type="dxa"/>
            <w:vMerge w:val="continue"/>
          </w:tcPr>
          <w:p w14:paraId="65926712">
            <w:pPr>
              <w:adjustRightInd w:val="0"/>
              <w:snapToGrid w:val="0"/>
              <w:spacing w:line="360" w:lineRule="auto"/>
            </w:pPr>
          </w:p>
        </w:tc>
        <w:tc>
          <w:tcPr>
            <w:tcW w:w="3516" w:type="dxa"/>
            <w:vAlign w:val="center"/>
          </w:tcPr>
          <w:p w14:paraId="3C890CF5">
            <w:pPr>
              <w:adjustRightInd w:val="0"/>
              <w:snapToGrid w:val="0"/>
              <w:spacing w:line="360" w:lineRule="auto"/>
              <w:rPr>
                <w:color w:val="000000"/>
                <w:sz w:val="18"/>
                <w:szCs w:val="18"/>
              </w:rPr>
            </w:pPr>
            <w:r>
              <w:rPr>
                <w:rFonts w:hint="eastAsia"/>
                <w:color w:val="000000"/>
                <w:sz w:val="18"/>
                <w:szCs w:val="18"/>
              </w:rPr>
              <w:t>革命文物研究</w:t>
            </w:r>
          </w:p>
        </w:tc>
        <w:tc>
          <w:tcPr>
            <w:tcW w:w="1081" w:type="dxa"/>
            <w:vAlign w:val="center"/>
          </w:tcPr>
          <w:p w14:paraId="70C2F0A9">
            <w:pPr>
              <w:adjustRightInd w:val="0"/>
              <w:snapToGrid w:val="0"/>
              <w:spacing w:line="360" w:lineRule="auto"/>
              <w:rPr>
                <w:sz w:val="18"/>
                <w:szCs w:val="18"/>
              </w:rPr>
            </w:pPr>
            <w:r>
              <w:rPr>
                <w:rFonts w:hint="eastAsia"/>
                <w:sz w:val="18"/>
                <w:szCs w:val="18"/>
              </w:rPr>
              <w:t>ZS19052</w:t>
            </w:r>
            <w:r>
              <w:rPr>
                <w:sz w:val="18"/>
                <w:szCs w:val="18"/>
              </w:rPr>
              <w:t>17</w:t>
            </w:r>
          </w:p>
        </w:tc>
        <w:tc>
          <w:tcPr>
            <w:tcW w:w="709" w:type="dxa"/>
            <w:vAlign w:val="center"/>
          </w:tcPr>
          <w:p w14:paraId="0197858D">
            <w:pPr>
              <w:spacing w:line="360" w:lineRule="auto"/>
              <w:jc w:val="center"/>
              <w:rPr>
                <w:color w:val="000000"/>
                <w:sz w:val="18"/>
                <w:szCs w:val="18"/>
              </w:rPr>
            </w:pPr>
            <w:r>
              <w:rPr>
                <w:rFonts w:hint="eastAsia"/>
                <w:color w:val="000000"/>
                <w:sz w:val="18"/>
                <w:szCs w:val="18"/>
              </w:rPr>
              <w:t>2</w:t>
            </w:r>
          </w:p>
        </w:tc>
        <w:tc>
          <w:tcPr>
            <w:tcW w:w="709" w:type="dxa"/>
            <w:vAlign w:val="center"/>
          </w:tcPr>
          <w:p w14:paraId="2CEB12F8">
            <w:pPr>
              <w:spacing w:line="360" w:lineRule="auto"/>
              <w:jc w:val="center"/>
              <w:rPr>
                <w:color w:val="000000"/>
                <w:sz w:val="18"/>
                <w:szCs w:val="18"/>
              </w:rPr>
            </w:pPr>
            <w:r>
              <w:rPr>
                <w:rFonts w:hint="eastAsia"/>
                <w:color w:val="000000"/>
                <w:sz w:val="18"/>
                <w:szCs w:val="18"/>
              </w:rPr>
              <w:t>2</w:t>
            </w:r>
          </w:p>
        </w:tc>
        <w:tc>
          <w:tcPr>
            <w:tcW w:w="1045" w:type="dxa"/>
            <w:vMerge w:val="continue"/>
            <w:vAlign w:val="center"/>
          </w:tcPr>
          <w:p w14:paraId="51437608">
            <w:pPr>
              <w:adjustRightInd w:val="0"/>
              <w:snapToGrid w:val="0"/>
              <w:spacing w:line="360" w:lineRule="auto"/>
              <w:rPr>
                <w:color w:val="000000"/>
                <w:szCs w:val="21"/>
              </w:rPr>
            </w:pPr>
          </w:p>
        </w:tc>
      </w:tr>
      <w:tr w14:paraId="569C17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2BF4B998">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6680B6BC">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72EF452D">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p w14:paraId="603DCB5A">
            <w:pPr>
              <w:spacing w:line="360" w:lineRule="auto"/>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（1学分）</w:t>
            </w:r>
          </w:p>
        </w:tc>
        <w:tc>
          <w:tcPr>
            <w:tcW w:w="3516" w:type="dxa"/>
            <w:vAlign w:val="center"/>
          </w:tcPr>
          <w:p w14:paraId="3DAF2D36">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04665194">
            <w:pPr>
              <w:spacing w:line="360" w:lineRule="auto"/>
              <w:jc w:val="center"/>
              <w:rPr>
                <w:color w:val="000000" w:themeColor="text1"/>
                <w:sz w:val="18"/>
                <w:szCs w:val="18"/>
                <w14:textFill>
                  <w14:solidFill>
                    <w14:schemeClr w14:val="tx1"/>
                  </w14:solidFill>
                </w14:textFill>
              </w:rPr>
            </w:pPr>
          </w:p>
        </w:tc>
        <w:tc>
          <w:tcPr>
            <w:tcW w:w="709" w:type="dxa"/>
            <w:vAlign w:val="center"/>
          </w:tcPr>
          <w:p w14:paraId="64544FE3">
            <w:pPr>
              <w:spacing w:line="360" w:lineRule="auto"/>
              <w:jc w:val="center"/>
              <w:rPr>
                <w:color w:val="000000" w:themeColor="text1"/>
                <w:sz w:val="18"/>
                <w:szCs w:val="18"/>
                <w14:textFill>
                  <w14:solidFill>
                    <w14:schemeClr w14:val="tx1"/>
                  </w14:solidFill>
                </w14:textFill>
              </w:rPr>
            </w:pPr>
          </w:p>
        </w:tc>
        <w:tc>
          <w:tcPr>
            <w:tcW w:w="709" w:type="dxa"/>
            <w:vAlign w:val="center"/>
          </w:tcPr>
          <w:p w14:paraId="1189AF5A">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6A18DB25">
            <w:pPr>
              <w:spacing w:line="360" w:lineRule="auto"/>
              <w:jc w:val="center"/>
              <w:rPr>
                <w:i/>
                <w:color w:val="FF0000"/>
                <w:sz w:val="18"/>
                <w:szCs w:val="18"/>
              </w:rPr>
            </w:pPr>
          </w:p>
        </w:tc>
      </w:tr>
      <w:tr w14:paraId="12BB59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D35A36F">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4DCBAC58">
            <w:pPr>
              <w:spacing w:line="360" w:lineRule="auto"/>
              <w:jc w:val="center"/>
              <w:rPr>
                <w:b/>
                <w:color w:val="000000" w:themeColor="text1"/>
                <w:sz w:val="18"/>
                <w:szCs w:val="18"/>
                <w14:textFill>
                  <w14:solidFill>
                    <w14:schemeClr w14:val="tx1"/>
                  </w14:solidFill>
                </w14:textFill>
              </w:rPr>
            </w:pPr>
          </w:p>
        </w:tc>
        <w:tc>
          <w:tcPr>
            <w:tcW w:w="3516" w:type="dxa"/>
            <w:vAlign w:val="center"/>
          </w:tcPr>
          <w:p w14:paraId="199F8FB3">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学术/实践活动</w:t>
            </w:r>
          </w:p>
        </w:tc>
        <w:tc>
          <w:tcPr>
            <w:tcW w:w="1081" w:type="dxa"/>
            <w:vAlign w:val="center"/>
          </w:tcPr>
          <w:p w14:paraId="195896CD">
            <w:pPr>
              <w:spacing w:line="360" w:lineRule="auto"/>
              <w:jc w:val="center"/>
              <w:rPr>
                <w:color w:val="000000" w:themeColor="text1"/>
                <w:sz w:val="18"/>
                <w:szCs w:val="18"/>
                <w14:textFill>
                  <w14:solidFill>
                    <w14:schemeClr w14:val="tx1"/>
                  </w14:solidFill>
                </w14:textFill>
              </w:rPr>
            </w:pPr>
          </w:p>
        </w:tc>
        <w:tc>
          <w:tcPr>
            <w:tcW w:w="709" w:type="dxa"/>
            <w:vAlign w:val="center"/>
          </w:tcPr>
          <w:p w14:paraId="769E08F7">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7CAEB69">
            <w:pPr>
              <w:spacing w:line="360" w:lineRule="auto"/>
              <w:jc w:val="center"/>
              <w:rPr>
                <w:color w:val="000000" w:themeColor="text1"/>
                <w:sz w:val="18"/>
                <w:szCs w:val="18"/>
                <w14:textFill>
                  <w14:solidFill>
                    <w14:schemeClr w14:val="tx1"/>
                  </w14:solidFill>
                </w14:textFill>
              </w:rPr>
            </w:pPr>
          </w:p>
        </w:tc>
        <w:tc>
          <w:tcPr>
            <w:tcW w:w="1045" w:type="dxa"/>
            <w:vMerge w:val="continue"/>
            <w:vAlign w:val="center"/>
          </w:tcPr>
          <w:p w14:paraId="2EB5E267">
            <w:pPr>
              <w:spacing w:line="360" w:lineRule="auto"/>
              <w:jc w:val="center"/>
              <w:rPr>
                <w:color w:val="000000" w:themeColor="text1"/>
                <w:sz w:val="18"/>
                <w:szCs w:val="18"/>
                <w14:textFill>
                  <w14:solidFill>
                    <w14:schemeClr w14:val="tx1"/>
                  </w14:solidFill>
                </w14:textFill>
              </w:rPr>
            </w:pPr>
          </w:p>
        </w:tc>
      </w:tr>
      <w:tr w14:paraId="135E6D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5D5DD9">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70E6323C">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4A2210EC">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17F00195">
            <w:pPr>
              <w:spacing w:line="360" w:lineRule="auto"/>
              <w:jc w:val="center"/>
              <w:rPr>
                <w:color w:val="000000" w:themeColor="text1"/>
                <w:sz w:val="18"/>
                <w:szCs w:val="18"/>
                <w14:textFill>
                  <w14:solidFill>
                    <w14:schemeClr w14:val="tx1"/>
                  </w14:solidFill>
                </w14:textFill>
              </w:rPr>
            </w:pPr>
          </w:p>
        </w:tc>
        <w:tc>
          <w:tcPr>
            <w:tcW w:w="709" w:type="dxa"/>
            <w:vAlign w:val="center"/>
          </w:tcPr>
          <w:p w14:paraId="6D796E6B">
            <w:pPr>
              <w:spacing w:line="360" w:lineRule="auto"/>
              <w:jc w:val="center"/>
              <w:rPr>
                <w:color w:val="000000" w:themeColor="text1"/>
                <w:sz w:val="18"/>
                <w:szCs w:val="18"/>
                <w14:textFill>
                  <w14:solidFill>
                    <w14:schemeClr w14:val="tx1"/>
                  </w14:solidFill>
                </w14:textFill>
              </w:rPr>
            </w:pPr>
          </w:p>
        </w:tc>
        <w:tc>
          <w:tcPr>
            <w:tcW w:w="709" w:type="dxa"/>
            <w:vAlign w:val="center"/>
          </w:tcPr>
          <w:p w14:paraId="668DEF09">
            <w:pPr>
              <w:spacing w:line="360" w:lineRule="auto"/>
              <w:jc w:val="center"/>
              <w:rPr>
                <w:color w:val="000000" w:themeColor="text1"/>
                <w:sz w:val="18"/>
                <w:szCs w:val="18"/>
                <w14:textFill>
                  <w14:solidFill>
                    <w14:schemeClr w14:val="tx1"/>
                  </w14:solidFill>
                </w14:textFill>
              </w:rPr>
            </w:pPr>
            <w:bookmarkStart w:id="6" w:name="_GoBack"/>
            <w:bookmarkEnd w:id="6"/>
            <w:r>
              <w:rPr>
                <w:rFonts w:hint="eastAsia"/>
                <w:iCs/>
                <w:sz w:val="18"/>
                <w:szCs w:val="18"/>
              </w:rPr>
              <w:t>3</w:t>
            </w:r>
          </w:p>
        </w:tc>
        <w:tc>
          <w:tcPr>
            <w:tcW w:w="1045" w:type="dxa"/>
            <w:vMerge w:val="restart"/>
            <w:vAlign w:val="center"/>
          </w:tcPr>
          <w:p w14:paraId="6E182953">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2FF63510">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6F2FC9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9A7973">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4931F6FC">
            <w:pPr>
              <w:spacing w:line="360" w:lineRule="auto"/>
              <w:jc w:val="center"/>
              <w:rPr>
                <w:b/>
                <w:color w:val="000000" w:themeColor="text1"/>
                <w:sz w:val="18"/>
                <w:szCs w:val="18"/>
                <w14:textFill>
                  <w14:solidFill>
                    <w14:schemeClr w14:val="tx1"/>
                  </w14:solidFill>
                </w14:textFill>
              </w:rPr>
            </w:pPr>
          </w:p>
        </w:tc>
        <w:tc>
          <w:tcPr>
            <w:tcW w:w="3516" w:type="dxa"/>
            <w:vAlign w:val="center"/>
          </w:tcPr>
          <w:p w14:paraId="1CDD02F5">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65C72993">
            <w:pPr>
              <w:spacing w:line="360" w:lineRule="auto"/>
              <w:jc w:val="center"/>
              <w:rPr>
                <w:color w:val="000000" w:themeColor="text1"/>
                <w:sz w:val="18"/>
                <w:szCs w:val="18"/>
                <w14:textFill>
                  <w14:solidFill>
                    <w14:schemeClr w14:val="tx1"/>
                  </w14:solidFill>
                </w14:textFill>
              </w:rPr>
            </w:pPr>
          </w:p>
        </w:tc>
        <w:tc>
          <w:tcPr>
            <w:tcW w:w="709" w:type="dxa"/>
            <w:vAlign w:val="center"/>
          </w:tcPr>
          <w:p w14:paraId="2492CB90">
            <w:pPr>
              <w:spacing w:line="360" w:lineRule="auto"/>
              <w:jc w:val="center"/>
              <w:rPr>
                <w:color w:val="000000" w:themeColor="text1"/>
                <w:sz w:val="18"/>
                <w:szCs w:val="18"/>
                <w14:textFill>
                  <w14:solidFill>
                    <w14:schemeClr w14:val="tx1"/>
                  </w14:solidFill>
                </w14:textFill>
              </w:rPr>
            </w:pPr>
          </w:p>
        </w:tc>
        <w:tc>
          <w:tcPr>
            <w:tcW w:w="709" w:type="dxa"/>
            <w:vAlign w:val="center"/>
          </w:tcPr>
          <w:p w14:paraId="2E982104">
            <w:pPr>
              <w:spacing w:line="360" w:lineRule="auto"/>
              <w:jc w:val="center"/>
              <w:rPr>
                <w:color w:val="000000" w:themeColor="text1"/>
                <w:sz w:val="18"/>
                <w:szCs w:val="18"/>
                <w14:textFill>
                  <w14:solidFill>
                    <w14:schemeClr w14:val="tx1"/>
                  </w14:solidFill>
                </w14:textFill>
              </w:rPr>
            </w:pPr>
            <w:r>
              <w:rPr>
                <w:rFonts w:hint="eastAsia"/>
                <w:iCs/>
                <w:sz w:val="18"/>
                <w:szCs w:val="18"/>
                <w:lang w:val="en-US" w:eastAsia="zh-CN"/>
              </w:rPr>
              <w:t>3-</w:t>
            </w:r>
            <w:r>
              <w:rPr>
                <w:rFonts w:hint="eastAsia"/>
                <w:iCs/>
                <w:sz w:val="18"/>
                <w:szCs w:val="18"/>
              </w:rPr>
              <w:t>4</w:t>
            </w:r>
          </w:p>
        </w:tc>
        <w:tc>
          <w:tcPr>
            <w:tcW w:w="1045" w:type="dxa"/>
            <w:vMerge w:val="continue"/>
            <w:vAlign w:val="center"/>
          </w:tcPr>
          <w:p w14:paraId="1D3757CB">
            <w:pPr>
              <w:spacing w:line="360" w:lineRule="auto"/>
              <w:jc w:val="center"/>
              <w:rPr>
                <w:color w:val="000000" w:themeColor="text1"/>
                <w:sz w:val="18"/>
                <w:szCs w:val="18"/>
                <w14:textFill>
                  <w14:solidFill>
                    <w14:schemeClr w14:val="tx1"/>
                  </w14:solidFill>
                </w14:textFill>
              </w:rPr>
            </w:pPr>
          </w:p>
        </w:tc>
      </w:tr>
      <w:tr w14:paraId="43BFE2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46D484">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135392EA">
            <w:pPr>
              <w:spacing w:line="360" w:lineRule="auto"/>
              <w:jc w:val="center"/>
              <w:rPr>
                <w:b/>
                <w:color w:val="000000" w:themeColor="text1"/>
                <w:sz w:val="18"/>
                <w:szCs w:val="18"/>
                <w14:textFill>
                  <w14:solidFill>
                    <w14:schemeClr w14:val="tx1"/>
                  </w14:solidFill>
                </w14:textFill>
              </w:rPr>
            </w:pPr>
          </w:p>
        </w:tc>
        <w:tc>
          <w:tcPr>
            <w:tcW w:w="3516" w:type="dxa"/>
            <w:vAlign w:val="center"/>
          </w:tcPr>
          <w:p w14:paraId="0837CF03">
            <w:pPr>
              <w:spacing w:line="360" w:lineRule="auto"/>
              <w:rPr>
                <w:sz w:val="18"/>
                <w:szCs w:val="18"/>
              </w:rPr>
            </w:pPr>
            <w:r>
              <w:rPr>
                <w:sz w:val="18"/>
                <w:szCs w:val="18"/>
              </w:rPr>
              <w:t>论文中期进展报告</w:t>
            </w:r>
          </w:p>
        </w:tc>
        <w:tc>
          <w:tcPr>
            <w:tcW w:w="1081" w:type="dxa"/>
            <w:vAlign w:val="center"/>
          </w:tcPr>
          <w:p w14:paraId="600D5BD0">
            <w:pPr>
              <w:spacing w:line="360" w:lineRule="auto"/>
              <w:jc w:val="center"/>
              <w:rPr>
                <w:color w:val="000000" w:themeColor="text1"/>
                <w:sz w:val="18"/>
                <w:szCs w:val="18"/>
                <w14:textFill>
                  <w14:solidFill>
                    <w14:schemeClr w14:val="tx1"/>
                  </w14:solidFill>
                </w14:textFill>
              </w:rPr>
            </w:pPr>
          </w:p>
        </w:tc>
        <w:tc>
          <w:tcPr>
            <w:tcW w:w="709" w:type="dxa"/>
            <w:vAlign w:val="center"/>
          </w:tcPr>
          <w:p w14:paraId="7B881D77">
            <w:pPr>
              <w:spacing w:line="360" w:lineRule="auto"/>
              <w:jc w:val="center"/>
              <w:rPr>
                <w:color w:val="000000" w:themeColor="text1"/>
                <w:sz w:val="18"/>
                <w:szCs w:val="18"/>
                <w14:textFill>
                  <w14:solidFill>
                    <w14:schemeClr w14:val="tx1"/>
                  </w14:solidFill>
                </w14:textFill>
              </w:rPr>
            </w:pPr>
          </w:p>
        </w:tc>
        <w:tc>
          <w:tcPr>
            <w:tcW w:w="709" w:type="dxa"/>
            <w:vAlign w:val="center"/>
          </w:tcPr>
          <w:p w14:paraId="2FDF5571">
            <w:pPr>
              <w:spacing w:line="360" w:lineRule="auto"/>
              <w:jc w:val="center"/>
              <w:rPr>
                <w:color w:val="000000" w:themeColor="text1"/>
                <w:sz w:val="18"/>
                <w:szCs w:val="18"/>
                <w14:textFill>
                  <w14:solidFill>
                    <w14:schemeClr w14:val="tx1"/>
                  </w14:solidFill>
                </w14:textFill>
              </w:rPr>
            </w:pPr>
            <w:r>
              <w:rPr>
                <w:rFonts w:hint="eastAsia"/>
                <w:iCs/>
                <w:sz w:val="18"/>
                <w:szCs w:val="18"/>
              </w:rPr>
              <w:t>5</w:t>
            </w:r>
          </w:p>
        </w:tc>
        <w:tc>
          <w:tcPr>
            <w:tcW w:w="1045" w:type="dxa"/>
            <w:vMerge w:val="continue"/>
          </w:tcPr>
          <w:p w14:paraId="25DDA998">
            <w:pPr>
              <w:spacing w:line="360" w:lineRule="auto"/>
              <w:jc w:val="center"/>
              <w:rPr>
                <w:color w:val="000000" w:themeColor="text1"/>
                <w:sz w:val="18"/>
                <w:szCs w:val="18"/>
                <w14:textFill>
                  <w14:solidFill>
                    <w14:schemeClr w14:val="tx1"/>
                  </w14:solidFill>
                </w14:textFill>
              </w:rPr>
            </w:pPr>
          </w:p>
        </w:tc>
      </w:tr>
      <w:tr w14:paraId="22DFC0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4E9D54">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69F66C3D">
            <w:pPr>
              <w:spacing w:line="360" w:lineRule="auto"/>
              <w:jc w:val="center"/>
              <w:rPr>
                <w:b/>
                <w:color w:val="000000" w:themeColor="text1"/>
                <w:sz w:val="18"/>
                <w:szCs w:val="18"/>
                <w14:textFill>
                  <w14:solidFill>
                    <w14:schemeClr w14:val="tx1"/>
                  </w14:solidFill>
                </w14:textFill>
              </w:rPr>
            </w:pPr>
          </w:p>
        </w:tc>
        <w:tc>
          <w:tcPr>
            <w:tcW w:w="3516" w:type="dxa"/>
            <w:vAlign w:val="center"/>
          </w:tcPr>
          <w:p w14:paraId="2DA3605D">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6FB4A174">
            <w:pPr>
              <w:spacing w:line="360" w:lineRule="auto"/>
              <w:jc w:val="center"/>
              <w:rPr>
                <w:color w:val="000000" w:themeColor="text1"/>
                <w:sz w:val="18"/>
                <w:szCs w:val="18"/>
                <w14:textFill>
                  <w14:solidFill>
                    <w14:schemeClr w14:val="tx1"/>
                  </w14:solidFill>
                </w14:textFill>
              </w:rPr>
            </w:pPr>
          </w:p>
        </w:tc>
        <w:tc>
          <w:tcPr>
            <w:tcW w:w="709" w:type="dxa"/>
            <w:vAlign w:val="center"/>
          </w:tcPr>
          <w:p w14:paraId="7FA2DEE4">
            <w:pPr>
              <w:spacing w:line="360" w:lineRule="auto"/>
              <w:jc w:val="center"/>
              <w:rPr>
                <w:color w:val="000000" w:themeColor="text1"/>
                <w:sz w:val="18"/>
                <w:szCs w:val="18"/>
                <w14:textFill>
                  <w14:solidFill>
                    <w14:schemeClr w14:val="tx1"/>
                  </w14:solidFill>
                </w14:textFill>
              </w:rPr>
            </w:pPr>
          </w:p>
        </w:tc>
        <w:tc>
          <w:tcPr>
            <w:tcW w:w="709" w:type="dxa"/>
            <w:vAlign w:val="center"/>
          </w:tcPr>
          <w:p w14:paraId="264DC57E">
            <w:pPr>
              <w:spacing w:line="360" w:lineRule="auto"/>
              <w:jc w:val="center"/>
              <w:rPr>
                <w:color w:val="000000" w:themeColor="text1"/>
                <w:sz w:val="18"/>
                <w:szCs w:val="18"/>
                <w14:textFill>
                  <w14:solidFill>
                    <w14:schemeClr w14:val="tx1"/>
                  </w14:solidFill>
                </w14:textFill>
              </w:rPr>
            </w:pPr>
            <w:r>
              <w:rPr>
                <w:rFonts w:hint="eastAsia"/>
                <w:iCs/>
                <w:sz w:val="18"/>
                <w:szCs w:val="18"/>
              </w:rPr>
              <w:t>6</w:t>
            </w:r>
          </w:p>
        </w:tc>
        <w:tc>
          <w:tcPr>
            <w:tcW w:w="1045" w:type="dxa"/>
            <w:vMerge w:val="continue"/>
          </w:tcPr>
          <w:p w14:paraId="109E4593">
            <w:pPr>
              <w:spacing w:line="360" w:lineRule="auto"/>
              <w:jc w:val="center"/>
              <w:rPr>
                <w:color w:val="000000" w:themeColor="text1"/>
                <w:sz w:val="18"/>
                <w:szCs w:val="18"/>
                <w14:textFill>
                  <w14:solidFill>
                    <w14:schemeClr w14:val="tx1"/>
                  </w14:solidFill>
                </w14:textFill>
              </w:rPr>
            </w:pPr>
          </w:p>
        </w:tc>
      </w:tr>
      <w:tr w14:paraId="647D66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CF6BB6B">
            <w:pPr>
              <w:spacing w:line="360" w:lineRule="auto"/>
              <w:rPr>
                <w:color w:val="000000" w:themeColor="text1"/>
                <w:sz w:val="18"/>
                <w:szCs w:val="18"/>
                <w14:textFill>
                  <w14:solidFill>
                    <w14:schemeClr w14:val="tx1"/>
                  </w14:solidFill>
                </w14:textFill>
              </w:rPr>
            </w:pPr>
          </w:p>
        </w:tc>
        <w:tc>
          <w:tcPr>
            <w:tcW w:w="1226" w:type="dxa"/>
            <w:vMerge w:val="continue"/>
          </w:tcPr>
          <w:p w14:paraId="2080EF9C">
            <w:pPr>
              <w:spacing w:line="360" w:lineRule="auto"/>
              <w:jc w:val="center"/>
              <w:rPr>
                <w:color w:val="000000" w:themeColor="text1"/>
                <w:sz w:val="18"/>
                <w:szCs w:val="18"/>
                <w14:textFill>
                  <w14:solidFill>
                    <w14:schemeClr w14:val="tx1"/>
                  </w14:solidFill>
                </w14:textFill>
              </w:rPr>
            </w:pPr>
          </w:p>
        </w:tc>
        <w:tc>
          <w:tcPr>
            <w:tcW w:w="3516" w:type="dxa"/>
            <w:vAlign w:val="center"/>
          </w:tcPr>
          <w:p w14:paraId="0D74F157">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5A5B5CE3">
            <w:pPr>
              <w:spacing w:line="360" w:lineRule="auto"/>
              <w:jc w:val="center"/>
              <w:rPr>
                <w:color w:val="000000" w:themeColor="text1"/>
                <w:sz w:val="18"/>
                <w:szCs w:val="18"/>
                <w14:textFill>
                  <w14:solidFill>
                    <w14:schemeClr w14:val="tx1"/>
                  </w14:solidFill>
                </w14:textFill>
              </w:rPr>
            </w:pPr>
          </w:p>
        </w:tc>
        <w:tc>
          <w:tcPr>
            <w:tcW w:w="709" w:type="dxa"/>
            <w:vAlign w:val="center"/>
          </w:tcPr>
          <w:p w14:paraId="7E0758D6">
            <w:pPr>
              <w:spacing w:line="360" w:lineRule="auto"/>
              <w:jc w:val="center"/>
              <w:rPr>
                <w:color w:val="000000" w:themeColor="text1"/>
                <w:sz w:val="18"/>
                <w:szCs w:val="18"/>
                <w14:textFill>
                  <w14:solidFill>
                    <w14:schemeClr w14:val="tx1"/>
                  </w14:solidFill>
                </w14:textFill>
              </w:rPr>
            </w:pPr>
          </w:p>
        </w:tc>
        <w:tc>
          <w:tcPr>
            <w:tcW w:w="709" w:type="dxa"/>
            <w:vAlign w:val="center"/>
          </w:tcPr>
          <w:p w14:paraId="7AE80AEA">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32F7B8E8">
            <w:pPr>
              <w:spacing w:line="360" w:lineRule="auto"/>
              <w:jc w:val="center"/>
              <w:rPr>
                <w:color w:val="000000" w:themeColor="text1"/>
                <w:sz w:val="18"/>
                <w:szCs w:val="18"/>
                <w14:textFill>
                  <w14:solidFill>
                    <w14:schemeClr w14:val="tx1"/>
                  </w14:solidFill>
                </w14:textFill>
              </w:rPr>
            </w:pPr>
          </w:p>
        </w:tc>
      </w:tr>
      <w:tr w14:paraId="747B3A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D36FD6">
            <w:pPr>
              <w:spacing w:line="360" w:lineRule="auto"/>
              <w:rPr>
                <w:color w:val="000000" w:themeColor="text1"/>
                <w:sz w:val="18"/>
                <w:szCs w:val="18"/>
                <w14:textFill>
                  <w14:solidFill>
                    <w14:schemeClr w14:val="tx1"/>
                  </w14:solidFill>
                </w14:textFill>
              </w:rPr>
            </w:pPr>
          </w:p>
        </w:tc>
        <w:tc>
          <w:tcPr>
            <w:tcW w:w="1226" w:type="dxa"/>
            <w:vMerge w:val="continue"/>
          </w:tcPr>
          <w:p w14:paraId="7F7624F4">
            <w:pPr>
              <w:spacing w:line="360" w:lineRule="auto"/>
              <w:jc w:val="center"/>
              <w:rPr>
                <w:color w:val="000000" w:themeColor="text1"/>
                <w:sz w:val="18"/>
                <w:szCs w:val="18"/>
                <w14:textFill>
                  <w14:solidFill>
                    <w14:schemeClr w14:val="tx1"/>
                  </w14:solidFill>
                </w14:textFill>
              </w:rPr>
            </w:pPr>
          </w:p>
        </w:tc>
        <w:tc>
          <w:tcPr>
            <w:tcW w:w="3516" w:type="dxa"/>
            <w:vAlign w:val="center"/>
          </w:tcPr>
          <w:p w14:paraId="72749807">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DF93A40">
            <w:pPr>
              <w:spacing w:line="360" w:lineRule="auto"/>
              <w:jc w:val="center"/>
              <w:rPr>
                <w:color w:val="000000" w:themeColor="text1"/>
                <w:sz w:val="18"/>
                <w:szCs w:val="18"/>
                <w14:textFill>
                  <w14:solidFill>
                    <w14:schemeClr w14:val="tx1"/>
                  </w14:solidFill>
                </w14:textFill>
              </w:rPr>
            </w:pPr>
          </w:p>
        </w:tc>
        <w:tc>
          <w:tcPr>
            <w:tcW w:w="709" w:type="dxa"/>
            <w:vAlign w:val="center"/>
          </w:tcPr>
          <w:p w14:paraId="5D3CB73D">
            <w:pPr>
              <w:spacing w:line="360" w:lineRule="auto"/>
              <w:jc w:val="center"/>
              <w:rPr>
                <w:color w:val="000000" w:themeColor="text1"/>
                <w:sz w:val="18"/>
                <w:szCs w:val="18"/>
                <w14:textFill>
                  <w14:solidFill>
                    <w14:schemeClr w14:val="tx1"/>
                  </w14:solidFill>
                </w14:textFill>
              </w:rPr>
            </w:pPr>
          </w:p>
        </w:tc>
        <w:tc>
          <w:tcPr>
            <w:tcW w:w="709" w:type="dxa"/>
            <w:vAlign w:val="center"/>
          </w:tcPr>
          <w:p w14:paraId="7D4E8117">
            <w:pPr>
              <w:spacing w:line="360" w:lineRule="auto"/>
              <w:jc w:val="center"/>
              <w:rPr>
                <w:color w:val="000000" w:themeColor="text1"/>
                <w:sz w:val="18"/>
                <w:szCs w:val="18"/>
                <w14:textFill>
                  <w14:solidFill>
                    <w14:schemeClr w14:val="tx1"/>
                  </w14:solidFill>
                </w14:textFill>
              </w:rPr>
            </w:pPr>
            <w:r>
              <w:rPr>
                <w:rFonts w:hint="eastAsia"/>
                <w:iCs/>
                <w:sz w:val="18"/>
                <w:szCs w:val="18"/>
              </w:rPr>
              <w:t>6</w:t>
            </w:r>
          </w:p>
        </w:tc>
        <w:tc>
          <w:tcPr>
            <w:tcW w:w="1045" w:type="dxa"/>
            <w:vMerge w:val="continue"/>
          </w:tcPr>
          <w:p w14:paraId="47BB38B4">
            <w:pPr>
              <w:spacing w:line="360" w:lineRule="auto"/>
              <w:jc w:val="center"/>
              <w:rPr>
                <w:color w:val="000000" w:themeColor="text1"/>
                <w:sz w:val="18"/>
                <w:szCs w:val="18"/>
                <w14:textFill>
                  <w14:solidFill>
                    <w14:schemeClr w14:val="tx1"/>
                  </w14:solidFill>
                </w14:textFill>
              </w:rPr>
            </w:pPr>
          </w:p>
        </w:tc>
      </w:tr>
    </w:tbl>
    <w:p w14:paraId="3E4AB9D7">
      <w:pPr>
        <w:spacing w:line="360" w:lineRule="auto"/>
        <w:ind w:firstLine="480" w:firstLineChars="200"/>
        <w:rPr>
          <w:rFonts w:eastAsiaTheme="minorEastAsia"/>
          <w:bCs/>
          <w:sz w:val="24"/>
        </w:rPr>
      </w:pPr>
      <w:r>
        <w:rPr>
          <w:rFonts w:eastAsiaTheme="minorEastAsia"/>
          <w:bCs/>
          <w:sz w:val="24"/>
        </w:rPr>
        <w:t>*公共外语课程按入学时的外国语考试科目修读相关语种。</w:t>
      </w:r>
    </w:p>
    <w:bookmarkEnd w:id="0"/>
    <w:bookmarkEnd w:id="1"/>
    <w:p w14:paraId="5F19F298">
      <w:pPr>
        <w:spacing w:line="360" w:lineRule="auto"/>
        <w:ind w:firstLine="480" w:firstLineChars="200"/>
        <w:rPr>
          <w:rFonts w:eastAsiaTheme="minorEastAsia"/>
          <w:bCs/>
          <w:sz w:val="24"/>
        </w:rPr>
      </w:pPr>
      <w:r>
        <w:rPr>
          <w:rFonts w:hint="eastAsia" w:asciiTheme="minorEastAsia" w:hAnsiTheme="minorEastAsia" w:eastAsiaTheme="minorEastAsia" w:cstheme="minorEastAsia"/>
          <w:bCs/>
          <w:sz w:val="24"/>
        </w:rPr>
        <w:t>*10人以上专业方向至少1/2人数选修才能开课，10人以下专业方向至少1/3人数选修才能开课。</w:t>
      </w:r>
    </w:p>
    <w:p w14:paraId="6C2CBBC8">
      <w:pPr>
        <w:spacing w:line="360" w:lineRule="auto"/>
        <w:ind w:firstLine="480" w:firstLineChars="200"/>
        <w:rPr>
          <w:rFonts w:eastAsiaTheme="minorEastAsia"/>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0611"/>
    <w:rsid w:val="000C1C39"/>
    <w:rsid w:val="000C1DF1"/>
    <w:rsid w:val="000C229D"/>
    <w:rsid w:val="000C684D"/>
    <w:rsid w:val="000C7109"/>
    <w:rsid w:val="000C7B56"/>
    <w:rsid w:val="000D0856"/>
    <w:rsid w:val="000D0CA9"/>
    <w:rsid w:val="000D1317"/>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55765"/>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2F96"/>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2B21"/>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2C"/>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582B"/>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6A7762"/>
    <w:rsid w:val="07BE26DC"/>
    <w:rsid w:val="13D97F0D"/>
    <w:rsid w:val="141A15A1"/>
    <w:rsid w:val="157F79D2"/>
    <w:rsid w:val="195019D6"/>
    <w:rsid w:val="1FE96C05"/>
    <w:rsid w:val="20642703"/>
    <w:rsid w:val="210668C5"/>
    <w:rsid w:val="235A02EF"/>
    <w:rsid w:val="29B74D3E"/>
    <w:rsid w:val="2D0257E7"/>
    <w:rsid w:val="2D4B38B1"/>
    <w:rsid w:val="2D796670"/>
    <w:rsid w:val="2DEC4ECE"/>
    <w:rsid w:val="2F35116F"/>
    <w:rsid w:val="2FED36D1"/>
    <w:rsid w:val="2FED4137"/>
    <w:rsid w:val="316F6EF9"/>
    <w:rsid w:val="31E1224B"/>
    <w:rsid w:val="33B83428"/>
    <w:rsid w:val="38A74091"/>
    <w:rsid w:val="3B9A7EDD"/>
    <w:rsid w:val="3DBF652F"/>
    <w:rsid w:val="3FA214FB"/>
    <w:rsid w:val="40EE56F4"/>
    <w:rsid w:val="43C52138"/>
    <w:rsid w:val="45163D7D"/>
    <w:rsid w:val="4983027C"/>
    <w:rsid w:val="5385202A"/>
    <w:rsid w:val="5B4759D2"/>
    <w:rsid w:val="5CCD128B"/>
    <w:rsid w:val="5FE8367E"/>
    <w:rsid w:val="628C7CD0"/>
    <w:rsid w:val="67B86DE1"/>
    <w:rsid w:val="68E144D3"/>
    <w:rsid w:val="698B6E93"/>
    <w:rsid w:val="6CC73DBC"/>
    <w:rsid w:val="6F237DB4"/>
    <w:rsid w:val="709F0AE3"/>
    <w:rsid w:val="7230699F"/>
    <w:rsid w:val="7282150D"/>
    <w:rsid w:val="73844DAE"/>
    <w:rsid w:val="73E3016C"/>
    <w:rsid w:val="73E754C0"/>
    <w:rsid w:val="749347B2"/>
    <w:rsid w:val="7BDE026B"/>
    <w:rsid w:val="7CF72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3"/>
    <w:basedOn w:val="1"/>
    <w:next w:val="1"/>
    <w:qFormat/>
    <w:uiPriority w:val="9"/>
    <w:pPr>
      <w:spacing w:line="600" w:lineRule="exact"/>
      <w:ind w:firstLine="640" w:firstLineChars="200"/>
      <w:outlineLvl w:val="2"/>
    </w:pPr>
    <w:rPr>
      <w:rFonts w:ascii="黑体" w:hAnsi="黑体" w:eastAsia="黑体"/>
      <w:color w:val="000000"/>
      <w:szCs w:val="32"/>
    </w:rPr>
  </w:style>
  <w:style w:type="paragraph" w:styleId="5">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0"/>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6"/>
    <w:next w:val="6"/>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字符"/>
    <w:basedOn w:val="14"/>
    <w:link w:val="3"/>
    <w:qFormat/>
    <w:uiPriority w:val="99"/>
    <w:rPr>
      <w:rFonts w:ascii="Cambria" w:hAnsi="Cambria" w:eastAsia="宋体" w:cs="Times New Roman"/>
      <w:b/>
      <w:bCs/>
      <w:sz w:val="32"/>
      <w:szCs w:val="32"/>
    </w:rPr>
  </w:style>
  <w:style w:type="character" w:customStyle="1" w:styleId="18">
    <w:name w:val="标题 1 字符"/>
    <w:basedOn w:val="14"/>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4"/>
    <w:link w:val="6"/>
    <w:semiHidden/>
    <w:qFormat/>
    <w:uiPriority w:val="99"/>
    <w:rPr>
      <w:rFonts w:ascii="Times New Roman" w:hAnsi="Times New Roman" w:eastAsia="宋体" w:cs="Times New Roman"/>
      <w:szCs w:val="24"/>
    </w:rPr>
  </w:style>
  <w:style w:type="character" w:customStyle="1" w:styleId="21">
    <w:name w:val="批注主题 字符"/>
    <w:basedOn w:val="20"/>
    <w:link w:val="11"/>
    <w:semiHidden/>
    <w:qFormat/>
    <w:uiPriority w:val="99"/>
    <w:rPr>
      <w:rFonts w:ascii="Times New Roman" w:hAnsi="Times New Roman" w:eastAsia="宋体" w:cs="Times New Roman"/>
      <w:b/>
      <w:bCs/>
      <w:szCs w:val="24"/>
    </w:rPr>
  </w:style>
  <w:style w:type="character" w:customStyle="1" w:styleId="22">
    <w:name w:val="批注框文本 字符"/>
    <w:basedOn w:val="14"/>
    <w:link w:val="7"/>
    <w:semiHidden/>
    <w:qFormat/>
    <w:uiPriority w:val="99"/>
    <w:rPr>
      <w:rFonts w:ascii="Times New Roman" w:hAnsi="Times New Roman" w:eastAsia="宋体" w:cs="Times New Roman"/>
      <w:sz w:val="18"/>
      <w:szCs w:val="18"/>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4"/>
    <w:link w:val="5"/>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AB6AA-F1A2-4754-961D-3F58847AB453}">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4216</Words>
  <Characters>4424</Characters>
  <Lines>37</Lines>
  <Paragraphs>10</Paragraphs>
  <TotalTime>1</TotalTime>
  <ScaleCrop>false</ScaleCrop>
  <LinksUpToDate>false</LinksUpToDate>
  <CharactersWithSpaces>4428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碧云霜竹Donald</cp:lastModifiedBy>
  <cp:lastPrinted>2025-03-14T03:17:00Z</cp:lastPrinted>
  <dcterms:modified xsi:type="dcterms:W3CDTF">2025-06-13T09:01:11Z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eyJoZGlkIjoiZWZjYTU2NGY2YzY0NDgzNDFkY2NhZTc1YWNkYjhlMWIiLCJ1c2VySWQiOiIyOTQ1NTAzNTgifQ==</vt:lpwstr>
  </property>
  <property fmtid="{D5CDD505-2E9C-101B-9397-08002B2CF9AE}" pid="4" name="ICV">
    <vt:lpwstr>DFD022AF3EF845F29D8EC069CD41CEE0_13</vt:lpwstr>
  </property>
</Properties>
</file>