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31C0E">
      <w:pPr>
        <w:spacing w:line="360" w:lineRule="auto"/>
        <w:ind w:left="321" w:leftChars="153" w:right="227"/>
        <w:jc w:val="center"/>
        <w:rPr>
          <w:rFonts w:hint="eastAsia" w:asciiTheme="majorEastAsia" w:hAnsiTheme="majorEastAsia" w:eastAsiaTheme="majorEastAsia"/>
          <w:b/>
          <w:bCs/>
          <w:iCs/>
          <w:sz w:val="36"/>
          <w:szCs w:val="36"/>
          <w:u w:val="single"/>
        </w:rPr>
      </w:pPr>
    </w:p>
    <w:p w14:paraId="5B7861E4">
      <w:pPr>
        <w:spacing w:line="360" w:lineRule="auto"/>
        <w:ind w:left="321" w:leftChars="153" w:right="227"/>
        <w:jc w:val="center"/>
        <w:rPr>
          <w:rFonts w:hint="eastAsia" w:eastAsia="黑体"/>
          <w:b/>
          <w:bCs/>
          <w:sz w:val="36"/>
          <w:szCs w:val="36"/>
          <w:lang w:val="en-US" w:eastAsia="zh-CN"/>
        </w:rPr>
      </w:pPr>
      <w:r>
        <w:rPr>
          <w:rFonts w:hint="eastAsia" w:eastAsia="黑体"/>
          <w:b/>
          <w:bCs/>
          <w:sz w:val="36"/>
          <w:szCs w:val="36"/>
          <w:u w:val="single"/>
        </w:rPr>
        <w:t>保险</w:t>
      </w:r>
      <w:r>
        <w:rPr>
          <w:rFonts w:hint="eastAsia" w:eastAsia="黑体"/>
          <w:b/>
          <w:bCs/>
          <w:sz w:val="36"/>
          <w:szCs w:val="36"/>
          <w:u w:val="none"/>
          <w:lang w:val="en-US" w:eastAsia="zh-CN"/>
        </w:rPr>
        <w:t>专业</w:t>
      </w:r>
      <w:r>
        <w:rPr>
          <w:rFonts w:hint="eastAsia" w:eastAsia="黑体"/>
          <w:b/>
          <w:bCs/>
          <w:sz w:val="36"/>
          <w:szCs w:val="36"/>
        </w:rPr>
        <w:t>全日制专业学位硕士研究生培养方案</w:t>
      </w:r>
    </w:p>
    <w:p w14:paraId="34C37243">
      <w:pPr>
        <w:spacing w:line="360" w:lineRule="auto"/>
        <w:ind w:left="321" w:leftChars="153" w:right="227"/>
        <w:jc w:val="center"/>
        <w:rPr>
          <w:rFonts w:hint="eastAsia" w:eastAsia="黑体"/>
          <w:b/>
          <w:bCs/>
          <w:sz w:val="28"/>
          <w:szCs w:val="28"/>
          <w:lang w:val="en-US" w:eastAsia="zh-CN"/>
        </w:rPr>
      </w:pPr>
      <w:r>
        <w:rPr>
          <w:rFonts w:hint="eastAsia" w:eastAsia="黑体"/>
          <w:b/>
          <w:bCs/>
          <w:sz w:val="28"/>
          <w:szCs w:val="28"/>
        </w:rPr>
        <w:t>（经济学院)</w:t>
      </w:r>
    </w:p>
    <w:p w14:paraId="00F52CBE">
      <w:pPr>
        <w:spacing w:line="360" w:lineRule="auto"/>
        <w:ind w:firstLine="560"/>
        <w:rPr>
          <w:rFonts w:eastAsia="黑体"/>
          <w:bCs/>
          <w:sz w:val="28"/>
          <w:szCs w:val="28"/>
        </w:rPr>
      </w:pPr>
      <w:r>
        <w:rPr>
          <w:rFonts w:eastAsia="黑体"/>
          <w:b/>
          <w:bCs w:val="0"/>
          <w:sz w:val="28"/>
          <w:szCs w:val="28"/>
        </w:rPr>
        <w:t>一、专业名称、代码</w:t>
      </w:r>
    </w:p>
    <w:p w14:paraId="3F24876A">
      <w:pPr>
        <w:widowControl/>
        <w:spacing w:line="360" w:lineRule="auto"/>
        <w:ind w:firstLine="960" w:firstLineChars="400"/>
        <w:jc w:val="left"/>
        <w:rPr>
          <w:rFonts w:hint="eastAsia" w:eastAsia="宋体"/>
          <w:color w:val="222222"/>
          <w:kern w:val="0"/>
          <w:sz w:val="18"/>
          <w:szCs w:val="18"/>
          <w:lang w:val="en-US" w:eastAsia="zh-CN"/>
        </w:rPr>
      </w:pPr>
      <w:r>
        <w:rPr>
          <w:color w:val="222222"/>
          <w:kern w:val="0"/>
          <w:sz w:val="24"/>
        </w:rPr>
        <w:t>专业名称：</w:t>
      </w:r>
      <w:r>
        <w:rPr>
          <w:rFonts w:hint="eastAsia"/>
          <w:color w:val="222222"/>
          <w:kern w:val="0"/>
          <w:sz w:val="24"/>
          <w:lang w:val="en-US" w:eastAsia="zh-CN"/>
        </w:rPr>
        <w:t>保险</w:t>
      </w:r>
    </w:p>
    <w:p w14:paraId="5E2DEB49">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0255</w:t>
      </w:r>
    </w:p>
    <w:p w14:paraId="5C32ACA4">
      <w:pPr>
        <w:keepNext w:val="0"/>
        <w:keepLines w:val="0"/>
        <w:pageBreakBefore w:val="0"/>
        <w:widowControl w:val="0"/>
        <w:kinsoku/>
        <w:wordWrap/>
        <w:overflowPunct/>
        <w:topLinePunct w:val="0"/>
        <w:autoSpaceDE/>
        <w:autoSpaceDN/>
        <w:bidi w:val="0"/>
        <w:adjustRightInd/>
        <w:snapToGrid/>
        <w:spacing w:line="360" w:lineRule="auto"/>
        <w:ind w:left="0" w:leftChars="0" w:right="227" w:firstLine="562" w:firstLineChars="200"/>
        <w:jc w:val="both"/>
        <w:textAlignment w:val="auto"/>
        <w:rPr>
          <w:rFonts w:eastAsia="黑体"/>
          <w:b/>
          <w:bCs/>
          <w:sz w:val="28"/>
          <w:szCs w:val="28"/>
        </w:rPr>
      </w:pPr>
      <w:r>
        <w:rPr>
          <w:rFonts w:hint="eastAsia" w:eastAsia="黑体"/>
          <w:b/>
          <w:bCs/>
          <w:sz w:val="28"/>
          <w:szCs w:val="28"/>
          <w:lang w:val="en-US" w:eastAsia="zh-CN"/>
        </w:rPr>
        <w:t>二</w:t>
      </w:r>
      <w:r>
        <w:rPr>
          <w:rFonts w:hint="eastAsia" w:eastAsia="黑体"/>
          <w:b/>
          <w:bCs/>
          <w:sz w:val="28"/>
          <w:szCs w:val="28"/>
        </w:rPr>
        <w:t>、专业简介</w:t>
      </w:r>
    </w:p>
    <w:p w14:paraId="44CFF66D">
      <w:pPr>
        <w:spacing w:line="360" w:lineRule="auto"/>
        <w:ind w:firstLine="480" w:firstLineChars="200"/>
        <w:rPr>
          <w:rFonts w:asciiTheme="minorEastAsia" w:hAnsiTheme="minorEastAsia" w:eastAsiaTheme="minorEastAsia"/>
          <w:iCs/>
          <w:sz w:val="24"/>
        </w:rPr>
      </w:pPr>
      <w:r>
        <w:rPr>
          <w:rFonts w:hint="eastAsia" w:asciiTheme="minorEastAsia" w:hAnsiTheme="minorEastAsia" w:eastAsiaTheme="minorEastAsia"/>
          <w:iCs/>
          <w:sz w:val="24"/>
        </w:rPr>
        <w:t>保险专业学位硕士研究生的专业代码为0</w:t>
      </w:r>
      <w:r>
        <w:rPr>
          <w:rFonts w:asciiTheme="minorEastAsia" w:hAnsiTheme="minorEastAsia" w:eastAsiaTheme="minorEastAsia"/>
          <w:iCs/>
          <w:sz w:val="24"/>
        </w:rPr>
        <w:t>255</w:t>
      </w:r>
      <w:r>
        <w:rPr>
          <w:rFonts w:hint="eastAsia" w:asciiTheme="minorEastAsia" w:hAnsiTheme="minorEastAsia" w:eastAsiaTheme="minorEastAsia"/>
          <w:iCs/>
          <w:sz w:val="24"/>
        </w:rPr>
        <w:t>，属于应用经济学（0</w:t>
      </w:r>
      <w:r>
        <w:rPr>
          <w:rFonts w:asciiTheme="minorEastAsia" w:hAnsiTheme="minorEastAsia" w:eastAsiaTheme="minorEastAsia"/>
          <w:iCs/>
          <w:sz w:val="24"/>
        </w:rPr>
        <w:t>202</w:t>
      </w:r>
      <w:r>
        <w:rPr>
          <w:rFonts w:hint="eastAsia" w:asciiTheme="minorEastAsia" w:hAnsiTheme="minorEastAsia" w:eastAsiaTheme="minorEastAsia"/>
          <w:iCs/>
          <w:sz w:val="24"/>
        </w:rPr>
        <w:t>）一级学科下的专业学位。</w:t>
      </w:r>
    </w:p>
    <w:p w14:paraId="425B8EBA">
      <w:pPr>
        <w:spacing w:line="360" w:lineRule="auto"/>
        <w:ind w:firstLine="480" w:firstLineChars="200"/>
        <w:rPr>
          <w:rFonts w:asciiTheme="minorEastAsia" w:hAnsiTheme="minorEastAsia" w:eastAsiaTheme="minorEastAsia"/>
          <w:iCs/>
          <w:sz w:val="24"/>
        </w:rPr>
      </w:pPr>
      <w:r>
        <w:rPr>
          <w:rFonts w:hint="eastAsia" w:asciiTheme="minorEastAsia" w:hAnsiTheme="minorEastAsia" w:eastAsiaTheme="minorEastAsia"/>
          <w:iCs/>
          <w:sz w:val="24"/>
        </w:rPr>
        <w:t>河北大学保险专业学位硕士研究生</w:t>
      </w:r>
      <w:r>
        <w:rPr>
          <w:rFonts w:hint="eastAsia" w:asciiTheme="minorEastAsia" w:hAnsiTheme="minorEastAsia" w:eastAsiaTheme="minorEastAsia"/>
          <w:iCs/>
          <w:sz w:val="24"/>
          <w:lang w:val="en-US" w:eastAsia="zh-CN"/>
        </w:rPr>
        <w:t>2010年获批，</w:t>
      </w:r>
      <w:r>
        <w:rPr>
          <w:rFonts w:hint="eastAsia" w:asciiTheme="minorEastAsia" w:hAnsiTheme="minorEastAsia" w:eastAsiaTheme="minorEastAsia"/>
          <w:iCs/>
          <w:sz w:val="24"/>
        </w:rPr>
        <w:t>属于全国较早、河北省首批开展保险硕士专业学位研究生培养的学校。毕业生大多从事保险、银行、证券等金融类行业，大多在省级分支机构及以上工作岗位，获得了业界的高度认可，体现了我校保险专业硕士较高的专业素质和应用性特色。</w:t>
      </w:r>
    </w:p>
    <w:p w14:paraId="2AAA0CBD">
      <w:pPr>
        <w:spacing w:line="360" w:lineRule="auto"/>
        <w:ind w:firstLine="480" w:firstLineChars="200"/>
        <w:rPr>
          <w:rFonts w:ascii="宋体" w:hAnsi="宋体"/>
          <w:sz w:val="24"/>
        </w:rPr>
      </w:pPr>
      <w:r>
        <w:rPr>
          <w:rFonts w:hint="eastAsia" w:asciiTheme="minorEastAsia" w:hAnsiTheme="minorEastAsia" w:eastAsiaTheme="minorEastAsia"/>
          <w:iCs/>
          <w:sz w:val="24"/>
        </w:rPr>
        <w:t>本专业坚持“为党育人、为国育才”的社会主义教育理念</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lang w:val="en-US" w:eastAsia="zh-CN"/>
        </w:rPr>
        <w:t>培养德、智、体、美、劳全面发展的社会主义接班人，以新文科建设理念为导向，加大理工要素的融入与学科交叉，</w:t>
      </w:r>
      <w:r>
        <w:rPr>
          <w:rFonts w:hint="eastAsia" w:ascii="宋体" w:hAnsi="宋体"/>
          <w:sz w:val="24"/>
        </w:rPr>
        <w:t>充分利用河北大学综合性大学的优势，依托经济学院应用经济学一级学科博士点和应用经济学一级学科硕士点，立足中国保险</w:t>
      </w:r>
      <w:r>
        <w:rPr>
          <w:rFonts w:hint="eastAsia" w:ascii="宋体" w:hAnsi="宋体"/>
          <w:sz w:val="24"/>
          <w:lang w:val="en-US" w:eastAsia="zh-CN"/>
        </w:rPr>
        <w:t>业</w:t>
      </w:r>
      <w:r>
        <w:rPr>
          <w:rFonts w:hint="eastAsia" w:ascii="宋体" w:hAnsi="宋体"/>
          <w:sz w:val="24"/>
        </w:rPr>
        <w:t>改革与发展实际，</w:t>
      </w:r>
      <w:r>
        <w:rPr>
          <w:rFonts w:hint="eastAsia" w:ascii="宋体" w:hAnsi="宋体"/>
          <w:sz w:val="24"/>
          <w:lang w:val="en-US" w:eastAsia="zh-CN"/>
        </w:rPr>
        <w:t>重点围绕“养老+健康”保险和新能源车险两大方向进行学科交叉和人才培养，</w:t>
      </w:r>
      <w:r>
        <w:rPr>
          <w:rFonts w:hint="eastAsia" w:ascii="宋体" w:hAnsi="宋体"/>
          <w:sz w:val="24"/>
        </w:rPr>
        <w:t>培养厚基础、宽口径、</w:t>
      </w:r>
      <w:r>
        <w:rPr>
          <w:rFonts w:hint="eastAsia" w:ascii="宋体" w:hAnsi="宋体"/>
          <w:sz w:val="24"/>
          <w:lang w:val="en-US" w:eastAsia="zh-CN"/>
        </w:rPr>
        <w:t>懂技术、通产业的</w:t>
      </w:r>
      <w:r>
        <w:rPr>
          <w:rFonts w:hint="eastAsia" w:ascii="宋体" w:hAnsi="宋体"/>
          <w:sz w:val="24"/>
        </w:rPr>
        <w:t>复合型保险人才</w:t>
      </w:r>
      <w:r>
        <w:rPr>
          <w:rFonts w:hint="eastAsia" w:ascii="宋体" w:hAnsi="宋体"/>
          <w:sz w:val="24"/>
          <w:lang w:eastAsia="zh-CN"/>
        </w:rPr>
        <w:t>。</w:t>
      </w:r>
    </w:p>
    <w:p w14:paraId="74881313">
      <w:pPr>
        <w:spacing w:line="360" w:lineRule="auto"/>
        <w:ind w:firstLine="480" w:firstLineChars="200"/>
        <w:rPr>
          <w:rFonts w:ascii="宋体" w:hAnsi="宋体"/>
          <w:sz w:val="24"/>
        </w:rPr>
      </w:pPr>
      <w:r>
        <w:rPr>
          <w:rFonts w:hint="eastAsia" w:ascii="宋体" w:hAnsi="宋体"/>
          <w:sz w:val="24"/>
        </w:rPr>
        <w:t>本专业为省内优势专业，立足服务地方区域经济发展、京津冀协同和雄安新区建设。集合了校内外大量的优质教学资源，</w:t>
      </w:r>
      <w:r>
        <w:rPr>
          <w:rFonts w:hint="eastAsia" w:ascii="宋体" w:hAnsi="宋体"/>
          <w:sz w:val="24"/>
          <w:lang w:val="en-US" w:eastAsia="zh-CN"/>
        </w:rPr>
        <w:t>建有河北大学金融研究中心、河北省域高校保险专业虚拟教研室、</w:t>
      </w:r>
      <w:r>
        <w:rPr>
          <w:rFonts w:hint="eastAsia" w:ascii="宋体" w:hAnsi="宋体"/>
          <w:sz w:val="24"/>
        </w:rPr>
        <w:t>金融</w:t>
      </w:r>
      <w:r>
        <w:rPr>
          <w:rFonts w:hint="eastAsia" w:ascii="宋体" w:hAnsi="宋体"/>
          <w:sz w:val="24"/>
          <w:lang w:val="en-US" w:eastAsia="zh-CN"/>
        </w:rPr>
        <w:t>保险</w:t>
      </w:r>
      <w:r>
        <w:rPr>
          <w:rFonts w:hint="eastAsia" w:ascii="宋体" w:hAnsi="宋体"/>
          <w:sz w:val="24"/>
        </w:rPr>
        <w:t>实验室</w:t>
      </w:r>
      <w:r>
        <w:rPr>
          <w:rFonts w:hint="eastAsia" w:ascii="宋体" w:hAnsi="宋体"/>
          <w:sz w:val="24"/>
          <w:lang w:eastAsia="zh-CN"/>
        </w:rPr>
        <w:t>，</w:t>
      </w:r>
      <w:r>
        <w:rPr>
          <w:rFonts w:hint="eastAsia" w:ascii="宋体" w:hAnsi="宋体"/>
          <w:sz w:val="24"/>
        </w:rPr>
        <w:t>拥有财达证券省级示范实践基地、燕赵财险总公司和其他保险公司省级分支机构等实践基地，理论与实践并重，为培养应用型保险人才提供了</w:t>
      </w:r>
      <w:r>
        <w:rPr>
          <w:rFonts w:hint="eastAsia" w:ascii="宋体" w:hAnsi="宋体"/>
          <w:sz w:val="24"/>
          <w:lang w:val="en-US" w:eastAsia="zh-CN"/>
        </w:rPr>
        <w:t>扎实丰富的</w:t>
      </w:r>
      <w:r>
        <w:rPr>
          <w:rFonts w:hint="eastAsia" w:ascii="宋体" w:hAnsi="宋体"/>
          <w:sz w:val="24"/>
        </w:rPr>
        <w:t>条件。</w:t>
      </w:r>
    </w:p>
    <w:p w14:paraId="126A6BA1">
      <w:pPr>
        <w:spacing w:line="360" w:lineRule="auto"/>
        <w:ind w:firstLine="480" w:firstLineChars="200"/>
        <w:rPr>
          <w:rFonts w:ascii="宋体" w:hAnsi="宋体"/>
          <w:sz w:val="24"/>
        </w:rPr>
      </w:pPr>
      <w:r>
        <w:rPr>
          <w:rFonts w:hint="eastAsia" w:ascii="宋体" w:hAnsi="宋体"/>
          <w:sz w:val="24"/>
        </w:rPr>
        <w:t>本专业具有丰富的教学经验与深厚的科研积淀，具有完善的教学管理体系、健全的教学设备及极具奉献精神的教学团队，为培养现代化保险人才提供了保障。本专业现有导师</w:t>
      </w:r>
      <w:r>
        <w:rPr>
          <w:rFonts w:hint="eastAsia" w:ascii="宋体" w:hAnsi="宋体"/>
          <w:sz w:val="24"/>
          <w:lang w:val="en-US" w:eastAsia="zh-CN"/>
        </w:rPr>
        <w:t>10</w:t>
      </w:r>
      <w:r>
        <w:rPr>
          <w:rFonts w:hint="eastAsia" w:ascii="宋体" w:hAnsi="宋体"/>
          <w:sz w:val="24"/>
        </w:rPr>
        <w:t>名，教授3名，</w:t>
      </w:r>
      <w:r>
        <w:rPr>
          <w:rFonts w:hint="eastAsia" w:ascii="宋体" w:hAnsi="宋体"/>
          <w:sz w:val="24"/>
          <w:lang w:val="en-US" w:eastAsia="zh-CN"/>
        </w:rPr>
        <w:t>副教授4名，</w:t>
      </w:r>
      <w:r>
        <w:rPr>
          <w:rFonts w:hint="eastAsia" w:ascii="宋体" w:hAnsi="宋体"/>
          <w:sz w:val="24"/>
        </w:rPr>
        <w:t>其中博导</w:t>
      </w:r>
      <w:r>
        <w:rPr>
          <w:rFonts w:hint="eastAsia" w:ascii="宋体" w:hAnsi="宋体"/>
          <w:sz w:val="24"/>
          <w:lang w:val="en-US" w:eastAsia="zh-CN"/>
        </w:rPr>
        <w:t>2</w:t>
      </w:r>
      <w:r>
        <w:rPr>
          <w:rFonts w:hint="eastAsia" w:ascii="宋体" w:hAnsi="宋体"/>
          <w:sz w:val="24"/>
        </w:rPr>
        <w:t>名，</w:t>
      </w:r>
      <w:r>
        <w:rPr>
          <w:rFonts w:hint="eastAsia" w:ascii="宋体" w:hAnsi="宋体"/>
          <w:sz w:val="24"/>
          <w:lang w:val="en-US" w:eastAsia="zh-CN"/>
        </w:rPr>
        <w:t>9人</w:t>
      </w:r>
      <w:r>
        <w:rPr>
          <w:rFonts w:hint="eastAsia" w:ascii="宋体" w:hAnsi="宋体"/>
          <w:sz w:val="24"/>
        </w:rPr>
        <w:t>具有博士学位，博士毕业于国内知名高校，具有良好的学缘结构，科研能力突出。</w:t>
      </w:r>
    </w:p>
    <w:p w14:paraId="0820ACB0">
      <w:pPr>
        <w:keepNext w:val="0"/>
        <w:keepLines w:val="0"/>
        <w:pageBreakBefore w:val="0"/>
        <w:widowControl w:val="0"/>
        <w:kinsoku/>
        <w:wordWrap/>
        <w:overflowPunct/>
        <w:topLinePunct w:val="0"/>
        <w:autoSpaceDE/>
        <w:autoSpaceDN/>
        <w:bidi w:val="0"/>
        <w:adjustRightInd/>
        <w:snapToGrid/>
        <w:spacing w:line="360" w:lineRule="auto"/>
        <w:ind w:left="0" w:leftChars="0" w:right="227" w:firstLine="562" w:firstLineChars="200"/>
        <w:jc w:val="both"/>
        <w:textAlignment w:val="auto"/>
        <w:rPr>
          <w:rFonts w:hint="eastAsia" w:eastAsia="黑体"/>
          <w:b/>
          <w:bCs/>
          <w:sz w:val="28"/>
          <w:szCs w:val="28"/>
          <w:lang w:val="en-US" w:eastAsia="zh-CN"/>
        </w:rPr>
      </w:pPr>
    </w:p>
    <w:p w14:paraId="1C8E9DDF">
      <w:pPr>
        <w:keepNext w:val="0"/>
        <w:keepLines w:val="0"/>
        <w:pageBreakBefore w:val="0"/>
        <w:widowControl w:val="0"/>
        <w:kinsoku/>
        <w:wordWrap/>
        <w:overflowPunct/>
        <w:topLinePunct w:val="0"/>
        <w:autoSpaceDE/>
        <w:autoSpaceDN/>
        <w:bidi w:val="0"/>
        <w:adjustRightInd/>
        <w:snapToGrid/>
        <w:spacing w:line="360" w:lineRule="auto"/>
        <w:ind w:left="0" w:leftChars="0" w:right="227" w:firstLine="562" w:firstLineChars="200"/>
        <w:jc w:val="both"/>
        <w:textAlignment w:val="auto"/>
        <w:rPr>
          <w:rFonts w:hint="eastAsia" w:eastAsia="黑体"/>
          <w:b/>
          <w:bCs/>
          <w:sz w:val="28"/>
          <w:szCs w:val="28"/>
        </w:rPr>
      </w:pPr>
      <w:r>
        <w:rPr>
          <w:rFonts w:hint="eastAsia" w:eastAsia="黑体"/>
          <w:b/>
          <w:bCs/>
          <w:sz w:val="28"/>
          <w:szCs w:val="28"/>
          <w:lang w:val="en-US" w:eastAsia="zh-CN"/>
        </w:rPr>
        <w:t>三</w:t>
      </w:r>
      <w:r>
        <w:rPr>
          <w:rFonts w:hint="eastAsia" w:eastAsia="黑体"/>
          <w:b/>
          <w:bCs/>
          <w:sz w:val="28"/>
          <w:szCs w:val="28"/>
        </w:rPr>
        <w:t>、研究方向</w:t>
      </w:r>
    </w:p>
    <w:p w14:paraId="62C8744A">
      <w:pPr>
        <w:spacing w:line="360" w:lineRule="auto"/>
        <w:ind w:firstLine="480" w:firstLineChars="200"/>
        <w:rPr>
          <w:rFonts w:asciiTheme="minorEastAsia" w:hAnsiTheme="minorEastAsia" w:eastAsiaTheme="minorEastAsia"/>
          <w:iCs/>
          <w:sz w:val="24"/>
        </w:rPr>
      </w:pPr>
      <w:r>
        <w:rPr>
          <w:rFonts w:hint="eastAsia" w:asciiTheme="minorEastAsia" w:hAnsiTheme="minorEastAsia" w:eastAsiaTheme="minorEastAsia"/>
          <w:iCs/>
          <w:sz w:val="24"/>
        </w:rPr>
        <w:t>设置保险专业学位硕士研究生是适应经济、社会发展要求的，根据保险行业对于高层次</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lang w:val="en-US" w:eastAsia="zh-CN"/>
        </w:rPr>
        <w:t>复合型保险</w:t>
      </w:r>
      <w:r>
        <w:rPr>
          <w:rFonts w:hint="eastAsia" w:asciiTheme="minorEastAsia" w:hAnsiTheme="minorEastAsia" w:eastAsiaTheme="minorEastAsia"/>
          <w:iCs/>
          <w:sz w:val="24"/>
        </w:rPr>
        <w:t>专业人才的需要，在保险硕士专业学位下设立以下研究方向：保险监管与</w:t>
      </w:r>
      <w:r>
        <w:rPr>
          <w:rFonts w:hint="eastAsia" w:asciiTheme="minorEastAsia" w:hAnsiTheme="minorEastAsia" w:eastAsiaTheme="minorEastAsia"/>
          <w:iCs/>
          <w:sz w:val="24"/>
          <w:lang w:val="en-US" w:eastAsia="zh-CN"/>
        </w:rPr>
        <w:t>风险管理</w:t>
      </w:r>
      <w:r>
        <w:rPr>
          <w:rFonts w:hint="eastAsia" w:asciiTheme="minorEastAsia" w:hAnsiTheme="minorEastAsia" w:eastAsiaTheme="minorEastAsia"/>
          <w:iCs/>
          <w:sz w:val="24"/>
        </w:rPr>
        <w:t>、保险</w:t>
      </w:r>
      <w:r>
        <w:rPr>
          <w:rFonts w:hint="eastAsia" w:asciiTheme="minorEastAsia" w:hAnsiTheme="minorEastAsia" w:eastAsiaTheme="minorEastAsia"/>
          <w:iCs/>
          <w:sz w:val="24"/>
          <w:lang w:val="en-US" w:eastAsia="zh-CN"/>
        </w:rPr>
        <w:t>公司经营与创新、人口结构和康养保险、保险科技与新能源车险</w:t>
      </w:r>
      <w:r>
        <w:rPr>
          <w:rFonts w:hint="eastAsia" w:asciiTheme="minorEastAsia" w:hAnsiTheme="minorEastAsia" w:eastAsiaTheme="minorEastAsia"/>
          <w:iCs/>
          <w:sz w:val="24"/>
        </w:rPr>
        <w:t>。</w:t>
      </w:r>
    </w:p>
    <w:p w14:paraId="69544EBE">
      <w:pPr>
        <w:spacing w:line="360" w:lineRule="auto"/>
        <w:ind w:firstLine="480" w:firstLineChars="200"/>
        <w:rPr>
          <w:rFonts w:hint="default" w:asciiTheme="minorEastAsia" w:hAnsiTheme="minorEastAsia" w:eastAsiaTheme="minorEastAsia"/>
          <w:iCs/>
          <w:sz w:val="24"/>
          <w:lang w:val="en-US" w:eastAsia="zh-CN"/>
        </w:rPr>
      </w:pPr>
      <w:r>
        <w:rPr>
          <w:rFonts w:hint="eastAsia" w:asciiTheme="minorEastAsia" w:hAnsiTheme="minorEastAsia" w:eastAsiaTheme="minorEastAsia"/>
          <w:iCs/>
          <w:sz w:val="24"/>
        </w:rPr>
        <w:t>保险监管与</w:t>
      </w:r>
      <w:r>
        <w:rPr>
          <w:rFonts w:hint="eastAsia" w:asciiTheme="minorEastAsia" w:hAnsiTheme="minorEastAsia" w:eastAsiaTheme="minorEastAsia"/>
          <w:iCs/>
          <w:sz w:val="24"/>
          <w:lang w:val="en-US" w:eastAsia="zh-CN"/>
        </w:rPr>
        <w:t>风险管理</w:t>
      </w:r>
      <w:r>
        <w:rPr>
          <w:rFonts w:hint="eastAsia" w:asciiTheme="minorEastAsia" w:hAnsiTheme="minorEastAsia" w:eastAsiaTheme="minorEastAsia"/>
          <w:iCs/>
          <w:sz w:val="24"/>
        </w:rPr>
        <w:t>方向主要研究</w:t>
      </w:r>
      <w:r>
        <w:rPr>
          <w:rFonts w:hint="eastAsia" w:asciiTheme="minorEastAsia" w:hAnsiTheme="minorEastAsia" w:eastAsiaTheme="minorEastAsia"/>
          <w:iCs/>
          <w:sz w:val="24"/>
          <w:lang w:val="en-US" w:eastAsia="zh-CN"/>
        </w:rPr>
        <w:t>保险</w:t>
      </w:r>
      <w:r>
        <w:rPr>
          <w:rFonts w:hint="eastAsia" w:asciiTheme="minorEastAsia" w:hAnsiTheme="minorEastAsia" w:eastAsiaTheme="minorEastAsia"/>
          <w:iCs/>
          <w:sz w:val="24"/>
        </w:rPr>
        <w:t>监管体系</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lang w:val="en-US" w:eastAsia="zh-CN"/>
        </w:rPr>
        <w:t>监管体系主要包括公司治理监管、市场行为监管、偿付能力监管</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lang w:val="en-US" w:eastAsia="zh-CN"/>
        </w:rPr>
        <w:t>保险监管效率</w:t>
      </w:r>
      <w:r>
        <w:rPr>
          <w:rFonts w:hint="eastAsia" w:asciiTheme="minorEastAsia" w:hAnsiTheme="minorEastAsia" w:eastAsiaTheme="minorEastAsia"/>
          <w:iCs/>
          <w:sz w:val="24"/>
        </w:rPr>
        <w:t>以及对于相关监管文件政策实施效果的研究</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lang w:val="en-US" w:eastAsia="zh-CN"/>
        </w:rPr>
        <w:t>监管效率的研究，集中在监管效率的测度方法，影响监管效率的主要因素。根据实际，分析重要的监管文件的实施背景和效果</w:t>
      </w:r>
      <w:r>
        <w:rPr>
          <w:rFonts w:hint="eastAsia" w:asciiTheme="minorEastAsia" w:hAnsiTheme="minorEastAsia" w:eastAsiaTheme="minorEastAsia"/>
          <w:iCs/>
          <w:sz w:val="24"/>
        </w:rPr>
        <w:t>；</w:t>
      </w:r>
      <w:r>
        <w:rPr>
          <w:rFonts w:hint="eastAsia" w:asciiTheme="minorEastAsia" w:hAnsiTheme="minorEastAsia" w:eastAsiaTheme="minorEastAsia"/>
          <w:iCs/>
          <w:sz w:val="24"/>
          <w:lang w:val="en-US" w:eastAsia="zh-CN"/>
        </w:rPr>
        <w:t>保险业系统性风险，系统性风险识别和衡量的方法，判断系统性风险形成的动因和传导的路径，学习预警和控制手段。通过以上内容的学习，借助和监管机构的课题合作，进一步提升学生对于保险监管体系的认知，培养监管操作能力。</w:t>
      </w:r>
    </w:p>
    <w:p w14:paraId="73AD4392">
      <w:pPr>
        <w:spacing w:line="360" w:lineRule="auto"/>
        <w:ind w:firstLine="480" w:firstLineChars="200"/>
        <w:rPr>
          <w:rFonts w:hint="default" w:asciiTheme="minorEastAsia" w:hAnsiTheme="minorEastAsia" w:eastAsiaTheme="minorEastAsia"/>
          <w:iCs/>
          <w:sz w:val="24"/>
          <w:lang w:val="en-US" w:eastAsia="zh-CN"/>
        </w:rPr>
      </w:pPr>
      <w:r>
        <w:rPr>
          <w:rFonts w:hint="eastAsia" w:asciiTheme="minorEastAsia" w:hAnsiTheme="minorEastAsia" w:eastAsiaTheme="minorEastAsia"/>
          <w:iCs/>
          <w:sz w:val="24"/>
        </w:rPr>
        <w:t>保险</w:t>
      </w:r>
      <w:r>
        <w:rPr>
          <w:rFonts w:hint="eastAsia" w:asciiTheme="minorEastAsia" w:hAnsiTheme="minorEastAsia" w:eastAsiaTheme="minorEastAsia"/>
          <w:iCs/>
          <w:sz w:val="24"/>
          <w:lang w:val="en-US" w:eastAsia="zh-CN"/>
        </w:rPr>
        <w:t>公司</w:t>
      </w:r>
      <w:r>
        <w:rPr>
          <w:rFonts w:hint="eastAsia" w:asciiTheme="minorEastAsia" w:hAnsiTheme="minorEastAsia" w:eastAsiaTheme="minorEastAsia"/>
          <w:iCs/>
          <w:sz w:val="24"/>
        </w:rPr>
        <w:t>经营与</w:t>
      </w:r>
      <w:r>
        <w:rPr>
          <w:rFonts w:hint="eastAsia" w:asciiTheme="minorEastAsia" w:hAnsiTheme="minorEastAsia" w:eastAsiaTheme="minorEastAsia"/>
          <w:iCs/>
          <w:sz w:val="24"/>
          <w:lang w:val="en-US" w:eastAsia="zh-CN"/>
        </w:rPr>
        <w:t>创新</w:t>
      </w:r>
      <w:r>
        <w:rPr>
          <w:rFonts w:hint="eastAsia" w:asciiTheme="minorEastAsia" w:hAnsiTheme="minorEastAsia" w:eastAsiaTheme="minorEastAsia"/>
          <w:iCs/>
          <w:sz w:val="24"/>
        </w:rPr>
        <w:t>方向主要研究保险公司经营的商业模式</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lang w:val="en-US" w:eastAsia="zh-CN"/>
        </w:rPr>
        <w:t>主要包括资产驱动型商业模式、负债驱动型商业模式、资产负债双驱动商业模式，并通过行业真实案例，培养学生的认知和分析能力</w:t>
      </w:r>
      <w:r>
        <w:rPr>
          <w:rFonts w:hint="eastAsia" w:asciiTheme="minorEastAsia" w:hAnsiTheme="minorEastAsia" w:eastAsiaTheme="minorEastAsia"/>
          <w:iCs/>
          <w:sz w:val="24"/>
          <w:lang w:eastAsia="zh-CN"/>
        </w:rPr>
        <w:t>；</w:t>
      </w:r>
      <w:r>
        <w:rPr>
          <w:rFonts w:hint="eastAsia" w:asciiTheme="minorEastAsia" w:hAnsiTheme="minorEastAsia" w:eastAsiaTheme="minorEastAsia"/>
          <w:iCs/>
          <w:sz w:val="24"/>
        </w:rPr>
        <w:t>保险公司经营业务</w:t>
      </w:r>
      <w:r>
        <w:rPr>
          <w:rFonts w:hint="eastAsia" w:asciiTheme="minorEastAsia" w:hAnsiTheme="minorEastAsia" w:eastAsiaTheme="minorEastAsia"/>
          <w:iCs/>
          <w:sz w:val="24"/>
          <w:lang w:val="en-US" w:eastAsia="zh-CN"/>
        </w:rPr>
        <w:t>模块与风控机制，学生通过相关课程和实习实践，了解和掌握展业、承保、理赔、资金运用、风险控制等多个运营环节和部门</w:t>
      </w:r>
      <w:r>
        <w:rPr>
          <w:rFonts w:hint="eastAsia" w:asciiTheme="minorEastAsia" w:hAnsiTheme="minorEastAsia" w:eastAsiaTheme="minorEastAsia"/>
          <w:iCs/>
          <w:sz w:val="24"/>
        </w:rPr>
        <w:t>；</w:t>
      </w:r>
      <w:r>
        <w:rPr>
          <w:rFonts w:hint="eastAsia" w:asciiTheme="minorEastAsia" w:hAnsiTheme="minorEastAsia" w:eastAsiaTheme="minorEastAsia"/>
          <w:iCs/>
          <w:sz w:val="24"/>
          <w:lang w:val="en-US" w:eastAsia="zh-CN"/>
        </w:rPr>
        <w:t>保险行业创新趋势，主要通过鼓励学生参加全国各类保险创新比赛，在比赛中，理解和培养学生的创新眼光和能力，并借助实践基地，深入分析和落地保险产品创新。</w:t>
      </w:r>
    </w:p>
    <w:p w14:paraId="265B6E85">
      <w:pPr>
        <w:spacing w:line="360" w:lineRule="auto"/>
        <w:ind w:firstLine="480" w:firstLineChars="200"/>
        <w:rPr>
          <w:rFonts w:hint="eastAsia" w:asciiTheme="minorEastAsia" w:hAnsiTheme="minorEastAsia" w:eastAsiaTheme="minorEastAsia"/>
          <w:iCs/>
          <w:sz w:val="24"/>
          <w:lang w:val="en-US" w:eastAsia="zh-CN"/>
        </w:rPr>
      </w:pPr>
      <w:r>
        <w:rPr>
          <w:rFonts w:hint="eastAsia" w:asciiTheme="minorEastAsia" w:hAnsiTheme="minorEastAsia" w:eastAsiaTheme="minorEastAsia"/>
          <w:iCs/>
          <w:sz w:val="24"/>
          <w:lang w:val="en-US" w:eastAsia="zh-CN"/>
        </w:rPr>
        <w:t>人口结构和康养保险方向主要研究我国人口结构变迁，通过人口学相关理论，明确人口结构变迁的过程，其变迁的背景以及主要的演变因素，从而明确保险业发展面临的人口环境；老龄化与养老保险，人口结构变迁下，老龄化已不可避免，老龄化改变了社会、生活的多个方面，其中养老问题的解决，需要商业养老保险的介入，完善三支柱的养老保障体系；健康管理与长期护理保险，老龄化背景下，伴随着健康问题，失能失智问题突出，需要医养结合，学生通过学习医养结合模式，掌握医养结合发展的痛点问题，并通过对日本康养产业、长期护理保险制度的学习，充分认识我国当前长期护理保险发展面临的障碍，学习解决。</w:t>
      </w:r>
    </w:p>
    <w:p w14:paraId="75F3BCD2">
      <w:pPr>
        <w:spacing w:line="360" w:lineRule="auto"/>
        <w:ind w:firstLine="480" w:firstLineChars="200"/>
        <w:rPr>
          <w:rFonts w:hint="default" w:asciiTheme="minorEastAsia" w:hAnsiTheme="minorEastAsia" w:eastAsiaTheme="minorEastAsia"/>
          <w:iCs/>
          <w:sz w:val="24"/>
          <w:lang w:val="en-US" w:eastAsia="zh-CN"/>
        </w:rPr>
      </w:pPr>
      <w:r>
        <w:rPr>
          <w:rFonts w:hint="eastAsia" w:asciiTheme="minorEastAsia" w:hAnsiTheme="minorEastAsia" w:eastAsiaTheme="minorEastAsia"/>
          <w:iCs/>
          <w:sz w:val="24"/>
          <w:lang w:val="en-US" w:eastAsia="zh-CN"/>
        </w:rPr>
        <w:t>保险科技与新能源车险方向主要研究大数据、区块链、云计算、3S技术等保险科技的应用，通过多学科的师资力量，学生通过学习相关科技技术，赋能保险经营流程的各个环节和模块，并进而学习流程创新和再造技术，提升学生的科技创新能力；新能源汽车行业发展与保险创新，当前新能源汽车已经成为大势所趋，但是其车险发展确实相对滞后，问题突出，通过学习新能源汽车构造原理，挖掘其风险点，并和实践基地的保险公司合作，进行新能源车险的产品创新。同时，推动UBI车险在新能源汽车的应用。</w:t>
      </w:r>
    </w:p>
    <w:p w14:paraId="1298D6E1">
      <w:pPr>
        <w:spacing w:line="360" w:lineRule="auto"/>
        <w:ind w:firstLine="562" w:firstLineChars="200"/>
        <w:rPr>
          <w:rFonts w:eastAsia="黑体"/>
          <w:b/>
          <w:bCs w:val="0"/>
          <w:sz w:val="28"/>
          <w:szCs w:val="28"/>
        </w:rPr>
      </w:pPr>
      <w:r>
        <w:rPr>
          <w:rFonts w:eastAsia="黑体"/>
          <w:b/>
          <w:bCs w:val="0"/>
          <w:sz w:val="28"/>
          <w:szCs w:val="28"/>
        </w:rPr>
        <w:t>四、学制及学习年限</w:t>
      </w:r>
    </w:p>
    <w:p w14:paraId="5A42DDED">
      <w:pPr>
        <w:spacing w:line="360" w:lineRule="auto"/>
        <w:ind w:firstLine="480" w:firstLineChars="200"/>
        <w:rPr>
          <w:rFonts w:hint="default" w:asciiTheme="minorEastAsia" w:hAnsiTheme="minorEastAsia" w:eastAsiaTheme="minorEastAsia"/>
          <w:iCs/>
          <w:sz w:val="24"/>
          <w:lang w:val="en-US" w:eastAsia="zh-CN"/>
        </w:rPr>
      </w:pPr>
      <w:r>
        <w:rPr>
          <w:rFonts w:eastAsiaTheme="minorEastAsia"/>
          <w:color w:val="000000"/>
          <w:sz w:val="24"/>
        </w:rPr>
        <w:t>本专业学制为3年，在校最长学习年限（含休学）不超过6年。</w:t>
      </w:r>
    </w:p>
    <w:p w14:paraId="5DEFCDA4">
      <w:pPr>
        <w:keepNext w:val="0"/>
        <w:keepLines w:val="0"/>
        <w:pageBreakBefore w:val="0"/>
        <w:widowControl w:val="0"/>
        <w:kinsoku/>
        <w:wordWrap/>
        <w:overflowPunct/>
        <w:topLinePunct w:val="0"/>
        <w:autoSpaceDE/>
        <w:autoSpaceDN/>
        <w:bidi w:val="0"/>
        <w:adjustRightInd/>
        <w:snapToGrid/>
        <w:spacing w:line="360" w:lineRule="auto"/>
        <w:ind w:left="0" w:leftChars="0" w:right="227" w:firstLine="562" w:firstLineChars="200"/>
        <w:jc w:val="both"/>
        <w:textAlignment w:val="auto"/>
        <w:rPr>
          <w:rFonts w:hint="eastAsia" w:eastAsia="黑体"/>
          <w:b/>
          <w:bCs/>
          <w:sz w:val="28"/>
          <w:szCs w:val="28"/>
        </w:rPr>
      </w:pPr>
      <w:r>
        <w:rPr>
          <w:rFonts w:hint="eastAsia" w:eastAsia="黑体"/>
          <w:b/>
          <w:bCs/>
          <w:sz w:val="28"/>
          <w:szCs w:val="28"/>
          <w:lang w:val="en-US" w:eastAsia="zh-CN"/>
        </w:rPr>
        <w:t>五</w:t>
      </w:r>
      <w:r>
        <w:rPr>
          <w:rFonts w:hint="eastAsia" w:eastAsia="黑体"/>
          <w:b/>
          <w:bCs/>
          <w:sz w:val="28"/>
          <w:szCs w:val="28"/>
        </w:rPr>
        <w:t>、培养目标</w:t>
      </w:r>
    </w:p>
    <w:p w14:paraId="31848FB7">
      <w:pPr>
        <w:spacing w:line="360" w:lineRule="auto"/>
        <w:ind w:firstLine="480"/>
        <w:rPr>
          <w:rFonts w:eastAsiaTheme="minorEastAsia"/>
          <w:iCs/>
          <w:sz w:val="24"/>
        </w:rPr>
      </w:pPr>
      <w:r>
        <w:rPr>
          <w:rFonts w:hint="eastAsia" w:eastAsiaTheme="minorEastAsia"/>
          <w:iCs/>
          <w:sz w:val="24"/>
        </w:rPr>
        <w:t>以习近平中国特色社会主义理论为指导，以国家对保险硕士专业学位教育的总体目标和要求为原则，立足中国保险业改革与发展实际需求，并结合我校学科特征，</w:t>
      </w:r>
      <w:r>
        <w:rPr>
          <w:rFonts w:hint="eastAsia" w:eastAsiaTheme="minorEastAsia"/>
          <w:iCs/>
          <w:sz w:val="24"/>
          <w:lang w:val="en-US" w:eastAsia="zh-CN"/>
        </w:rPr>
        <w:t>通过学科交叉驱动、场景深度嵌入、技术工具赋能的三维改革，</w:t>
      </w:r>
      <w:r>
        <w:rPr>
          <w:rFonts w:hint="eastAsia" w:eastAsiaTheme="minorEastAsia"/>
          <w:iCs/>
          <w:sz w:val="24"/>
        </w:rPr>
        <w:t>将人才培养目标定位于服务京津冀协同、雄安新区建设和地方区域经济发展，</w:t>
      </w:r>
      <w:r>
        <w:rPr>
          <w:rFonts w:hint="eastAsia" w:eastAsiaTheme="minorEastAsia"/>
          <w:iCs/>
          <w:sz w:val="24"/>
          <w:lang w:val="en-US" w:eastAsia="zh-CN"/>
        </w:rPr>
        <w:t>聚焦康养产业和新能源汽车领域，</w:t>
      </w:r>
      <w:r>
        <w:rPr>
          <w:rFonts w:hint="eastAsia" w:eastAsiaTheme="minorEastAsia"/>
          <w:iCs/>
          <w:sz w:val="24"/>
        </w:rPr>
        <w:t>面向各类保险公司、保险监管机构、社会保障机构和其他金融机构，培养具备良好的政治思想素质和职业道德，</w:t>
      </w:r>
      <w:r>
        <w:rPr>
          <w:rFonts w:hint="eastAsia" w:eastAsiaTheme="minorEastAsia"/>
          <w:iCs/>
          <w:sz w:val="24"/>
          <w:lang w:val="en-US" w:eastAsia="zh-CN"/>
        </w:rPr>
        <w:t>具备保险精算、数据分析、保险科技和行业场景应用的</w:t>
      </w:r>
      <w:r>
        <w:rPr>
          <w:rFonts w:hint="eastAsia" w:eastAsiaTheme="minorEastAsia"/>
          <w:iCs/>
          <w:sz w:val="24"/>
        </w:rPr>
        <w:t>高层次、应用型、复合型的保险专门人才。</w:t>
      </w:r>
    </w:p>
    <w:p w14:paraId="6A567913">
      <w:pPr>
        <w:spacing w:line="360" w:lineRule="auto"/>
        <w:ind w:firstLine="480"/>
        <w:rPr>
          <w:rFonts w:eastAsiaTheme="minorEastAsia"/>
          <w:iCs/>
          <w:sz w:val="24"/>
        </w:rPr>
      </w:pPr>
      <w:r>
        <w:rPr>
          <w:rFonts w:hint="eastAsia" w:eastAsiaTheme="minorEastAsia"/>
          <w:iCs/>
          <w:sz w:val="24"/>
        </w:rPr>
        <w:t>培养目标分解如下：</w:t>
      </w:r>
    </w:p>
    <w:p w14:paraId="0B4EB537">
      <w:pPr>
        <w:spacing w:line="360" w:lineRule="auto"/>
        <w:ind w:firstLine="480"/>
        <w:rPr>
          <w:rFonts w:eastAsiaTheme="minorEastAsia"/>
          <w:iCs/>
          <w:sz w:val="24"/>
        </w:rPr>
      </w:pPr>
      <w:r>
        <w:rPr>
          <w:rFonts w:hint="eastAsia" w:eastAsiaTheme="minorEastAsia"/>
          <w:iCs/>
          <w:sz w:val="24"/>
        </w:rPr>
        <w:t>1.</w:t>
      </w:r>
      <w:r>
        <w:rPr>
          <w:rFonts w:hint="eastAsia"/>
        </w:rPr>
        <w:t xml:space="preserve"> </w:t>
      </w:r>
      <w:r>
        <w:rPr>
          <w:rFonts w:hint="eastAsia" w:eastAsiaTheme="minorEastAsia"/>
          <w:iCs/>
          <w:sz w:val="24"/>
        </w:rPr>
        <w:t>树立正确的中国特色社会主义核心价值观，具有坚定的理想信念，高尚的道德情操，优良的学术作风，高度的社会责任感，良好的职业道德。</w:t>
      </w:r>
      <w:r>
        <w:rPr>
          <w:rFonts w:hint="eastAsia" w:asciiTheme="minorEastAsia" w:hAnsiTheme="minorEastAsia" w:eastAsiaTheme="minorEastAsia"/>
          <w:iCs/>
          <w:sz w:val="24"/>
        </w:rPr>
        <w:t>诚实守信、身心健康，具有创新进取精神，具有良好的团队意识和团队合作精神</w:t>
      </w:r>
      <w:r>
        <w:rPr>
          <w:rFonts w:hint="eastAsia" w:asciiTheme="minorEastAsia" w:hAnsiTheme="minorEastAsia" w:eastAsiaTheme="minorEastAsia"/>
          <w:iCs/>
          <w:sz w:val="24"/>
          <w:lang w:eastAsia="zh-CN"/>
        </w:rPr>
        <w:t>。</w:t>
      </w:r>
      <w:r>
        <w:rPr>
          <w:rFonts w:hint="eastAsia" w:eastAsiaTheme="minorEastAsia"/>
          <w:iCs/>
          <w:sz w:val="24"/>
        </w:rPr>
        <w:t>培养德智体美劳全面发展的社会主义事业接班人。</w:t>
      </w:r>
    </w:p>
    <w:p w14:paraId="62BF4675">
      <w:pPr>
        <w:spacing w:line="360" w:lineRule="auto"/>
        <w:ind w:firstLine="480"/>
        <w:rPr>
          <w:rFonts w:eastAsiaTheme="minorEastAsia"/>
          <w:iCs/>
          <w:sz w:val="24"/>
        </w:rPr>
      </w:pPr>
      <w:r>
        <w:rPr>
          <w:rFonts w:hint="eastAsia" w:eastAsiaTheme="minorEastAsia"/>
          <w:iCs/>
          <w:sz w:val="24"/>
        </w:rPr>
        <w:t>2.掌握专业领域的基础理论和专门知识，具备较宽广的相关学科知识，熟悉国家的相关政策和法规；具备统筹决策、组织管理和业务实施能力，具备从事保险及相关职业所要求的知识、思维、方法和职业技术，能够综合运用保险和其他专业知识，独立从事涉及保险实务运行及相关工作，达到监管部门或行业组织规定的岗位任职要求。</w:t>
      </w:r>
    </w:p>
    <w:p w14:paraId="1E516897">
      <w:pPr>
        <w:spacing w:line="360" w:lineRule="auto"/>
        <w:ind w:firstLine="480"/>
        <w:rPr>
          <w:rFonts w:hint="eastAsia" w:eastAsiaTheme="minorEastAsia"/>
          <w:iCs/>
          <w:sz w:val="24"/>
          <w:lang w:val="en-US" w:eastAsia="zh-CN"/>
        </w:rPr>
      </w:pPr>
      <w:r>
        <w:rPr>
          <w:rFonts w:hint="eastAsia" w:eastAsiaTheme="minorEastAsia"/>
          <w:iCs/>
          <w:sz w:val="24"/>
          <w:lang w:val="en-US" w:eastAsia="zh-CN"/>
        </w:rPr>
        <w:t>3.熟悉康养产业和新能源汽车领域的发展趋势和痛点，掌握交叉学科知识，具备行业分析和应用能力。</w:t>
      </w:r>
    </w:p>
    <w:p w14:paraId="6C4B9F07">
      <w:pPr>
        <w:spacing w:line="360" w:lineRule="auto"/>
        <w:ind w:firstLine="480"/>
        <w:rPr>
          <w:rFonts w:hint="default" w:eastAsiaTheme="minorEastAsia"/>
          <w:iCs/>
          <w:sz w:val="24"/>
          <w:lang w:val="en-US" w:eastAsia="zh-CN"/>
        </w:rPr>
      </w:pPr>
      <w:r>
        <w:rPr>
          <w:rFonts w:hint="eastAsia" w:eastAsiaTheme="minorEastAsia"/>
          <w:iCs/>
          <w:sz w:val="24"/>
          <w:lang w:val="en-US" w:eastAsia="zh-CN"/>
        </w:rPr>
        <w:t>4.具备扎实的实践和行业工作能力，同时掌握保险科技相关技术工具，可以应用保险科技进行保险创新活动。</w:t>
      </w:r>
    </w:p>
    <w:p w14:paraId="5AA17659">
      <w:pPr>
        <w:spacing w:line="360" w:lineRule="auto"/>
        <w:ind w:firstLine="480"/>
        <w:rPr>
          <w:rFonts w:eastAsiaTheme="minorEastAsia"/>
          <w:iCs/>
          <w:sz w:val="24"/>
        </w:rPr>
      </w:pPr>
      <w:r>
        <w:rPr>
          <w:rFonts w:hint="eastAsia" w:eastAsiaTheme="minorEastAsia"/>
          <w:iCs/>
          <w:sz w:val="24"/>
          <w:lang w:val="en-US" w:eastAsia="zh-CN"/>
        </w:rPr>
        <w:t>5</w:t>
      </w:r>
      <w:r>
        <w:rPr>
          <w:rFonts w:hint="eastAsia" w:eastAsiaTheme="minorEastAsia"/>
          <w:iCs/>
          <w:sz w:val="24"/>
        </w:rPr>
        <w:t>.比较熟练地掌握一门</w:t>
      </w:r>
      <w:r>
        <w:rPr>
          <w:rFonts w:hint="eastAsia" w:eastAsiaTheme="minorEastAsia"/>
          <w:iCs/>
          <w:sz w:val="24"/>
          <w:lang w:val="en-US" w:eastAsia="zh-CN"/>
        </w:rPr>
        <w:t>或多门</w:t>
      </w:r>
      <w:r>
        <w:rPr>
          <w:rFonts w:hint="eastAsia" w:eastAsiaTheme="minorEastAsia"/>
          <w:iCs/>
          <w:sz w:val="24"/>
        </w:rPr>
        <w:t>外语，能够阅读和使用专业外语资料从事专业工作，培养国际视野。</w:t>
      </w:r>
    </w:p>
    <w:p w14:paraId="0303236A">
      <w:pPr>
        <w:spacing w:line="360" w:lineRule="auto"/>
        <w:ind w:firstLine="480" w:firstLineChars="200"/>
        <w:rPr>
          <w:rFonts w:asciiTheme="minorEastAsia" w:hAnsiTheme="minorEastAsia" w:eastAsiaTheme="minorEastAsia"/>
          <w:color w:val="000000"/>
          <w:sz w:val="24"/>
        </w:rPr>
      </w:pPr>
    </w:p>
    <w:p w14:paraId="37A3CCD6">
      <w:pPr>
        <w:keepNext w:val="0"/>
        <w:keepLines w:val="0"/>
        <w:pageBreakBefore w:val="0"/>
        <w:widowControl w:val="0"/>
        <w:kinsoku/>
        <w:wordWrap/>
        <w:overflowPunct/>
        <w:topLinePunct w:val="0"/>
        <w:autoSpaceDE/>
        <w:autoSpaceDN/>
        <w:bidi w:val="0"/>
        <w:adjustRightInd/>
        <w:snapToGrid/>
        <w:spacing w:line="360" w:lineRule="auto"/>
        <w:ind w:left="0" w:leftChars="0" w:right="227" w:firstLine="562" w:firstLineChars="200"/>
        <w:jc w:val="both"/>
        <w:textAlignment w:val="auto"/>
        <w:rPr>
          <w:rFonts w:hint="eastAsia" w:eastAsia="黑体"/>
          <w:b/>
          <w:bCs/>
          <w:sz w:val="28"/>
          <w:szCs w:val="28"/>
          <w:lang w:val="en-US" w:eastAsia="zh-CN"/>
        </w:rPr>
      </w:pPr>
    </w:p>
    <w:p w14:paraId="4176FB2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227" w:firstLine="562" w:firstLineChars="200"/>
        <w:jc w:val="both"/>
        <w:textAlignment w:val="auto"/>
        <w:rPr>
          <w:rFonts w:hint="eastAsia" w:eastAsia="黑体"/>
          <w:b/>
          <w:bCs/>
          <w:sz w:val="28"/>
          <w:szCs w:val="28"/>
          <w:lang w:val="en-US" w:eastAsia="zh-CN"/>
        </w:rPr>
      </w:pPr>
      <w:r>
        <w:rPr>
          <w:rFonts w:hint="eastAsia" w:eastAsia="黑体"/>
          <w:b/>
          <w:bCs/>
          <w:sz w:val="28"/>
          <w:szCs w:val="28"/>
          <w:lang w:val="en-US" w:eastAsia="zh-CN"/>
        </w:rPr>
        <w:t>培养方式</w:t>
      </w:r>
    </w:p>
    <w:p w14:paraId="2924D6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227" w:rightChars="0" w:firstLine="480" w:firstLineChars="200"/>
        <w:jc w:val="both"/>
        <w:textAlignment w:val="auto"/>
        <w:rPr>
          <w:rFonts w:hint="eastAsia" w:eastAsiaTheme="minorEastAsia"/>
          <w:iCs/>
          <w:sz w:val="24"/>
        </w:rPr>
      </w:pPr>
      <w:r>
        <w:rPr>
          <w:rFonts w:hint="eastAsia" w:eastAsiaTheme="minorEastAsia"/>
          <w:iCs/>
          <w:sz w:val="24"/>
        </w:rPr>
        <w:t>保险专业硕士的培养方式以“课堂与实践深度融合、行业深度介入”为核心，</w:t>
      </w:r>
      <w:r>
        <w:rPr>
          <w:rFonts w:hint="eastAsia" w:eastAsiaTheme="minorEastAsia"/>
          <w:iCs/>
          <w:sz w:val="24"/>
          <w:lang w:eastAsia="zh-CN"/>
        </w:rPr>
        <w:t>“</w:t>
      </w:r>
      <w:r>
        <w:rPr>
          <w:rFonts w:hint="eastAsia" w:eastAsiaTheme="minorEastAsia"/>
          <w:iCs/>
          <w:sz w:val="24"/>
        </w:rPr>
        <w:t>理论—实践—行业”三维联动</w:t>
      </w:r>
      <w:r>
        <w:rPr>
          <w:rFonts w:hint="eastAsia" w:eastAsiaTheme="minorEastAsia"/>
          <w:iCs/>
          <w:sz w:val="24"/>
          <w:lang w:eastAsia="zh-CN"/>
        </w:rPr>
        <w:t>，</w:t>
      </w:r>
      <w:r>
        <w:rPr>
          <w:rFonts w:hint="eastAsia" w:eastAsiaTheme="minorEastAsia"/>
          <w:iCs/>
          <w:sz w:val="24"/>
        </w:rPr>
        <w:t>旨在培养适应保险业数字化转型与老龄化社会需求的高层次应用型人才。将课堂知识转化为解决实际问题的能力，并通过校企合作推动保险产品与服务的持续创新</w:t>
      </w:r>
      <w:r>
        <w:rPr>
          <w:rFonts w:hint="eastAsia" w:eastAsiaTheme="minorEastAsia"/>
          <w:iCs/>
          <w:sz w:val="24"/>
          <w:lang w:eastAsia="zh-CN"/>
        </w:rPr>
        <w:t>，</w:t>
      </w:r>
      <w:r>
        <w:rPr>
          <w:rFonts w:hint="eastAsia" w:eastAsiaTheme="minorEastAsia"/>
          <w:iCs/>
          <w:sz w:val="24"/>
        </w:rPr>
        <w:t>其培养</w:t>
      </w:r>
      <w:r>
        <w:rPr>
          <w:rFonts w:hint="eastAsia" w:eastAsiaTheme="minorEastAsia"/>
          <w:iCs/>
          <w:sz w:val="24"/>
          <w:lang w:val="en-US" w:eastAsia="zh-CN"/>
        </w:rPr>
        <w:t>方式</w:t>
      </w:r>
      <w:r>
        <w:rPr>
          <w:rFonts w:hint="eastAsia" w:eastAsiaTheme="minorEastAsia"/>
          <w:iCs/>
          <w:sz w:val="24"/>
        </w:rPr>
        <w:t>具体如下：</w:t>
      </w:r>
    </w:p>
    <w:p w14:paraId="4D3EC5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227" w:rightChars="0" w:firstLine="480" w:firstLineChars="200"/>
        <w:jc w:val="both"/>
        <w:textAlignment w:val="auto"/>
        <w:rPr>
          <w:rFonts w:hint="eastAsia" w:eastAsiaTheme="minorEastAsia"/>
          <w:iCs/>
          <w:sz w:val="24"/>
        </w:rPr>
      </w:pPr>
      <w:r>
        <w:rPr>
          <w:rFonts w:hint="eastAsia" w:eastAsiaTheme="minorEastAsia"/>
          <w:iCs/>
          <w:sz w:val="24"/>
          <w:lang w:val="en-US" w:eastAsia="zh-CN"/>
        </w:rPr>
        <w:t>1.</w:t>
      </w:r>
      <w:r>
        <w:rPr>
          <w:rFonts w:hint="eastAsia" w:eastAsiaTheme="minorEastAsia"/>
          <w:iCs/>
          <w:sz w:val="24"/>
        </w:rPr>
        <w:t>课堂与实践结合的多维培养体系</w:t>
      </w:r>
    </w:p>
    <w:p w14:paraId="06FC67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227" w:rightChars="0" w:firstLine="480" w:firstLineChars="200"/>
        <w:jc w:val="both"/>
        <w:textAlignment w:val="auto"/>
        <w:rPr>
          <w:rFonts w:hint="eastAsia" w:eastAsiaTheme="minorEastAsia"/>
          <w:iCs/>
          <w:sz w:val="24"/>
          <w:lang w:val="en-US" w:eastAsia="zh-CN"/>
        </w:rPr>
      </w:pPr>
      <w:r>
        <w:rPr>
          <w:rFonts w:hint="eastAsia" w:eastAsiaTheme="minorEastAsia"/>
          <w:iCs/>
          <w:sz w:val="24"/>
          <w:lang w:val="en-US" w:eastAsia="zh-CN"/>
        </w:rPr>
        <w:t>在课堂教学中，</w:t>
      </w:r>
      <w:r>
        <w:rPr>
          <w:rFonts w:hint="eastAsia" w:eastAsiaTheme="minorEastAsia"/>
          <w:iCs/>
          <w:sz w:val="24"/>
        </w:rPr>
        <w:t>引入保险实务专家授课，通过案例分析、专题研讨等形式，强化学生对保险产品设计、风险评估、合规管理等实际问题的解决能力。</w:t>
      </w:r>
      <w:r>
        <w:rPr>
          <w:rFonts w:hint="eastAsia" w:eastAsiaTheme="minorEastAsia"/>
          <w:iCs/>
          <w:sz w:val="24"/>
          <w:lang w:val="en-US" w:eastAsia="zh-CN"/>
        </w:rPr>
        <w:t>实践</w:t>
      </w:r>
      <w:r>
        <w:rPr>
          <w:rFonts w:hint="eastAsia" w:eastAsiaTheme="minorEastAsia"/>
          <w:iCs/>
          <w:sz w:val="24"/>
        </w:rPr>
        <w:t>教学</w:t>
      </w:r>
      <w:r>
        <w:rPr>
          <w:rFonts w:hint="eastAsia" w:eastAsiaTheme="minorEastAsia"/>
          <w:iCs/>
          <w:sz w:val="24"/>
          <w:lang w:val="en-US" w:eastAsia="zh-CN"/>
        </w:rPr>
        <w:t>中</w:t>
      </w:r>
      <w:r>
        <w:rPr>
          <w:rFonts w:hint="eastAsia" w:eastAsiaTheme="minorEastAsia"/>
          <w:iCs/>
          <w:sz w:val="24"/>
        </w:rPr>
        <w:t>依托保险实验室，通过模拟软件演练保险公司运营全流程，与保险公司、养老机构、科技平台合作，安排学生参与企业顶岗实习。</w:t>
      </w:r>
      <w:r>
        <w:rPr>
          <w:rFonts w:hint="eastAsia" w:eastAsiaTheme="minorEastAsia"/>
          <w:iCs/>
          <w:sz w:val="24"/>
          <w:lang w:val="en-US" w:eastAsia="zh-CN"/>
        </w:rPr>
        <w:t>提升</w:t>
      </w:r>
      <w:r>
        <w:rPr>
          <w:rFonts w:hint="eastAsia" w:eastAsiaTheme="minorEastAsia"/>
          <w:iCs/>
          <w:sz w:val="24"/>
        </w:rPr>
        <w:t>实践教学</w:t>
      </w:r>
      <w:r>
        <w:rPr>
          <w:rFonts w:hint="eastAsia" w:eastAsiaTheme="minorEastAsia"/>
          <w:iCs/>
          <w:sz w:val="24"/>
          <w:lang w:val="en-US" w:eastAsia="zh-CN"/>
        </w:rPr>
        <w:t>学分</w:t>
      </w:r>
      <w:r>
        <w:rPr>
          <w:rFonts w:hint="eastAsia" w:eastAsiaTheme="minorEastAsia"/>
          <w:iCs/>
          <w:sz w:val="24"/>
        </w:rPr>
        <w:t>占比，</w:t>
      </w:r>
      <w:r>
        <w:rPr>
          <w:rFonts w:hint="eastAsia" w:eastAsiaTheme="minorEastAsia"/>
          <w:iCs/>
          <w:sz w:val="24"/>
          <w:lang w:val="en-US" w:eastAsia="zh-CN"/>
        </w:rPr>
        <w:t>加大实习要求。</w:t>
      </w:r>
    </w:p>
    <w:p w14:paraId="79EEF6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227" w:rightChars="0" w:firstLine="480" w:firstLineChars="200"/>
        <w:jc w:val="both"/>
        <w:textAlignment w:val="auto"/>
        <w:rPr>
          <w:rFonts w:hint="eastAsia" w:eastAsiaTheme="minorEastAsia"/>
          <w:iCs/>
          <w:sz w:val="24"/>
        </w:rPr>
      </w:pPr>
      <w:r>
        <w:rPr>
          <w:rFonts w:hint="eastAsia" w:eastAsiaTheme="minorEastAsia"/>
          <w:iCs/>
          <w:sz w:val="24"/>
          <w:lang w:val="en-US" w:eastAsia="zh-CN"/>
        </w:rPr>
        <w:t>2.</w:t>
      </w:r>
      <w:r>
        <w:rPr>
          <w:rFonts w:hint="eastAsia" w:eastAsiaTheme="minorEastAsia"/>
          <w:iCs/>
          <w:sz w:val="24"/>
        </w:rPr>
        <w:t>行业深度介入的协同培养机制</w:t>
      </w:r>
    </w:p>
    <w:p w14:paraId="2A4B32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227" w:rightChars="0" w:firstLine="480" w:firstLineChars="200"/>
        <w:jc w:val="both"/>
        <w:textAlignment w:val="auto"/>
        <w:rPr>
          <w:rFonts w:hint="eastAsia" w:eastAsiaTheme="minorEastAsia"/>
          <w:iCs/>
          <w:sz w:val="24"/>
        </w:rPr>
      </w:pPr>
      <w:r>
        <w:rPr>
          <w:rFonts w:hint="eastAsia" w:eastAsiaTheme="minorEastAsia"/>
          <w:iCs/>
          <w:sz w:val="24"/>
        </w:rPr>
        <w:t>双导师制与校企联合指导</w:t>
      </w:r>
      <w:r>
        <w:rPr>
          <w:rFonts w:hint="eastAsia" w:eastAsiaTheme="minorEastAsia"/>
          <w:iCs/>
          <w:sz w:val="24"/>
          <w:lang w:eastAsia="zh-CN"/>
        </w:rPr>
        <w:t>，</w:t>
      </w:r>
      <w:r>
        <w:rPr>
          <w:rFonts w:hint="eastAsia" w:eastAsiaTheme="minorEastAsia"/>
          <w:iCs/>
          <w:sz w:val="24"/>
        </w:rPr>
        <w:t>校内导师负责学术指导，校外导师共同制定培养计划并指导论文选题。订单式培养</w:t>
      </w:r>
      <w:r>
        <w:rPr>
          <w:rFonts w:hint="eastAsia" w:eastAsiaTheme="minorEastAsia"/>
          <w:iCs/>
          <w:sz w:val="24"/>
          <w:lang w:eastAsia="zh-CN"/>
        </w:rPr>
        <w:t>，</w:t>
      </w:r>
      <w:r>
        <w:rPr>
          <w:rFonts w:hint="eastAsia" w:eastAsiaTheme="minorEastAsia"/>
          <w:iCs/>
          <w:sz w:val="24"/>
        </w:rPr>
        <w:t>与行业头部企业共建“教学班”，定制课程体系，实习表现优异者可优先录用。行业课题与产学研合作</w:t>
      </w:r>
      <w:r>
        <w:rPr>
          <w:rFonts w:hint="eastAsia" w:eastAsiaTheme="minorEastAsia"/>
          <w:iCs/>
          <w:sz w:val="24"/>
          <w:lang w:eastAsia="zh-CN"/>
        </w:rPr>
        <w:t>，</w:t>
      </w:r>
      <w:r>
        <w:rPr>
          <w:rFonts w:hint="eastAsia" w:eastAsiaTheme="minorEastAsia"/>
          <w:iCs/>
          <w:sz w:val="24"/>
        </w:rPr>
        <w:t>学生参与真实行业项目</w:t>
      </w:r>
      <w:r>
        <w:rPr>
          <w:rFonts w:hint="eastAsia" w:eastAsiaTheme="minorEastAsia"/>
          <w:iCs/>
          <w:sz w:val="24"/>
          <w:lang w:eastAsia="zh-CN"/>
        </w:rPr>
        <w:t>。</w:t>
      </w:r>
    </w:p>
    <w:p w14:paraId="13344F72">
      <w:pPr>
        <w:keepNext w:val="0"/>
        <w:keepLines w:val="0"/>
        <w:pageBreakBefore w:val="0"/>
        <w:widowControl w:val="0"/>
        <w:numPr>
          <w:numId w:val="0"/>
        </w:numPr>
        <w:kinsoku/>
        <w:wordWrap/>
        <w:overflowPunct/>
        <w:topLinePunct w:val="0"/>
        <w:autoSpaceDE/>
        <w:autoSpaceDN/>
        <w:bidi w:val="0"/>
        <w:adjustRightInd/>
        <w:snapToGrid/>
        <w:spacing w:line="360" w:lineRule="auto"/>
        <w:ind w:right="227" w:rightChars="0" w:firstLine="480" w:firstLineChars="200"/>
        <w:jc w:val="both"/>
        <w:textAlignment w:val="auto"/>
        <w:rPr>
          <w:rFonts w:hint="eastAsia" w:eastAsiaTheme="minorEastAsia"/>
          <w:iCs/>
          <w:sz w:val="24"/>
        </w:rPr>
      </w:pPr>
      <w:r>
        <w:rPr>
          <w:rFonts w:hint="eastAsia" w:eastAsiaTheme="minorEastAsia"/>
          <w:iCs/>
          <w:sz w:val="24"/>
          <w:lang w:val="en-US" w:eastAsia="zh-CN"/>
        </w:rPr>
        <w:t>3.</w:t>
      </w:r>
      <w:r>
        <w:rPr>
          <w:rFonts w:hint="eastAsia" w:eastAsiaTheme="minorEastAsia"/>
          <w:iCs/>
          <w:sz w:val="24"/>
        </w:rPr>
        <w:t>聚焦研究方向</w:t>
      </w:r>
      <w:r>
        <w:rPr>
          <w:rFonts w:hint="eastAsia" w:eastAsiaTheme="minorEastAsia"/>
          <w:iCs/>
          <w:sz w:val="24"/>
          <w:lang w:val="en-US" w:eastAsia="zh-CN"/>
        </w:rPr>
        <w:t>培养专门人才</w:t>
      </w:r>
    </w:p>
    <w:p w14:paraId="301871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227" w:rightChars="0" w:firstLine="480" w:firstLineChars="200"/>
        <w:jc w:val="both"/>
        <w:textAlignment w:val="auto"/>
        <w:rPr>
          <w:rFonts w:hint="default" w:eastAsiaTheme="minorEastAsia"/>
          <w:iCs/>
          <w:sz w:val="24"/>
          <w:lang w:val="en-US" w:eastAsia="zh-CN"/>
        </w:rPr>
      </w:pPr>
      <w:r>
        <w:rPr>
          <w:rFonts w:hint="eastAsia" w:eastAsiaTheme="minorEastAsia"/>
          <w:iCs/>
          <w:sz w:val="24"/>
          <w:lang w:val="en-US" w:eastAsia="zh-CN"/>
        </w:rPr>
        <w:t>聚焦</w:t>
      </w:r>
      <w:r>
        <w:rPr>
          <w:rFonts w:hint="eastAsia" w:eastAsiaTheme="minorEastAsia"/>
          <w:iCs/>
          <w:sz w:val="24"/>
        </w:rPr>
        <w:t>人口结构与康养保险、保险科技与新能源车险</w:t>
      </w:r>
      <w:r>
        <w:rPr>
          <w:rFonts w:hint="eastAsia" w:eastAsiaTheme="minorEastAsia"/>
          <w:iCs/>
          <w:sz w:val="24"/>
          <w:lang w:val="en-US" w:eastAsia="zh-CN"/>
        </w:rPr>
        <w:t>两个研究方向</w:t>
      </w:r>
      <w:r>
        <w:rPr>
          <w:rFonts w:hint="eastAsia" w:eastAsiaTheme="minorEastAsia"/>
          <w:iCs/>
          <w:sz w:val="24"/>
          <w:lang w:eastAsia="zh-CN"/>
        </w:rPr>
        <w:t>，</w:t>
      </w:r>
      <w:r>
        <w:rPr>
          <w:rFonts w:hint="eastAsia" w:eastAsiaTheme="minorEastAsia"/>
          <w:iCs/>
          <w:sz w:val="24"/>
          <w:lang w:val="en-US" w:eastAsia="zh-CN"/>
        </w:rPr>
        <w:t>通过交叉和多元化的师资，通过课程、实践、课题、就业多个维度开展工作，培养这两个方向的专门人才，</w:t>
      </w:r>
    </w:p>
    <w:p w14:paraId="4A19086C">
      <w:pPr>
        <w:keepNext w:val="0"/>
        <w:keepLines w:val="0"/>
        <w:pageBreakBefore w:val="0"/>
        <w:widowControl w:val="0"/>
        <w:kinsoku/>
        <w:wordWrap/>
        <w:overflowPunct/>
        <w:topLinePunct w:val="0"/>
        <w:autoSpaceDE/>
        <w:autoSpaceDN/>
        <w:bidi w:val="0"/>
        <w:adjustRightInd/>
        <w:snapToGrid/>
        <w:spacing w:line="360" w:lineRule="auto"/>
        <w:ind w:left="0" w:leftChars="0" w:right="227" w:firstLine="562" w:firstLineChars="200"/>
        <w:jc w:val="both"/>
        <w:textAlignment w:val="auto"/>
        <w:rPr>
          <w:rFonts w:hint="eastAsia" w:eastAsia="黑体"/>
          <w:b/>
          <w:bCs/>
          <w:sz w:val="28"/>
          <w:szCs w:val="28"/>
        </w:rPr>
      </w:pPr>
      <w:r>
        <w:rPr>
          <w:rFonts w:hint="eastAsia" w:eastAsia="黑体"/>
          <w:b/>
          <w:bCs/>
          <w:sz w:val="28"/>
          <w:szCs w:val="28"/>
          <w:lang w:val="en-US" w:eastAsia="zh-CN"/>
        </w:rPr>
        <w:t>七、</w:t>
      </w:r>
      <w:r>
        <w:rPr>
          <w:rFonts w:hint="eastAsia" w:eastAsia="黑体"/>
          <w:b/>
          <w:bCs/>
          <w:sz w:val="28"/>
          <w:szCs w:val="28"/>
        </w:rPr>
        <w:t>中期筛选</w:t>
      </w:r>
    </w:p>
    <w:p w14:paraId="3BD4D9E5">
      <w:pPr>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在完成培养方案规定的课程学习、考核成绩合格、获得规定的学分后，按照《河北大学研究生中期筛选管理办法》（校政字〔2021〕15号）的相关规定，组织开展中期筛选工作。</w:t>
      </w:r>
    </w:p>
    <w:bookmarkEnd w:id="0"/>
    <w:p w14:paraId="58B9BC7D">
      <w:pPr>
        <w:spacing w:line="360" w:lineRule="auto"/>
        <w:ind w:firstLine="562" w:firstLineChars="200"/>
        <w:rPr>
          <w:rFonts w:eastAsia="黑体"/>
          <w:b/>
          <w:bCs w:val="0"/>
          <w:sz w:val="28"/>
          <w:szCs w:val="28"/>
        </w:rPr>
      </w:pPr>
      <w:r>
        <w:rPr>
          <w:rFonts w:hint="eastAsia" w:eastAsia="黑体"/>
          <w:b/>
          <w:bCs w:val="0"/>
          <w:sz w:val="28"/>
          <w:szCs w:val="28"/>
        </w:rPr>
        <w:t>八</w:t>
      </w:r>
      <w:r>
        <w:rPr>
          <w:rFonts w:eastAsia="黑体"/>
          <w:b/>
          <w:bCs w:val="0"/>
          <w:sz w:val="28"/>
          <w:szCs w:val="28"/>
        </w:rPr>
        <w:t>、学位（毕业）论文</w:t>
      </w:r>
    </w:p>
    <w:p w14:paraId="17CA647E">
      <w:pPr>
        <w:widowControl/>
        <w:spacing w:line="360" w:lineRule="auto"/>
        <w:ind w:firstLine="480"/>
        <w:jc w:val="left"/>
        <w:rPr>
          <w:rFonts w:hint="eastAsia" w:eastAsia="宋体"/>
          <w:i w:val="0"/>
          <w:iCs/>
          <w:color w:val="auto"/>
          <w:kern w:val="0"/>
          <w:sz w:val="18"/>
          <w:szCs w:val="18"/>
          <w:lang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〔2025〕*号</w:t>
      </w:r>
      <w:r>
        <w:rPr>
          <w:color w:val="000000" w:themeColor="text1"/>
          <w:kern w:val="0"/>
          <w:sz w:val="24"/>
          <w14:textFill>
            <w14:solidFill>
              <w14:schemeClr w14:val="tx1"/>
            </w14:solidFill>
          </w14:textFill>
        </w:rPr>
        <w:t>）规定，硕士研究生论文开题与答辩时间间隔原则上不少于12个月。</w:t>
      </w:r>
      <w:r>
        <w:rPr>
          <w:i w:val="0"/>
          <w:iCs/>
          <w:color w:val="auto"/>
          <w:kern w:val="0"/>
          <w:sz w:val="24"/>
        </w:rPr>
        <w:t>学位（毕业）论文应当表明作者具有独立从事学术研究工作的能力，鼓励硕士研究生参与科学研究，取得创新性成果</w:t>
      </w:r>
      <w:r>
        <w:rPr>
          <w:rFonts w:hint="eastAsia"/>
          <w:i w:val="0"/>
          <w:iCs/>
          <w:color w:val="auto"/>
          <w:kern w:val="0"/>
          <w:sz w:val="24"/>
          <w:lang w:eastAsia="zh-CN"/>
        </w:rPr>
        <w:t>。</w:t>
      </w:r>
    </w:p>
    <w:p w14:paraId="2FDF7FD4">
      <w:pPr>
        <w:widowControl/>
        <w:spacing w:line="360" w:lineRule="auto"/>
        <w:ind w:firstLine="480"/>
        <w:jc w:val="left"/>
        <w:rPr>
          <w:i w:val="0"/>
          <w:iCs/>
          <w:color w:val="auto"/>
          <w:kern w:val="0"/>
          <w:sz w:val="18"/>
          <w:szCs w:val="18"/>
        </w:rPr>
      </w:pPr>
      <w:r>
        <w:rPr>
          <w:bCs/>
          <w:color w:val="222222"/>
          <w:kern w:val="0"/>
          <w:sz w:val="24"/>
        </w:rPr>
        <w:t>2.开题：</w:t>
      </w:r>
      <w:r>
        <w:rPr>
          <w:i w:val="0"/>
          <w:iCs/>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57DA195">
      <w:pPr>
        <w:widowControl/>
        <w:spacing w:line="360" w:lineRule="auto"/>
        <w:ind w:firstLine="480"/>
        <w:jc w:val="left"/>
        <w:rPr>
          <w:i w:val="0"/>
          <w:iCs/>
          <w:color w:val="auto"/>
          <w:kern w:val="0"/>
          <w:sz w:val="18"/>
          <w:szCs w:val="18"/>
        </w:rPr>
      </w:pPr>
      <w:r>
        <w:rPr>
          <w:i w:val="0"/>
          <w:iCs/>
          <w:color w:val="auto"/>
          <w:kern w:val="0"/>
          <w:sz w:val="24"/>
        </w:rPr>
        <w:t>在入学后第3学期完成开题。开题由3-5名具有高级专业技术职务人员参加，以学术报告的方式进行。</w:t>
      </w:r>
    </w:p>
    <w:p w14:paraId="7EA6EE71">
      <w:pPr>
        <w:widowControl/>
        <w:spacing w:line="360" w:lineRule="auto"/>
        <w:ind w:firstLine="480"/>
        <w:jc w:val="left"/>
        <w:rPr>
          <w:i/>
          <w:color w:val="FF0000"/>
          <w:kern w:val="0"/>
          <w:sz w:val="24"/>
        </w:rPr>
      </w:pPr>
      <w:r>
        <w:rPr>
          <w:bCs/>
          <w:color w:val="222222"/>
          <w:kern w:val="0"/>
          <w:sz w:val="24"/>
        </w:rPr>
        <w:t>3.中期进展报告：</w:t>
      </w:r>
      <w:r>
        <w:rPr>
          <w:i w:val="0"/>
          <w:iCs/>
          <w:color w:val="auto"/>
          <w:kern w:val="0"/>
          <w:sz w:val="24"/>
        </w:rPr>
        <w:t>中期进展报告是检查研究生个人综合能力及学位论文进展、指导研究生把握学位（毕业）论文方向、提高学位（毕业）论文质量的必要环节。中期进展报告应在入学后第5学期进行；各导师组自行制定中期考核办法并组织考核。</w:t>
      </w:r>
    </w:p>
    <w:p w14:paraId="57877527">
      <w:pPr>
        <w:widowControl/>
        <w:spacing w:line="360" w:lineRule="auto"/>
        <w:ind w:firstLine="480"/>
        <w:jc w:val="left"/>
        <w:rPr>
          <w:i w:val="0"/>
          <w:iCs/>
          <w:color w:val="auto"/>
          <w:kern w:val="0"/>
          <w:sz w:val="24"/>
        </w:rPr>
      </w:pPr>
      <w:r>
        <w:rPr>
          <w:bCs/>
          <w:color w:val="222222"/>
          <w:kern w:val="0"/>
          <w:sz w:val="24"/>
        </w:rPr>
        <w:t>4.学位申请：</w:t>
      </w:r>
      <w:r>
        <w:rPr>
          <w:i w:val="0"/>
          <w:iCs/>
          <w:color w:val="auto"/>
          <w:kern w:val="0"/>
          <w:sz w:val="24"/>
        </w:rPr>
        <w:t>达到学位授予条件的申请人，经导师同意后，应于答辩前三个月，向所属学位评定分委员会提出学位申请，提交学位申请材料。</w:t>
      </w:r>
    </w:p>
    <w:p w14:paraId="43C68974">
      <w:pPr>
        <w:widowControl/>
        <w:spacing w:line="360" w:lineRule="auto"/>
        <w:ind w:firstLine="480"/>
        <w:jc w:val="left"/>
        <w:rPr>
          <w:i w:val="0"/>
          <w:iCs/>
          <w:color w:val="auto"/>
          <w:kern w:val="0"/>
          <w:sz w:val="24"/>
        </w:rPr>
      </w:pPr>
      <w:r>
        <w:rPr>
          <w:bCs/>
          <w:i w:val="0"/>
          <w:iCs/>
          <w:color w:val="auto"/>
          <w:kern w:val="0"/>
          <w:sz w:val="24"/>
        </w:rPr>
        <w:t>5.预答辩：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1960D551">
      <w:pPr>
        <w:widowControl/>
        <w:spacing w:line="360" w:lineRule="auto"/>
        <w:ind w:firstLine="480"/>
        <w:jc w:val="left"/>
        <w:rPr>
          <w:color w:val="222222"/>
          <w:kern w:val="0"/>
          <w:sz w:val="24"/>
        </w:rPr>
      </w:pPr>
      <w:r>
        <w:rPr>
          <w:bCs/>
          <w:i w:val="0"/>
          <w:iCs/>
          <w:color w:val="auto"/>
          <w:kern w:val="0"/>
          <w:sz w:val="24"/>
        </w:rPr>
        <w:t>6.论文评阅：</w:t>
      </w:r>
      <w:r>
        <w:rPr>
          <w:i w:val="0"/>
          <w:iCs/>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5B4BC979">
      <w:pPr>
        <w:widowControl/>
        <w:spacing w:line="360" w:lineRule="auto"/>
        <w:ind w:firstLine="480"/>
        <w:jc w:val="left"/>
        <w:rPr>
          <w:rFonts w:eastAsiaTheme="minorEastAsia"/>
          <w:i/>
          <w:color w:val="FF0000"/>
          <w:sz w:val="24"/>
        </w:rPr>
      </w:pPr>
      <w:r>
        <w:rPr>
          <w:b w:val="0"/>
          <w:bCs w:val="0"/>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230533E1">
      <w:pPr>
        <w:spacing w:line="360" w:lineRule="auto"/>
        <w:ind w:firstLine="562" w:firstLineChars="200"/>
        <w:rPr>
          <w:rFonts w:eastAsia="黑体"/>
          <w:b/>
          <w:bCs w:val="0"/>
          <w:sz w:val="28"/>
          <w:szCs w:val="28"/>
        </w:rPr>
      </w:pPr>
      <w:r>
        <w:rPr>
          <w:rFonts w:hint="eastAsia" w:eastAsia="黑体"/>
          <w:b/>
          <w:bCs w:val="0"/>
          <w:sz w:val="28"/>
          <w:szCs w:val="28"/>
        </w:rPr>
        <w:t>九</w:t>
      </w:r>
      <w:r>
        <w:rPr>
          <w:rFonts w:eastAsia="黑体"/>
          <w:b/>
          <w:bCs w:val="0"/>
          <w:sz w:val="28"/>
          <w:szCs w:val="28"/>
        </w:rPr>
        <w:t>、毕业条件</w:t>
      </w:r>
    </w:p>
    <w:p w14:paraId="6B6CC125">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702207F">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728A563D">
      <w:pPr>
        <w:spacing w:line="360" w:lineRule="auto"/>
        <w:ind w:firstLine="480" w:firstLineChars="200"/>
        <w:rPr>
          <w:bCs/>
          <w:kern w:val="0"/>
          <w:sz w:val="24"/>
        </w:rPr>
      </w:pPr>
      <w:r>
        <w:rPr>
          <w:bCs/>
          <w:kern w:val="0"/>
          <w:sz w:val="24"/>
        </w:rPr>
        <w:t>（1）学术活动：研究生在读期间参加不少于</w:t>
      </w:r>
      <w:r>
        <w:rPr>
          <w:bCs/>
          <w:i w:val="0"/>
          <w:iCs/>
          <w:color w:val="auto"/>
          <w:kern w:val="0"/>
          <w:sz w:val="24"/>
        </w:rPr>
        <w:t>10</w:t>
      </w:r>
      <w:r>
        <w:rPr>
          <w:bCs/>
          <w:kern w:val="0"/>
          <w:sz w:val="24"/>
        </w:rPr>
        <w:t>次学术活动，并撰写学术报告小结；以主讲人或宣讲人身份，参加在校内外举行的学术报告或学术讲座不少于</w:t>
      </w:r>
      <w:r>
        <w:rPr>
          <w:bCs/>
          <w:i w:val="0"/>
          <w:iCs/>
          <w:color w:val="auto"/>
          <w:kern w:val="0"/>
          <w:sz w:val="24"/>
        </w:rPr>
        <w:t>1</w:t>
      </w:r>
      <w:r>
        <w:rPr>
          <w:bCs/>
          <w:kern w:val="0"/>
          <w:sz w:val="24"/>
        </w:rPr>
        <w:t>次。</w:t>
      </w:r>
    </w:p>
    <w:p w14:paraId="3FFD704B">
      <w:pPr>
        <w:spacing w:line="360" w:lineRule="auto"/>
        <w:ind w:firstLine="480" w:firstLineChars="200"/>
        <w:rPr>
          <w:rFonts w:ascii="宋体" w:hAnsi="宋体"/>
          <w:sz w:val="24"/>
        </w:rPr>
      </w:pPr>
      <w:r>
        <w:rPr>
          <w:bCs/>
          <w:kern w:val="0"/>
          <w:sz w:val="24"/>
        </w:rPr>
        <w:t>（2）实践活动：参与本专业相关的社会实践，由相关单位出具相关实践证明材料；或组织开展与本专业相关的调查、考察等活动，并提交相关报告。</w:t>
      </w:r>
      <w:r>
        <w:rPr>
          <w:rFonts w:hint="eastAsia" w:ascii="宋体" w:hAnsi="宋体"/>
          <w:sz w:val="24"/>
        </w:rPr>
        <w:t>要求所有学生必须参加行业实习，</w:t>
      </w:r>
      <w:r>
        <w:rPr>
          <w:rFonts w:hint="eastAsia" w:ascii="宋体" w:hAnsi="宋体"/>
          <w:sz w:val="24"/>
          <w:lang w:val="en-US" w:eastAsia="zh-CN"/>
        </w:rPr>
        <w:t>以签约实践基地为主，</w:t>
      </w:r>
      <w:r>
        <w:rPr>
          <w:rFonts w:hint="eastAsia" w:ascii="宋体" w:hAnsi="宋体"/>
          <w:sz w:val="24"/>
        </w:rPr>
        <w:t>至少</w:t>
      </w:r>
      <w:r>
        <w:rPr>
          <w:rFonts w:hint="eastAsia" w:ascii="宋体" w:hAnsi="宋体"/>
          <w:sz w:val="24"/>
          <w:lang w:val="en-US" w:eastAsia="zh-CN"/>
        </w:rPr>
        <w:t>两次，每次至少</w:t>
      </w:r>
      <w:r>
        <w:rPr>
          <w:rFonts w:ascii="宋体" w:hAnsi="宋体"/>
          <w:sz w:val="24"/>
        </w:rPr>
        <w:t>1</w:t>
      </w:r>
      <w:r>
        <w:rPr>
          <w:rFonts w:hint="eastAsia" w:ascii="宋体" w:hAnsi="宋体"/>
          <w:sz w:val="24"/>
        </w:rPr>
        <w:t>个月的实习时间，并撰写实习报告，由实习单位出具实习鉴定。</w:t>
      </w:r>
    </w:p>
    <w:p w14:paraId="3D89CBE8">
      <w:pPr>
        <w:spacing w:line="360" w:lineRule="auto"/>
        <w:ind w:firstLine="480" w:firstLineChars="200"/>
        <w:rPr>
          <w:bCs/>
          <w:kern w:val="0"/>
          <w:sz w:val="24"/>
        </w:rPr>
      </w:pPr>
    </w:p>
    <w:p w14:paraId="661A14E7">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BB94C93">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6EABA137">
      <w:pPr>
        <w:spacing w:line="360" w:lineRule="auto"/>
        <w:ind w:firstLine="562" w:firstLineChars="200"/>
        <w:rPr>
          <w:rFonts w:eastAsia="黑体"/>
          <w:b/>
          <w:bCs w:val="0"/>
          <w:sz w:val="28"/>
          <w:szCs w:val="28"/>
        </w:rPr>
      </w:pPr>
      <w:r>
        <w:rPr>
          <w:rFonts w:hint="eastAsia" w:eastAsia="黑体"/>
          <w:b/>
          <w:bCs w:val="0"/>
          <w:sz w:val="28"/>
          <w:szCs w:val="28"/>
        </w:rPr>
        <w:t>十</w:t>
      </w:r>
      <w:r>
        <w:rPr>
          <w:rFonts w:eastAsia="黑体"/>
          <w:b/>
          <w:bCs w:val="0"/>
          <w:sz w:val="28"/>
          <w:szCs w:val="28"/>
        </w:rPr>
        <w:t>、创新性成果</w:t>
      </w:r>
    </w:p>
    <w:p w14:paraId="20D3FBA6">
      <w:pPr>
        <w:spacing w:line="360" w:lineRule="auto"/>
        <w:ind w:firstLine="480" w:firstLineChars="200"/>
        <w:rPr>
          <w:rFonts w:hint="default" w:eastAsiaTheme="minorEastAsia"/>
          <w:i/>
          <w:color w:val="FF0000"/>
          <w:sz w:val="24"/>
          <w:lang w:val="en-US"/>
        </w:rPr>
      </w:pPr>
      <w:r>
        <w:rPr>
          <w:rFonts w:hint="eastAsia" w:eastAsiaTheme="minorEastAsia"/>
          <w:i w:val="0"/>
          <w:iCs/>
          <w:color w:val="auto"/>
          <w:sz w:val="24"/>
          <w:lang w:val="en-US" w:eastAsia="zh-CN"/>
        </w:rPr>
        <w:t>要求学生必须参加一次行业导师或者实践基地安排的产品创新、流程再造、行业课题等，并由相关行业主体出具鉴定意见。</w:t>
      </w:r>
    </w:p>
    <w:p w14:paraId="16AFF2DC">
      <w:pPr>
        <w:spacing w:line="360" w:lineRule="auto"/>
        <w:ind w:firstLine="562" w:firstLineChars="200"/>
        <w:rPr>
          <w:rFonts w:eastAsia="黑体"/>
          <w:b/>
          <w:bCs w:val="0"/>
          <w:sz w:val="28"/>
          <w:szCs w:val="28"/>
        </w:rPr>
      </w:pPr>
      <w:r>
        <w:rPr>
          <w:rFonts w:eastAsia="黑体"/>
          <w:b/>
          <w:bCs w:val="0"/>
          <w:sz w:val="28"/>
          <w:szCs w:val="28"/>
        </w:rPr>
        <w:t>十一、学位授予</w:t>
      </w:r>
    </w:p>
    <w:p w14:paraId="18BC4FA1">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i w:val="0"/>
          <w:iCs/>
          <w:color w:val="auto"/>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71F5B5D">
      <w:pPr>
        <w:spacing w:line="360" w:lineRule="auto"/>
        <w:ind w:firstLine="562" w:firstLineChars="200"/>
        <w:rPr>
          <w:rFonts w:eastAsia="黑体"/>
          <w:b/>
          <w:bCs w:val="0"/>
          <w:sz w:val="28"/>
          <w:szCs w:val="28"/>
        </w:rPr>
      </w:pPr>
      <w:r>
        <w:rPr>
          <w:rFonts w:eastAsia="黑体"/>
          <w:b/>
          <w:bCs w:val="0"/>
          <w:sz w:val="28"/>
          <w:szCs w:val="28"/>
        </w:rPr>
        <w:t>十</w:t>
      </w:r>
      <w:r>
        <w:rPr>
          <w:rFonts w:hint="eastAsia" w:eastAsia="黑体"/>
          <w:b/>
          <w:bCs w:val="0"/>
          <w:sz w:val="28"/>
          <w:szCs w:val="28"/>
        </w:rPr>
        <w:t>二</w:t>
      </w:r>
      <w:r>
        <w:rPr>
          <w:rFonts w:eastAsia="黑体"/>
          <w:b/>
          <w:bCs w:val="0"/>
          <w:sz w:val="28"/>
          <w:szCs w:val="28"/>
        </w:rPr>
        <w:t>、学分及课程设置</w:t>
      </w:r>
    </w:p>
    <w:p w14:paraId="758A7001">
      <w:pPr>
        <w:spacing w:line="360" w:lineRule="auto"/>
        <w:ind w:firstLine="480" w:firstLineChars="200"/>
        <w:rPr>
          <w:rFonts w:eastAsiaTheme="minorEastAsia"/>
          <w:color w:val="auto"/>
          <w:sz w:val="24"/>
        </w:rPr>
      </w:pPr>
      <w:r>
        <w:rPr>
          <w:rFonts w:eastAsiaTheme="minorEastAsia"/>
          <w:color w:val="auto"/>
          <w:sz w:val="24"/>
        </w:rPr>
        <w:t>本专业最低毕业学分为</w:t>
      </w:r>
      <w:r>
        <w:rPr>
          <w:rFonts w:hint="eastAsia" w:eastAsiaTheme="minorEastAsia"/>
          <w:color w:val="auto"/>
          <w:sz w:val="24"/>
          <w:lang w:val="en-US" w:eastAsia="zh-CN"/>
        </w:rPr>
        <w:t>33</w:t>
      </w:r>
      <w:bookmarkStart w:id="1" w:name="_GoBack"/>
      <w:bookmarkEnd w:id="1"/>
      <w:r>
        <w:rPr>
          <w:rFonts w:eastAsiaTheme="minorEastAsia"/>
          <w:color w:val="auto"/>
          <w:sz w:val="24"/>
        </w:rPr>
        <w:t>分，其中学位课</w:t>
      </w:r>
      <w:r>
        <w:rPr>
          <w:rFonts w:hint="eastAsia" w:eastAsiaTheme="minorEastAsia"/>
          <w:color w:val="auto"/>
          <w:sz w:val="24"/>
          <w:lang w:val="en-US" w:eastAsia="zh-CN"/>
        </w:rPr>
        <w:t>20</w:t>
      </w:r>
      <w:r>
        <w:rPr>
          <w:rFonts w:eastAsiaTheme="minorEastAsia"/>
          <w:color w:val="auto"/>
          <w:sz w:val="24"/>
        </w:rPr>
        <w:t>学分，非学位课</w:t>
      </w:r>
      <w:r>
        <w:rPr>
          <w:rFonts w:hint="eastAsia" w:eastAsiaTheme="minorEastAsia"/>
          <w:color w:val="auto"/>
          <w:sz w:val="24"/>
          <w:lang w:val="en-US" w:eastAsia="zh-CN"/>
        </w:rPr>
        <w:t>12</w:t>
      </w:r>
      <w:r>
        <w:rPr>
          <w:rFonts w:eastAsiaTheme="minorEastAsia"/>
          <w:color w:val="auto"/>
          <w:sz w:val="24"/>
        </w:rPr>
        <w:t>学分，必修环节</w:t>
      </w:r>
      <w:r>
        <w:rPr>
          <w:rFonts w:hint="eastAsia" w:eastAsiaTheme="minorEastAsia"/>
          <w:color w:val="auto"/>
          <w:sz w:val="24"/>
          <w:lang w:val="en-US" w:eastAsia="zh-CN"/>
        </w:rPr>
        <w:t>1</w:t>
      </w:r>
      <w:r>
        <w:rPr>
          <w:rFonts w:eastAsiaTheme="minorEastAsia"/>
          <w:color w:val="auto"/>
          <w:sz w:val="24"/>
        </w:rPr>
        <w:t>分。</w:t>
      </w:r>
    </w:p>
    <w:p w14:paraId="41BFEBE4">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026BF656">
      <w:pPr>
        <w:spacing w:line="360" w:lineRule="auto"/>
        <w:rPr>
          <w:rFonts w:eastAsiaTheme="minorEastAsia"/>
          <w:color w:val="FF0000"/>
          <w:sz w:val="24"/>
        </w:rPr>
      </w:pPr>
      <w:r>
        <w:rPr>
          <w:i/>
          <w:color w:val="000000"/>
          <w:sz w:val="24"/>
        </w:rPr>
        <w:t xml:space="preserve">    </w:t>
      </w:r>
      <w:r>
        <w:rPr>
          <w:i w:val="0"/>
          <w:iCs/>
          <w:color w:val="auto"/>
          <w:sz w:val="24"/>
        </w:rPr>
        <w:t>课程考核方式包括考试和考查，</w:t>
      </w:r>
      <w:r>
        <w:rPr>
          <w:rFonts w:eastAsiaTheme="minorEastAsia"/>
          <w:i w:val="0"/>
          <w:iCs/>
          <w:color w:val="auto"/>
          <w:sz w:val="24"/>
        </w:rPr>
        <w:t>可以采用口试、笔试或写读书报告、论文的形式，</w:t>
      </w:r>
      <w:r>
        <w:rPr>
          <w:rFonts w:eastAsiaTheme="minorEastAsia"/>
          <w:iCs/>
          <w:sz w:val="24"/>
        </w:rPr>
        <w:t>但应有</w:t>
      </w:r>
      <w:r>
        <w:rPr>
          <w:rFonts w:hint="eastAsia" w:eastAsiaTheme="minorEastAsia"/>
          <w:iCs/>
          <w:sz w:val="24"/>
          <w:lang w:val="en-US" w:eastAsia="zh-CN"/>
        </w:rPr>
        <w:t>20%</w:t>
      </w:r>
      <w:r>
        <w:rPr>
          <w:rFonts w:eastAsiaTheme="minorEastAsia"/>
          <w:iCs/>
          <w:sz w:val="24"/>
        </w:rPr>
        <w:t>笔试</w:t>
      </w:r>
      <w:r>
        <w:rPr>
          <w:rFonts w:hint="eastAsia" w:eastAsiaTheme="minorEastAsia"/>
          <w:iCs/>
          <w:sz w:val="24"/>
          <w:lang w:eastAsia="zh-CN"/>
        </w:rPr>
        <w:t>，</w:t>
      </w:r>
      <w:r>
        <w:rPr>
          <w:rFonts w:eastAsiaTheme="minorEastAsia"/>
          <w:i w:val="0"/>
          <w:iCs/>
          <w:color w:val="auto"/>
          <w:sz w:val="24"/>
        </w:rPr>
        <w:t>无论采取何种考核方式，均应能真实反映学生对所学课程掌握的程度及运用知识的能力。</w:t>
      </w:r>
    </w:p>
    <w:p w14:paraId="11A65697">
      <w:pPr>
        <w:spacing w:after="156" w:afterLines="50" w:line="440" w:lineRule="exact"/>
        <w:ind w:firstLine="482" w:firstLineChars="200"/>
        <w:jc w:val="center"/>
        <w:rPr>
          <w:rFonts w:eastAsiaTheme="minorEastAsia"/>
          <w:b/>
          <w:bCs/>
          <w:sz w:val="24"/>
        </w:rPr>
      </w:pPr>
      <w:r>
        <w:rPr>
          <w:rFonts w:hint="eastAsia" w:eastAsiaTheme="minorEastAsia"/>
          <w:b/>
          <w:bCs/>
          <w:sz w:val="24"/>
          <w:lang w:val="en-US" w:eastAsia="zh-CN"/>
        </w:rPr>
        <w:t>保险</w:t>
      </w:r>
      <w:r>
        <w:rPr>
          <w:rFonts w:eastAsiaTheme="minorEastAsia"/>
          <w:b/>
          <w:bCs/>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340712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2566CD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5192F8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721B3F2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7A0DE7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6E1B8A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252DAD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2453FA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881855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585D2B3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513B381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4A57086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4A3FD11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218E208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A17A74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608C2A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E91B0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49E9031">
            <w:pPr>
              <w:jc w:val="center"/>
              <w:rPr>
                <w:b/>
                <w:color w:val="000000" w:themeColor="text1"/>
                <w:sz w:val="18"/>
                <w:szCs w:val="18"/>
                <w14:textFill>
                  <w14:solidFill>
                    <w14:schemeClr w14:val="tx1"/>
                  </w14:solidFill>
                </w14:textFill>
              </w:rPr>
            </w:pPr>
          </w:p>
        </w:tc>
        <w:tc>
          <w:tcPr>
            <w:tcW w:w="1226" w:type="dxa"/>
            <w:vMerge w:val="continue"/>
            <w:vAlign w:val="center"/>
          </w:tcPr>
          <w:p w14:paraId="3C739F32">
            <w:pPr>
              <w:jc w:val="center"/>
              <w:rPr>
                <w:b/>
                <w:color w:val="000000" w:themeColor="text1"/>
                <w:sz w:val="18"/>
                <w:szCs w:val="18"/>
                <w14:textFill>
                  <w14:solidFill>
                    <w14:schemeClr w14:val="tx1"/>
                  </w14:solidFill>
                </w14:textFill>
              </w:rPr>
            </w:pPr>
          </w:p>
        </w:tc>
        <w:tc>
          <w:tcPr>
            <w:tcW w:w="3516" w:type="dxa"/>
            <w:vAlign w:val="center"/>
          </w:tcPr>
          <w:p w14:paraId="2392A5C6">
            <w:pPr>
              <w:rPr>
                <w:sz w:val="18"/>
                <w:szCs w:val="18"/>
              </w:rPr>
            </w:pPr>
            <w:r>
              <w:rPr>
                <w:sz w:val="18"/>
                <w:szCs w:val="18"/>
              </w:rPr>
              <w:t>通用学术英语</w:t>
            </w:r>
          </w:p>
        </w:tc>
        <w:tc>
          <w:tcPr>
            <w:tcW w:w="1081" w:type="dxa"/>
            <w:vAlign w:val="center"/>
          </w:tcPr>
          <w:p w14:paraId="6D2603B3">
            <w:pPr>
              <w:jc w:val="center"/>
              <w:rPr>
                <w:sz w:val="18"/>
                <w:szCs w:val="18"/>
              </w:rPr>
            </w:pPr>
            <w:r>
              <w:rPr>
                <w:sz w:val="18"/>
                <w:szCs w:val="18"/>
              </w:rPr>
              <w:t>TS0000002</w:t>
            </w:r>
          </w:p>
        </w:tc>
        <w:tc>
          <w:tcPr>
            <w:tcW w:w="709" w:type="dxa"/>
            <w:vAlign w:val="center"/>
          </w:tcPr>
          <w:p w14:paraId="44DC570C">
            <w:pPr>
              <w:jc w:val="center"/>
              <w:rPr>
                <w:sz w:val="18"/>
                <w:szCs w:val="18"/>
              </w:rPr>
            </w:pPr>
            <w:r>
              <w:rPr>
                <w:sz w:val="18"/>
                <w:szCs w:val="18"/>
              </w:rPr>
              <w:t>2</w:t>
            </w:r>
          </w:p>
        </w:tc>
        <w:tc>
          <w:tcPr>
            <w:tcW w:w="709" w:type="dxa"/>
            <w:vAlign w:val="center"/>
          </w:tcPr>
          <w:p w14:paraId="6B4A2239">
            <w:pPr>
              <w:jc w:val="center"/>
              <w:rPr>
                <w:sz w:val="18"/>
                <w:szCs w:val="18"/>
              </w:rPr>
            </w:pPr>
            <w:r>
              <w:rPr>
                <w:sz w:val="18"/>
                <w:szCs w:val="18"/>
              </w:rPr>
              <w:t>1</w:t>
            </w:r>
          </w:p>
        </w:tc>
        <w:tc>
          <w:tcPr>
            <w:tcW w:w="1045" w:type="dxa"/>
            <w:vAlign w:val="center"/>
          </w:tcPr>
          <w:p w14:paraId="6CF4D1A6">
            <w:pPr>
              <w:jc w:val="center"/>
              <w:rPr>
                <w:sz w:val="18"/>
                <w:szCs w:val="18"/>
              </w:rPr>
            </w:pPr>
            <w:r>
              <w:rPr>
                <w:rFonts w:hint="eastAsia"/>
                <w:sz w:val="18"/>
                <w:szCs w:val="18"/>
              </w:rPr>
              <w:t>考查</w:t>
            </w:r>
          </w:p>
        </w:tc>
      </w:tr>
      <w:tr w14:paraId="5B059D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4D37559">
            <w:pPr>
              <w:jc w:val="center"/>
              <w:rPr>
                <w:b/>
                <w:color w:val="000000" w:themeColor="text1"/>
                <w:sz w:val="18"/>
                <w:szCs w:val="18"/>
                <w14:textFill>
                  <w14:solidFill>
                    <w14:schemeClr w14:val="tx1"/>
                  </w14:solidFill>
                </w14:textFill>
              </w:rPr>
            </w:pPr>
          </w:p>
        </w:tc>
        <w:tc>
          <w:tcPr>
            <w:tcW w:w="1226" w:type="dxa"/>
            <w:vMerge w:val="restart"/>
            <w:vAlign w:val="center"/>
          </w:tcPr>
          <w:p w14:paraId="0901065A">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02ECB45E">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6</w:t>
            </w:r>
            <w:r>
              <w:rPr>
                <w:b/>
                <w:color w:val="000000" w:themeColor="text1"/>
                <w:sz w:val="18"/>
                <w:szCs w:val="18"/>
                <w:highlight w:val="none"/>
                <w14:textFill>
                  <w14:solidFill>
                    <w14:schemeClr w14:val="tx1"/>
                  </w14:solidFill>
                </w14:textFill>
              </w:rPr>
              <w:t>学分）</w:t>
            </w:r>
          </w:p>
        </w:tc>
        <w:tc>
          <w:tcPr>
            <w:tcW w:w="3516" w:type="dxa"/>
            <w:vAlign w:val="center"/>
          </w:tcPr>
          <w:p w14:paraId="6FD481A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shd w:val="clear" w:color="auto" w:fill="auto"/>
            <w:vAlign w:val="center"/>
          </w:tcPr>
          <w:p w14:paraId="5AF45BE1">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ZS031400</w:t>
            </w:r>
            <w:r>
              <w:rPr>
                <w:rFonts w:hint="default" w:ascii="Times New Roman" w:hAnsi="Times New Roman" w:eastAsia="宋体" w:cs="Times New Roman"/>
                <w:color w:val="auto"/>
                <w:sz w:val="18"/>
                <w:szCs w:val="18"/>
                <w:lang w:val="en-US" w:eastAsia="zh-CN"/>
              </w:rPr>
              <w:t>1</w:t>
            </w:r>
          </w:p>
        </w:tc>
        <w:tc>
          <w:tcPr>
            <w:tcW w:w="709" w:type="dxa"/>
            <w:shd w:val="clear" w:color="auto" w:fill="auto"/>
            <w:vAlign w:val="center"/>
          </w:tcPr>
          <w:p w14:paraId="41311E35">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1</w:t>
            </w:r>
          </w:p>
        </w:tc>
        <w:tc>
          <w:tcPr>
            <w:tcW w:w="709" w:type="dxa"/>
            <w:shd w:val="clear" w:color="auto" w:fill="auto"/>
            <w:vAlign w:val="center"/>
          </w:tcPr>
          <w:p w14:paraId="762B262C">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1</w:t>
            </w:r>
          </w:p>
        </w:tc>
        <w:tc>
          <w:tcPr>
            <w:tcW w:w="1045" w:type="dxa"/>
            <w:shd w:val="clear" w:color="auto" w:fill="auto"/>
            <w:vAlign w:val="center"/>
          </w:tcPr>
          <w:p w14:paraId="72D2D2D1">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考试</w:t>
            </w:r>
          </w:p>
        </w:tc>
      </w:tr>
      <w:tr w14:paraId="1916D1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71191C9">
            <w:pPr>
              <w:jc w:val="center"/>
              <w:rPr>
                <w:b/>
                <w:color w:val="000000" w:themeColor="text1"/>
                <w:sz w:val="18"/>
                <w:szCs w:val="18"/>
                <w14:textFill>
                  <w14:solidFill>
                    <w14:schemeClr w14:val="tx1"/>
                  </w14:solidFill>
                </w14:textFill>
              </w:rPr>
            </w:pPr>
          </w:p>
        </w:tc>
        <w:tc>
          <w:tcPr>
            <w:tcW w:w="1226" w:type="dxa"/>
            <w:vMerge w:val="continue"/>
            <w:vAlign w:val="center"/>
          </w:tcPr>
          <w:p w14:paraId="1780A1A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ACDC196">
            <w:pPr>
              <w:widowControl w:val="0"/>
              <w:spacing w:line="240" w:lineRule="auto"/>
              <w:ind w:firstLine="0" w:firstLineChars="0"/>
              <w:jc w:val="both"/>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金融理论与政策</w:t>
            </w:r>
          </w:p>
        </w:tc>
        <w:tc>
          <w:tcPr>
            <w:tcW w:w="1081" w:type="dxa"/>
            <w:shd w:val="clear" w:color="auto" w:fill="auto"/>
            <w:vAlign w:val="center"/>
          </w:tcPr>
          <w:p w14:paraId="696FF3C4">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ZS031400</w:t>
            </w:r>
            <w:r>
              <w:rPr>
                <w:rFonts w:hint="default" w:ascii="Times New Roman" w:hAnsi="Times New Roman" w:eastAsia="宋体" w:cs="Times New Roman"/>
                <w:color w:val="auto"/>
                <w:sz w:val="18"/>
                <w:szCs w:val="18"/>
                <w:lang w:val="en-US" w:eastAsia="zh-CN"/>
              </w:rPr>
              <w:t>2</w:t>
            </w:r>
          </w:p>
        </w:tc>
        <w:tc>
          <w:tcPr>
            <w:tcW w:w="709" w:type="dxa"/>
            <w:shd w:val="clear" w:color="auto" w:fill="auto"/>
            <w:vAlign w:val="center"/>
          </w:tcPr>
          <w:p w14:paraId="70758CF5">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3</w:t>
            </w:r>
          </w:p>
        </w:tc>
        <w:tc>
          <w:tcPr>
            <w:tcW w:w="709" w:type="dxa"/>
            <w:shd w:val="clear" w:color="auto" w:fill="auto"/>
            <w:vAlign w:val="center"/>
          </w:tcPr>
          <w:p w14:paraId="61977038">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1</w:t>
            </w:r>
          </w:p>
        </w:tc>
        <w:tc>
          <w:tcPr>
            <w:tcW w:w="1045" w:type="dxa"/>
            <w:shd w:val="clear" w:color="auto" w:fill="auto"/>
            <w:vAlign w:val="center"/>
          </w:tcPr>
          <w:p w14:paraId="378B2A4E">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考试</w:t>
            </w:r>
          </w:p>
        </w:tc>
      </w:tr>
      <w:tr w14:paraId="1CA877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9BC0F7B">
            <w:pPr>
              <w:jc w:val="center"/>
              <w:rPr>
                <w:b/>
                <w:color w:val="000000" w:themeColor="text1"/>
                <w:sz w:val="18"/>
                <w:szCs w:val="18"/>
                <w14:textFill>
                  <w14:solidFill>
                    <w14:schemeClr w14:val="tx1"/>
                  </w14:solidFill>
                </w14:textFill>
              </w:rPr>
            </w:pPr>
          </w:p>
        </w:tc>
        <w:tc>
          <w:tcPr>
            <w:tcW w:w="1226" w:type="dxa"/>
            <w:vMerge w:val="continue"/>
            <w:vAlign w:val="center"/>
          </w:tcPr>
          <w:p w14:paraId="68022A7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0E75ACD">
            <w:pPr>
              <w:widowControl w:val="0"/>
              <w:spacing w:line="240" w:lineRule="auto"/>
              <w:ind w:firstLine="0" w:firstLineChars="0"/>
              <w:jc w:val="both"/>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金融市场与机构</w:t>
            </w:r>
          </w:p>
        </w:tc>
        <w:tc>
          <w:tcPr>
            <w:tcW w:w="1081" w:type="dxa"/>
            <w:shd w:val="clear" w:color="auto" w:fill="auto"/>
            <w:vAlign w:val="center"/>
          </w:tcPr>
          <w:p w14:paraId="06432887">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ZS0314201</w:t>
            </w:r>
          </w:p>
        </w:tc>
        <w:tc>
          <w:tcPr>
            <w:tcW w:w="709" w:type="dxa"/>
            <w:shd w:val="clear" w:color="auto" w:fill="auto"/>
            <w:vAlign w:val="center"/>
          </w:tcPr>
          <w:p w14:paraId="306AC901">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2</w:t>
            </w:r>
          </w:p>
        </w:tc>
        <w:tc>
          <w:tcPr>
            <w:tcW w:w="709" w:type="dxa"/>
            <w:shd w:val="clear" w:color="auto" w:fill="auto"/>
            <w:vAlign w:val="center"/>
          </w:tcPr>
          <w:p w14:paraId="3DD51B7D">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1</w:t>
            </w:r>
          </w:p>
        </w:tc>
        <w:tc>
          <w:tcPr>
            <w:tcW w:w="1045" w:type="dxa"/>
            <w:shd w:val="clear" w:color="auto" w:fill="auto"/>
            <w:vAlign w:val="center"/>
          </w:tcPr>
          <w:p w14:paraId="619565C8">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考试</w:t>
            </w:r>
          </w:p>
        </w:tc>
      </w:tr>
      <w:tr w14:paraId="0CFB18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F65849">
            <w:pPr>
              <w:jc w:val="center"/>
              <w:rPr>
                <w:b/>
                <w:color w:val="000000" w:themeColor="text1"/>
                <w:sz w:val="18"/>
                <w:szCs w:val="18"/>
                <w14:textFill>
                  <w14:solidFill>
                    <w14:schemeClr w14:val="tx1"/>
                  </w14:solidFill>
                </w14:textFill>
              </w:rPr>
            </w:pPr>
          </w:p>
        </w:tc>
        <w:tc>
          <w:tcPr>
            <w:tcW w:w="1226" w:type="dxa"/>
            <w:vMerge w:val="restart"/>
            <w:vAlign w:val="center"/>
          </w:tcPr>
          <w:p w14:paraId="2CA8F443">
            <w:pPr>
              <w:jc w:val="center"/>
              <w:rPr>
                <w:b/>
                <w:color w:val="auto"/>
                <w:sz w:val="18"/>
                <w:szCs w:val="18"/>
                <w:highlight w:val="none"/>
              </w:rPr>
            </w:pPr>
            <w:r>
              <w:rPr>
                <w:b/>
                <w:color w:val="auto"/>
                <w:sz w:val="18"/>
                <w:szCs w:val="18"/>
                <w:highlight w:val="none"/>
              </w:rPr>
              <w:t>专业必修课</w:t>
            </w:r>
          </w:p>
          <w:p w14:paraId="4040EECC">
            <w:pPr>
              <w:jc w:val="center"/>
              <w:rPr>
                <w:b/>
                <w:color w:val="000000" w:themeColor="text1"/>
                <w:sz w:val="18"/>
                <w:szCs w:val="18"/>
                <w14:textFill>
                  <w14:solidFill>
                    <w14:schemeClr w14:val="tx1"/>
                  </w14:solidFill>
                </w14:textFill>
              </w:rPr>
            </w:pPr>
            <w:r>
              <w:rPr>
                <w:b/>
                <w:color w:val="auto"/>
                <w:sz w:val="18"/>
                <w:szCs w:val="18"/>
                <w:highlight w:val="none"/>
              </w:rPr>
              <w:t>（</w:t>
            </w:r>
            <w:r>
              <w:rPr>
                <w:rFonts w:hint="eastAsia"/>
                <w:b/>
                <w:color w:val="auto"/>
                <w:sz w:val="18"/>
                <w:szCs w:val="18"/>
                <w:highlight w:val="none"/>
                <w:lang w:val="en-US" w:eastAsia="zh-CN"/>
              </w:rPr>
              <w:t>10</w:t>
            </w:r>
            <w:r>
              <w:rPr>
                <w:b/>
                <w:color w:val="auto"/>
                <w:sz w:val="18"/>
                <w:szCs w:val="18"/>
                <w:highlight w:val="none"/>
              </w:rPr>
              <w:t>学分）</w:t>
            </w:r>
          </w:p>
        </w:tc>
        <w:tc>
          <w:tcPr>
            <w:tcW w:w="3516" w:type="dxa"/>
            <w:shd w:val="clear" w:color="auto" w:fill="auto"/>
            <w:vAlign w:val="center"/>
          </w:tcPr>
          <w:p w14:paraId="7CCC71B4">
            <w:pPr>
              <w:spacing w:line="360" w:lineRule="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保险法律制度与监管</w:t>
            </w:r>
          </w:p>
        </w:tc>
        <w:tc>
          <w:tcPr>
            <w:tcW w:w="1081" w:type="dxa"/>
            <w:shd w:val="clear" w:color="auto" w:fill="auto"/>
            <w:vAlign w:val="center"/>
          </w:tcPr>
          <w:p w14:paraId="7B9522C8">
            <w:pPr>
              <w:spacing w:line="360" w:lineRule="auto"/>
              <w:jc w:val="center"/>
              <w:rPr>
                <w:rFonts w:ascii="Times New Roman" w:hAnsi="Times New Roman" w:eastAsia="宋体" w:cs="Times New Roman"/>
                <w:iCs/>
                <w:kern w:val="2"/>
                <w:sz w:val="18"/>
                <w:szCs w:val="18"/>
                <w:lang w:val="en-US" w:eastAsia="zh-CN" w:bidi="ar-SA"/>
              </w:rPr>
            </w:pPr>
            <w:r>
              <w:rPr>
                <w:iCs/>
                <w:sz w:val="18"/>
                <w:szCs w:val="18"/>
              </w:rPr>
              <w:t>ZS0317001</w:t>
            </w:r>
          </w:p>
        </w:tc>
        <w:tc>
          <w:tcPr>
            <w:tcW w:w="709" w:type="dxa"/>
            <w:shd w:val="clear" w:color="auto" w:fill="auto"/>
            <w:vAlign w:val="center"/>
          </w:tcPr>
          <w:p w14:paraId="2C1C8C35">
            <w:pPr>
              <w:spacing w:line="360" w:lineRule="auto"/>
              <w:jc w:val="center"/>
              <w:rPr>
                <w:rFonts w:ascii="Times New Roman" w:hAnsi="Times New Roman" w:eastAsia="宋体" w:cs="Times New Roman"/>
                <w:iCs/>
                <w:kern w:val="2"/>
                <w:sz w:val="18"/>
                <w:szCs w:val="18"/>
                <w:lang w:val="en-US" w:eastAsia="zh-CN" w:bidi="ar-SA"/>
              </w:rPr>
            </w:pPr>
            <w:r>
              <w:rPr>
                <w:rFonts w:hint="eastAsia"/>
                <w:iCs/>
                <w:sz w:val="18"/>
                <w:szCs w:val="18"/>
              </w:rPr>
              <w:t>2</w:t>
            </w:r>
          </w:p>
        </w:tc>
        <w:tc>
          <w:tcPr>
            <w:tcW w:w="709" w:type="dxa"/>
            <w:shd w:val="clear" w:color="auto" w:fill="auto"/>
            <w:vAlign w:val="center"/>
          </w:tcPr>
          <w:p w14:paraId="3BCF057D">
            <w:pPr>
              <w:spacing w:line="360" w:lineRule="auto"/>
              <w:jc w:val="center"/>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3</w:t>
            </w:r>
          </w:p>
        </w:tc>
        <w:tc>
          <w:tcPr>
            <w:tcW w:w="1045" w:type="dxa"/>
            <w:shd w:val="clear" w:color="auto" w:fill="auto"/>
            <w:vAlign w:val="center"/>
          </w:tcPr>
          <w:p w14:paraId="768C5CDB">
            <w:pPr>
              <w:spacing w:line="360" w:lineRule="auto"/>
              <w:jc w:val="center"/>
              <w:rPr>
                <w:rFonts w:ascii="Times New Roman" w:hAnsi="Times New Roman" w:eastAsia="宋体" w:cs="Times New Roman"/>
                <w:iCs/>
                <w:kern w:val="2"/>
                <w:sz w:val="18"/>
                <w:szCs w:val="18"/>
                <w:lang w:val="en-US" w:eastAsia="zh-CN" w:bidi="ar-SA"/>
              </w:rPr>
            </w:pPr>
            <w:r>
              <w:rPr>
                <w:rFonts w:hint="eastAsia"/>
                <w:iCs/>
                <w:sz w:val="18"/>
                <w:szCs w:val="18"/>
              </w:rPr>
              <w:t>考试</w:t>
            </w:r>
          </w:p>
        </w:tc>
      </w:tr>
      <w:tr w14:paraId="7688D7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96F757E">
            <w:pPr>
              <w:jc w:val="center"/>
              <w:rPr>
                <w:b/>
                <w:color w:val="000000" w:themeColor="text1"/>
                <w:sz w:val="18"/>
                <w:szCs w:val="18"/>
                <w14:textFill>
                  <w14:solidFill>
                    <w14:schemeClr w14:val="tx1"/>
                  </w14:solidFill>
                </w14:textFill>
              </w:rPr>
            </w:pPr>
          </w:p>
        </w:tc>
        <w:tc>
          <w:tcPr>
            <w:tcW w:w="1226" w:type="dxa"/>
            <w:vMerge w:val="continue"/>
            <w:vAlign w:val="center"/>
          </w:tcPr>
          <w:p w14:paraId="2814796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2F5A558">
            <w:pPr>
              <w:spacing w:line="360" w:lineRule="auto"/>
              <w:rPr>
                <w:rFonts w:ascii="Times New Roman" w:hAnsi="Times New Roman" w:eastAsia="宋体" w:cs="Times New Roman"/>
                <w:color w:val="auto"/>
                <w:kern w:val="2"/>
                <w:sz w:val="18"/>
                <w:szCs w:val="18"/>
                <w:lang w:val="en-US" w:eastAsia="zh-CN" w:bidi="ar-SA"/>
              </w:rPr>
            </w:pPr>
            <w:r>
              <w:rPr>
                <w:rFonts w:hint="eastAsia"/>
                <w:color w:val="auto"/>
                <w:sz w:val="18"/>
                <w:szCs w:val="18"/>
              </w:rPr>
              <w:t>保险理论研究</w:t>
            </w:r>
          </w:p>
        </w:tc>
        <w:tc>
          <w:tcPr>
            <w:tcW w:w="1081" w:type="dxa"/>
            <w:shd w:val="clear" w:color="auto" w:fill="auto"/>
            <w:vAlign w:val="center"/>
          </w:tcPr>
          <w:p w14:paraId="72D3A5CB">
            <w:pPr>
              <w:spacing w:line="360" w:lineRule="auto"/>
              <w:jc w:val="center"/>
              <w:rPr>
                <w:rFonts w:ascii="Times New Roman" w:hAnsi="Times New Roman" w:eastAsia="宋体" w:cs="Times New Roman"/>
                <w:i/>
                <w:color w:val="auto"/>
                <w:kern w:val="2"/>
                <w:sz w:val="18"/>
                <w:szCs w:val="18"/>
                <w:lang w:val="en-US" w:eastAsia="zh-CN" w:bidi="ar-SA"/>
              </w:rPr>
            </w:pPr>
            <w:r>
              <w:rPr>
                <w:iCs/>
                <w:color w:val="auto"/>
                <w:sz w:val="18"/>
                <w:szCs w:val="18"/>
              </w:rPr>
              <w:t>ZS0317002</w:t>
            </w:r>
          </w:p>
        </w:tc>
        <w:tc>
          <w:tcPr>
            <w:tcW w:w="709" w:type="dxa"/>
            <w:shd w:val="clear" w:color="auto" w:fill="auto"/>
            <w:vAlign w:val="center"/>
          </w:tcPr>
          <w:p w14:paraId="0FDEE2EE">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2</w:t>
            </w:r>
          </w:p>
        </w:tc>
        <w:tc>
          <w:tcPr>
            <w:tcW w:w="709" w:type="dxa"/>
            <w:shd w:val="clear" w:color="auto" w:fill="auto"/>
            <w:vAlign w:val="center"/>
          </w:tcPr>
          <w:p w14:paraId="1D9B14D7">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1</w:t>
            </w:r>
          </w:p>
        </w:tc>
        <w:tc>
          <w:tcPr>
            <w:tcW w:w="1045" w:type="dxa"/>
            <w:shd w:val="clear" w:color="auto" w:fill="auto"/>
            <w:vAlign w:val="center"/>
          </w:tcPr>
          <w:p w14:paraId="3DFAD936">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考试</w:t>
            </w:r>
          </w:p>
        </w:tc>
      </w:tr>
      <w:tr w14:paraId="6CBF92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308CC7">
            <w:pPr>
              <w:jc w:val="center"/>
              <w:rPr>
                <w:b/>
                <w:color w:val="000000" w:themeColor="text1"/>
                <w:sz w:val="18"/>
                <w:szCs w:val="18"/>
                <w14:textFill>
                  <w14:solidFill>
                    <w14:schemeClr w14:val="tx1"/>
                  </w14:solidFill>
                </w14:textFill>
              </w:rPr>
            </w:pPr>
          </w:p>
        </w:tc>
        <w:tc>
          <w:tcPr>
            <w:tcW w:w="1226" w:type="dxa"/>
            <w:vMerge w:val="continue"/>
            <w:vAlign w:val="center"/>
          </w:tcPr>
          <w:p w14:paraId="00AA0BF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3DCA21B">
            <w:pPr>
              <w:spacing w:line="360" w:lineRule="auto"/>
              <w:rPr>
                <w:rFonts w:ascii="Times New Roman" w:hAnsi="Times New Roman" w:eastAsia="宋体" w:cs="Times New Roman"/>
                <w:color w:val="auto"/>
                <w:kern w:val="2"/>
                <w:sz w:val="18"/>
                <w:szCs w:val="18"/>
                <w:lang w:val="en-US" w:eastAsia="zh-CN" w:bidi="ar-SA"/>
              </w:rPr>
            </w:pPr>
            <w:r>
              <w:rPr>
                <w:rFonts w:hint="eastAsia"/>
                <w:color w:val="auto"/>
                <w:sz w:val="18"/>
                <w:szCs w:val="18"/>
              </w:rPr>
              <w:t>风险管理研究</w:t>
            </w:r>
          </w:p>
        </w:tc>
        <w:tc>
          <w:tcPr>
            <w:tcW w:w="1081" w:type="dxa"/>
            <w:shd w:val="clear" w:color="auto" w:fill="auto"/>
            <w:vAlign w:val="center"/>
          </w:tcPr>
          <w:p w14:paraId="3B5F408C">
            <w:pPr>
              <w:spacing w:line="360" w:lineRule="auto"/>
              <w:jc w:val="center"/>
              <w:rPr>
                <w:rFonts w:ascii="Times New Roman" w:hAnsi="Times New Roman" w:eastAsia="宋体" w:cs="Times New Roman"/>
                <w:i/>
                <w:color w:val="auto"/>
                <w:kern w:val="2"/>
                <w:sz w:val="18"/>
                <w:szCs w:val="18"/>
                <w:lang w:val="en-US" w:eastAsia="zh-CN" w:bidi="ar-SA"/>
              </w:rPr>
            </w:pPr>
            <w:r>
              <w:rPr>
                <w:iCs/>
                <w:color w:val="auto"/>
                <w:sz w:val="18"/>
                <w:szCs w:val="18"/>
              </w:rPr>
              <w:t>ZS0317003</w:t>
            </w:r>
          </w:p>
        </w:tc>
        <w:tc>
          <w:tcPr>
            <w:tcW w:w="709" w:type="dxa"/>
            <w:shd w:val="clear" w:color="auto" w:fill="auto"/>
            <w:vAlign w:val="center"/>
          </w:tcPr>
          <w:p w14:paraId="7F5EA375">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2</w:t>
            </w:r>
          </w:p>
        </w:tc>
        <w:tc>
          <w:tcPr>
            <w:tcW w:w="709" w:type="dxa"/>
            <w:shd w:val="clear" w:color="auto" w:fill="auto"/>
            <w:vAlign w:val="center"/>
          </w:tcPr>
          <w:p w14:paraId="240E1EB6">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1</w:t>
            </w:r>
          </w:p>
        </w:tc>
        <w:tc>
          <w:tcPr>
            <w:tcW w:w="1045" w:type="dxa"/>
            <w:shd w:val="clear" w:color="auto" w:fill="auto"/>
            <w:vAlign w:val="center"/>
          </w:tcPr>
          <w:p w14:paraId="0E48FE48">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考试</w:t>
            </w:r>
          </w:p>
        </w:tc>
      </w:tr>
      <w:tr w14:paraId="3D2D26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5B53D7B">
            <w:pPr>
              <w:jc w:val="center"/>
              <w:rPr>
                <w:b/>
                <w:color w:val="000000" w:themeColor="text1"/>
                <w:sz w:val="18"/>
                <w:szCs w:val="18"/>
                <w14:textFill>
                  <w14:solidFill>
                    <w14:schemeClr w14:val="tx1"/>
                  </w14:solidFill>
                </w14:textFill>
              </w:rPr>
            </w:pPr>
          </w:p>
        </w:tc>
        <w:tc>
          <w:tcPr>
            <w:tcW w:w="1226" w:type="dxa"/>
            <w:vMerge w:val="continue"/>
            <w:vAlign w:val="center"/>
          </w:tcPr>
          <w:p w14:paraId="09194DD3">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4D57A48">
            <w:pPr>
              <w:spacing w:line="360" w:lineRule="auto"/>
              <w:rPr>
                <w:rFonts w:ascii="Times New Roman" w:hAnsi="Times New Roman" w:eastAsia="宋体" w:cs="Times New Roman"/>
                <w:color w:val="auto"/>
                <w:kern w:val="2"/>
                <w:sz w:val="18"/>
                <w:szCs w:val="18"/>
                <w:lang w:val="en-US" w:eastAsia="zh-CN" w:bidi="ar-SA"/>
              </w:rPr>
            </w:pPr>
            <w:r>
              <w:rPr>
                <w:rFonts w:hint="eastAsia"/>
                <w:color w:val="auto"/>
                <w:sz w:val="18"/>
                <w:szCs w:val="18"/>
              </w:rPr>
              <w:t>保险数理基础</w:t>
            </w:r>
          </w:p>
        </w:tc>
        <w:tc>
          <w:tcPr>
            <w:tcW w:w="1081" w:type="dxa"/>
            <w:shd w:val="clear" w:color="auto" w:fill="auto"/>
            <w:vAlign w:val="center"/>
          </w:tcPr>
          <w:p w14:paraId="1BC45563">
            <w:pPr>
              <w:spacing w:line="360" w:lineRule="auto"/>
              <w:jc w:val="center"/>
              <w:rPr>
                <w:rFonts w:ascii="Times New Roman" w:hAnsi="Times New Roman" w:eastAsia="宋体" w:cs="Times New Roman"/>
                <w:i/>
                <w:color w:val="auto"/>
                <w:kern w:val="2"/>
                <w:sz w:val="18"/>
                <w:szCs w:val="18"/>
                <w:lang w:val="en-US" w:eastAsia="zh-CN" w:bidi="ar-SA"/>
              </w:rPr>
            </w:pPr>
            <w:r>
              <w:rPr>
                <w:iCs/>
                <w:color w:val="auto"/>
                <w:sz w:val="18"/>
                <w:szCs w:val="18"/>
              </w:rPr>
              <w:t>ZS0317004</w:t>
            </w:r>
          </w:p>
        </w:tc>
        <w:tc>
          <w:tcPr>
            <w:tcW w:w="709" w:type="dxa"/>
            <w:shd w:val="clear" w:color="auto" w:fill="auto"/>
            <w:vAlign w:val="center"/>
          </w:tcPr>
          <w:p w14:paraId="4903E327">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2</w:t>
            </w:r>
          </w:p>
        </w:tc>
        <w:tc>
          <w:tcPr>
            <w:tcW w:w="709" w:type="dxa"/>
            <w:shd w:val="clear" w:color="auto" w:fill="auto"/>
            <w:vAlign w:val="center"/>
          </w:tcPr>
          <w:p w14:paraId="7C6D9589">
            <w:pPr>
              <w:spacing w:line="360" w:lineRule="auto"/>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lang w:val="en-US" w:eastAsia="zh-CN"/>
              </w:rPr>
              <w:t>1</w:t>
            </w:r>
          </w:p>
        </w:tc>
        <w:tc>
          <w:tcPr>
            <w:tcW w:w="1045" w:type="dxa"/>
            <w:shd w:val="clear" w:color="auto" w:fill="auto"/>
            <w:vAlign w:val="center"/>
          </w:tcPr>
          <w:p w14:paraId="0DAA2731">
            <w:pPr>
              <w:spacing w:line="360" w:lineRule="auto"/>
              <w:jc w:val="center"/>
              <w:rPr>
                <w:rFonts w:ascii="Times New Roman" w:hAnsi="Times New Roman" w:eastAsia="宋体" w:cs="Times New Roman"/>
                <w:i/>
                <w:color w:val="auto"/>
                <w:kern w:val="2"/>
                <w:sz w:val="18"/>
                <w:szCs w:val="18"/>
                <w:lang w:val="en-US" w:eastAsia="zh-CN" w:bidi="ar-SA"/>
              </w:rPr>
            </w:pPr>
            <w:r>
              <w:rPr>
                <w:rFonts w:hint="eastAsia"/>
                <w:iCs/>
                <w:color w:val="auto"/>
                <w:sz w:val="18"/>
                <w:szCs w:val="18"/>
              </w:rPr>
              <w:t>考试</w:t>
            </w:r>
          </w:p>
        </w:tc>
      </w:tr>
      <w:tr w14:paraId="20C53B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E84EB05">
            <w:pPr>
              <w:jc w:val="center"/>
              <w:rPr>
                <w:b/>
                <w:color w:val="000000" w:themeColor="text1"/>
                <w:sz w:val="18"/>
                <w:szCs w:val="18"/>
                <w14:textFill>
                  <w14:solidFill>
                    <w14:schemeClr w14:val="tx1"/>
                  </w14:solidFill>
                </w14:textFill>
              </w:rPr>
            </w:pPr>
          </w:p>
        </w:tc>
        <w:tc>
          <w:tcPr>
            <w:tcW w:w="1226" w:type="dxa"/>
            <w:vMerge w:val="continue"/>
            <w:vAlign w:val="center"/>
          </w:tcPr>
          <w:p w14:paraId="6ADC3C6D">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F54E795">
            <w:pPr>
              <w:spacing w:line="360" w:lineRule="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保险财务分析</w:t>
            </w:r>
          </w:p>
        </w:tc>
        <w:tc>
          <w:tcPr>
            <w:tcW w:w="1081" w:type="dxa"/>
            <w:shd w:val="clear" w:color="auto" w:fill="auto"/>
            <w:vAlign w:val="center"/>
          </w:tcPr>
          <w:p w14:paraId="5CE33CA4">
            <w:pPr>
              <w:spacing w:line="360" w:lineRule="auto"/>
              <w:jc w:val="center"/>
              <w:rPr>
                <w:rFonts w:ascii="Times New Roman" w:hAnsi="Times New Roman" w:eastAsia="宋体" w:cs="Times New Roman"/>
                <w:i/>
                <w:kern w:val="2"/>
                <w:sz w:val="18"/>
                <w:szCs w:val="18"/>
                <w:lang w:val="en-US" w:eastAsia="zh-CN" w:bidi="ar-SA"/>
              </w:rPr>
            </w:pPr>
            <w:r>
              <w:rPr>
                <w:iCs/>
                <w:sz w:val="18"/>
                <w:szCs w:val="18"/>
              </w:rPr>
              <w:t>ZS0317005</w:t>
            </w:r>
          </w:p>
        </w:tc>
        <w:tc>
          <w:tcPr>
            <w:tcW w:w="709" w:type="dxa"/>
            <w:shd w:val="clear" w:color="auto" w:fill="auto"/>
            <w:vAlign w:val="center"/>
          </w:tcPr>
          <w:p w14:paraId="6D741A91">
            <w:pPr>
              <w:spacing w:line="360" w:lineRule="auto"/>
              <w:jc w:val="center"/>
              <w:rPr>
                <w:rFonts w:ascii="Times New Roman" w:hAnsi="Times New Roman" w:eastAsia="宋体" w:cs="Times New Roman"/>
                <w:i/>
                <w:kern w:val="2"/>
                <w:sz w:val="18"/>
                <w:szCs w:val="18"/>
                <w:lang w:val="en-US" w:eastAsia="zh-CN" w:bidi="ar-SA"/>
              </w:rPr>
            </w:pPr>
            <w:r>
              <w:rPr>
                <w:rFonts w:hint="eastAsia"/>
                <w:iCs/>
                <w:sz w:val="18"/>
                <w:szCs w:val="18"/>
              </w:rPr>
              <w:t>2</w:t>
            </w:r>
          </w:p>
        </w:tc>
        <w:tc>
          <w:tcPr>
            <w:tcW w:w="709" w:type="dxa"/>
            <w:shd w:val="clear" w:color="auto" w:fill="auto"/>
            <w:vAlign w:val="center"/>
          </w:tcPr>
          <w:p w14:paraId="77662D4A">
            <w:pPr>
              <w:spacing w:line="360" w:lineRule="auto"/>
              <w:jc w:val="center"/>
              <w:rPr>
                <w:rFonts w:ascii="Times New Roman" w:hAnsi="Times New Roman" w:eastAsia="宋体" w:cs="Times New Roman"/>
                <w:i/>
                <w:kern w:val="2"/>
                <w:sz w:val="18"/>
                <w:szCs w:val="18"/>
                <w:lang w:val="en-US" w:eastAsia="zh-CN" w:bidi="ar-SA"/>
              </w:rPr>
            </w:pPr>
            <w:r>
              <w:rPr>
                <w:iCs/>
                <w:sz w:val="18"/>
                <w:szCs w:val="18"/>
              </w:rPr>
              <w:t>2</w:t>
            </w:r>
          </w:p>
        </w:tc>
        <w:tc>
          <w:tcPr>
            <w:tcW w:w="1045" w:type="dxa"/>
            <w:shd w:val="clear" w:color="auto" w:fill="auto"/>
            <w:vAlign w:val="center"/>
          </w:tcPr>
          <w:p w14:paraId="4CDD70BD">
            <w:pPr>
              <w:spacing w:line="360" w:lineRule="auto"/>
              <w:jc w:val="center"/>
              <w:rPr>
                <w:rFonts w:ascii="Times New Roman" w:hAnsi="Times New Roman" w:eastAsia="宋体" w:cs="Times New Roman"/>
                <w:i/>
                <w:kern w:val="2"/>
                <w:sz w:val="18"/>
                <w:szCs w:val="18"/>
                <w:lang w:val="en-US" w:eastAsia="zh-CN" w:bidi="ar-SA"/>
              </w:rPr>
            </w:pPr>
            <w:r>
              <w:rPr>
                <w:rFonts w:hint="eastAsia"/>
                <w:iCs/>
                <w:sz w:val="18"/>
                <w:szCs w:val="18"/>
              </w:rPr>
              <w:t>考试</w:t>
            </w:r>
          </w:p>
        </w:tc>
      </w:tr>
      <w:tr w14:paraId="4DDCBC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5DE50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6B3316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6F05409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5D16FF1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2BAC4EC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344DD8F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E2C423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D1AB7B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D3C2C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77C840D">
            <w:pPr>
              <w:jc w:val="center"/>
              <w:rPr>
                <w:b/>
                <w:color w:val="000000" w:themeColor="text1"/>
                <w:sz w:val="18"/>
                <w:szCs w:val="18"/>
                <w14:textFill>
                  <w14:solidFill>
                    <w14:schemeClr w14:val="tx1"/>
                  </w14:solidFill>
                </w14:textFill>
              </w:rPr>
            </w:pPr>
          </w:p>
        </w:tc>
        <w:tc>
          <w:tcPr>
            <w:tcW w:w="1226" w:type="dxa"/>
            <w:vMerge w:val="continue"/>
            <w:vAlign w:val="center"/>
          </w:tcPr>
          <w:p w14:paraId="359BC8A1">
            <w:pPr>
              <w:jc w:val="center"/>
              <w:rPr>
                <w:b/>
                <w:color w:val="000000" w:themeColor="text1"/>
                <w:sz w:val="18"/>
                <w:szCs w:val="18"/>
                <w14:textFill>
                  <w14:solidFill>
                    <w14:schemeClr w14:val="tx1"/>
                  </w14:solidFill>
                </w14:textFill>
              </w:rPr>
            </w:pPr>
          </w:p>
        </w:tc>
        <w:tc>
          <w:tcPr>
            <w:tcW w:w="3516" w:type="dxa"/>
            <w:vAlign w:val="center"/>
          </w:tcPr>
          <w:p w14:paraId="45D4DFA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4D32646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4C6930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22201B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5BDB5DA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78130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076113E">
            <w:pPr>
              <w:rPr>
                <w:b/>
                <w:color w:val="000000" w:themeColor="text1"/>
                <w:sz w:val="18"/>
                <w:szCs w:val="18"/>
                <w14:textFill>
                  <w14:solidFill>
                    <w14:schemeClr w14:val="tx1"/>
                  </w14:solidFill>
                </w14:textFill>
              </w:rPr>
            </w:pPr>
          </w:p>
        </w:tc>
        <w:tc>
          <w:tcPr>
            <w:tcW w:w="1226" w:type="dxa"/>
            <w:vMerge w:val="restart"/>
            <w:vAlign w:val="center"/>
          </w:tcPr>
          <w:p w14:paraId="5A3EEF5C">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保险监管与</w:t>
            </w:r>
            <w:r>
              <w:rPr>
                <w:rFonts w:hint="eastAsia"/>
                <w:b/>
                <w:color w:val="000000" w:themeColor="text1"/>
                <w:sz w:val="18"/>
                <w:szCs w:val="18"/>
                <w:lang w:val="en-US" w:eastAsia="zh-CN"/>
                <w14:textFill>
                  <w14:solidFill>
                    <w14:schemeClr w14:val="tx1"/>
                  </w14:solidFill>
                </w14:textFill>
              </w:rPr>
              <w:t>风险管理</w:t>
            </w:r>
            <w:r>
              <w:rPr>
                <w:b/>
                <w:color w:val="000000" w:themeColor="text1"/>
                <w:sz w:val="18"/>
                <w:szCs w:val="18"/>
                <w14:textFill>
                  <w14:solidFill>
                    <w14:schemeClr w14:val="tx1"/>
                  </w14:solidFill>
                </w14:textFill>
              </w:rPr>
              <w:t>方向选修课</w:t>
            </w:r>
          </w:p>
        </w:tc>
        <w:tc>
          <w:tcPr>
            <w:tcW w:w="3516" w:type="dxa"/>
            <w:shd w:val="clear" w:color="auto" w:fill="auto"/>
            <w:vAlign w:val="center"/>
          </w:tcPr>
          <w:p w14:paraId="724C7F6D">
            <w:pPr>
              <w:widowControl w:val="0"/>
              <w:spacing w:line="240" w:lineRule="auto"/>
              <w:ind w:firstLine="0" w:firstLineChars="0"/>
              <w:jc w:val="left"/>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投资学</w:t>
            </w:r>
          </w:p>
        </w:tc>
        <w:tc>
          <w:tcPr>
            <w:tcW w:w="1081" w:type="dxa"/>
            <w:shd w:val="clear" w:color="auto" w:fill="auto"/>
            <w:vAlign w:val="center"/>
          </w:tcPr>
          <w:p w14:paraId="0D0461FC">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ZS031400</w:t>
            </w:r>
            <w:r>
              <w:rPr>
                <w:rFonts w:hint="default" w:ascii="Times New Roman" w:hAnsi="Times New Roman" w:eastAsia="宋体" w:cs="Times New Roman"/>
                <w:color w:val="auto"/>
                <w:sz w:val="18"/>
                <w:szCs w:val="18"/>
                <w:lang w:val="en-US" w:eastAsia="zh-CN"/>
              </w:rPr>
              <w:t>4</w:t>
            </w:r>
          </w:p>
        </w:tc>
        <w:tc>
          <w:tcPr>
            <w:tcW w:w="709" w:type="dxa"/>
            <w:shd w:val="clear" w:color="auto" w:fill="auto"/>
            <w:vAlign w:val="center"/>
          </w:tcPr>
          <w:p w14:paraId="411C7F4D">
            <w:pPr>
              <w:widowControl w:val="0"/>
              <w:spacing w:line="240" w:lineRule="auto"/>
              <w:ind w:firstLine="0" w:firstLineChars="0"/>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3</w:t>
            </w:r>
          </w:p>
        </w:tc>
        <w:tc>
          <w:tcPr>
            <w:tcW w:w="709" w:type="dxa"/>
            <w:shd w:val="clear" w:color="auto" w:fill="auto"/>
            <w:vAlign w:val="center"/>
          </w:tcPr>
          <w:p w14:paraId="696F6BE1">
            <w:pPr>
              <w:widowControl w:val="0"/>
              <w:spacing w:line="240" w:lineRule="auto"/>
              <w:ind w:firstLine="0" w:firstLineChars="0"/>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rPr>
              <w:t>2</w:t>
            </w:r>
          </w:p>
        </w:tc>
        <w:tc>
          <w:tcPr>
            <w:tcW w:w="1045" w:type="dxa"/>
            <w:vMerge w:val="restart"/>
            <w:vAlign w:val="center"/>
          </w:tcPr>
          <w:p w14:paraId="7B6EAAEB">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BA65C15">
            <w:pPr>
              <w:adjustRightInd w:val="0"/>
              <w:snapToGrid w:val="0"/>
              <w:jc w:val="center"/>
              <w:rPr>
                <w:color w:val="000000" w:themeColor="text1"/>
                <w:sz w:val="18"/>
                <w:szCs w:val="18"/>
                <w14:textFill>
                  <w14:solidFill>
                    <w14:schemeClr w14:val="tx1"/>
                  </w14:solidFill>
                </w14:textFill>
              </w:rPr>
            </w:pPr>
            <w:r>
              <w:rPr>
                <w:rFonts w:hint="eastAsia"/>
                <w:color w:val="auto"/>
                <w:sz w:val="18"/>
                <w:szCs w:val="18"/>
                <w:lang w:val="en-US" w:eastAsia="zh-CN"/>
              </w:rPr>
              <w:t>4</w:t>
            </w:r>
            <w:r>
              <w:rPr>
                <w:color w:val="000000" w:themeColor="text1"/>
                <w:sz w:val="18"/>
                <w:szCs w:val="18"/>
                <w14:textFill>
                  <w14:solidFill>
                    <w14:schemeClr w14:val="tx1"/>
                  </w14:solidFill>
                </w14:textFill>
              </w:rPr>
              <w:t>学分</w:t>
            </w:r>
          </w:p>
        </w:tc>
      </w:tr>
      <w:tr w14:paraId="416C33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84B8C58">
            <w:pPr>
              <w:rPr>
                <w:b/>
                <w:color w:val="000000" w:themeColor="text1"/>
                <w:sz w:val="18"/>
                <w:szCs w:val="18"/>
                <w14:textFill>
                  <w14:solidFill>
                    <w14:schemeClr w14:val="tx1"/>
                  </w14:solidFill>
                </w14:textFill>
              </w:rPr>
            </w:pPr>
          </w:p>
        </w:tc>
        <w:tc>
          <w:tcPr>
            <w:tcW w:w="1226" w:type="dxa"/>
            <w:vMerge w:val="continue"/>
            <w:vAlign w:val="center"/>
          </w:tcPr>
          <w:p w14:paraId="506AE4A8">
            <w:pPr>
              <w:adjustRightInd w:val="0"/>
              <w:snapToGrid w:val="0"/>
              <w:jc w:val="center"/>
              <w:rPr>
                <w:b/>
                <w:color w:val="000000" w:themeColor="text1"/>
                <w:sz w:val="18"/>
                <w:szCs w:val="18"/>
                <w14:textFill>
                  <w14:solidFill>
                    <w14:schemeClr w14:val="tx1"/>
                  </w14:solidFill>
                </w14:textFill>
              </w:rPr>
            </w:pPr>
          </w:p>
        </w:tc>
        <w:tc>
          <w:tcPr>
            <w:tcW w:w="3516" w:type="dxa"/>
            <w:shd w:val="clear" w:color="auto" w:fill="auto"/>
            <w:vAlign w:val="center"/>
          </w:tcPr>
          <w:p w14:paraId="4DF8CC96">
            <w:pPr>
              <w:adjustRightInd w:val="0"/>
              <w:snapToGrid w:val="0"/>
              <w:spacing w:line="360" w:lineRule="auto"/>
              <w:rPr>
                <w:rFonts w:ascii="Times New Roman" w:hAnsi="Times New Roman" w:eastAsia="宋体" w:cs="Times New Roman"/>
                <w:iCs/>
                <w:kern w:val="2"/>
                <w:sz w:val="18"/>
                <w:szCs w:val="18"/>
                <w:lang w:val="en-US" w:eastAsia="zh-CN" w:bidi="ar-SA"/>
              </w:rPr>
            </w:pPr>
            <w:r>
              <w:rPr>
                <w:rFonts w:hint="eastAsia"/>
                <w:iCs/>
                <w:sz w:val="18"/>
                <w:szCs w:val="18"/>
              </w:rPr>
              <w:t>保险经济学</w:t>
            </w:r>
          </w:p>
        </w:tc>
        <w:tc>
          <w:tcPr>
            <w:tcW w:w="1081" w:type="dxa"/>
            <w:shd w:val="clear" w:color="auto" w:fill="auto"/>
            <w:vAlign w:val="center"/>
          </w:tcPr>
          <w:p w14:paraId="7339C8D1">
            <w:pPr>
              <w:spacing w:line="360" w:lineRule="auto"/>
              <w:jc w:val="center"/>
              <w:rPr>
                <w:rFonts w:hint="eastAsia" w:ascii="Times New Roman" w:hAnsi="Times New Roman" w:eastAsia="宋体" w:cs="Times New Roman"/>
                <w:i/>
                <w:kern w:val="2"/>
                <w:sz w:val="18"/>
                <w:szCs w:val="18"/>
                <w:lang w:val="en-US" w:eastAsia="zh-CN" w:bidi="ar-SA"/>
              </w:rPr>
            </w:pPr>
            <w:r>
              <w:rPr>
                <w:iCs/>
                <w:sz w:val="18"/>
                <w:szCs w:val="18"/>
              </w:rPr>
              <w:t>ZS031720</w:t>
            </w:r>
            <w:r>
              <w:rPr>
                <w:rFonts w:hint="eastAsia"/>
                <w:iCs/>
                <w:sz w:val="18"/>
                <w:szCs w:val="18"/>
                <w:lang w:val="en-US" w:eastAsia="zh-CN"/>
              </w:rPr>
              <w:t>1</w:t>
            </w:r>
          </w:p>
        </w:tc>
        <w:tc>
          <w:tcPr>
            <w:tcW w:w="709" w:type="dxa"/>
            <w:shd w:val="clear" w:color="auto" w:fill="auto"/>
            <w:vAlign w:val="center"/>
          </w:tcPr>
          <w:p w14:paraId="6067B2CD">
            <w:pPr>
              <w:spacing w:line="360" w:lineRule="auto"/>
              <w:jc w:val="center"/>
              <w:rPr>
                <w:rFonts w:ascii="Times New Roman" w:hAnsi="Times New Roman" w:eastAsia="宋体" w:cs="Times New Roman"/>
                <w:i/>
                <w:kern w:val="2"/>
                <w:sz w:val="18"/>
                <w:szCs w:val="18"/>
                <w:lang w:val="en-US" w:eastAsia="zh-CN" w:bidi="ar-SA"/>
              </w:rPr>
            </w:pPr>
            <w:r>
              <w:rPr>
                <w:rFonts w:hint="eastAsia"/>
                <w:iCs/>
                <w:sz w:val="18"/>
                <w:szCs w:val="18"/>
              </w:rPr>
              <w:t>2</w:t>
            </w:r>
          </w:p>
        </w:tc>
        <w:tc>
          <w:tcPr>
            <w:tcW w:w="709" w:type="dxa"/>
            <w:shd w:val="clear" w:color="auto" w:fill="auto"/>
            <w:vAlign w:val="center"/>
          </w:tcPr>
          <w:p w14:paraId="20506EC5">
            <w:pPr>
              <w:spacing w:line="360" w:lineRule="auto"/>
              <w:jc w:val="center"/>
              <w:rPr>
                <w:rFonts w:hint="eastAsia" w:ascii="Times New Roman" w:hAnsi="Times New Roman" w:eastAsia="宋体" w:cs="Times New Roman"/>
                <w:i/>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198CDFF0">
            <w:pPr>
              <w:adjustRightInd w:val="0"/>
              <w:snapToGrid w:val="0"/>
              <w:jc w:val="center"/>
              <w:rPr>
                <w:color w:val="000000" w:themeColor="text1"/>
                <w:sz w:val="18"/>
                <w:szCs w:val="18"/>
                <w14:textFill>
                  <w14:solidFill>
                    <w14:schemeClr w14:val="tx1"/>
                  </w14:solidFill>
                </w14:textFill>
              </w:rPr>
            </w:pPr>
          </w:p>
        </w:tc>
      </w:tr>
      <w:tr w14:paraId="08B234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F0915B">
            <w:pPr>
              <w:rPr>
                <w:b/>
                <w:color w:val="000000" w:themeColor="text1"/>
                <w:sz w:val="18"/>
                <w:szCs w:val="18"/>
                <w14:textFill>
                  <w14:solidFill>
                    <w14:schemeClr w14:val="tx1"/>
                  </w14:solidFill>
                </w14:textFill>
              </w:rPr>
            </w:pPr>
          </w:p>
        </w:tc>
        <w:tc>
          <w:tcPr>
            <w:tcW w:w="1226" w:type="dxa"/>
            <w:vMerge w:val="continue"/>
            <w:vAlign w:val="center"/>
          </w:tcPr>
          <w:p w14:paraId="71254AA0">
            <w:pPr>
              <w:adjustRightInd w:val="0"/>
              <w:snapToGrid w:val="0"/>
              <w:jc w:val="center"/>
              <w:rPr>
                <w:b/>
                <w:color w:val="FF0000"/>
                <w:sz w:val="18"/>
                <w:szCs w:val="18"/>
              </w:rPr>
            </w:pPr>
          </w:p>
        </w:tc>
        <w:tc>
          <w:tcPr>
            <w:tcW w:w="3516" w:type="dxa"/>
            <w:shd w:val="clear" w:color="auto" w:fill="auto"/>
            <w:vAlign w:val="center"/>
          </w:tcPr>
          <w:p w14:paraId="351862A3">
            <w:pPr>
              <w:adjustRightInd w:val="0"/>
              <w:snapToGrid w:val="0"/>
              <w:spacing w:line="360" w:lineRule="auto"/>
              <w:rPr>
                <w:rFonts w:hint="default" w:eastAsia="宋体"/>
                <w:iCs/>
                <w:sz w:val="18"/>
                <w:szCs w:val="18"/>
                <w:lang w:val="en-US" w:eastAsia="zh-CN"/>
              </w:rPr>
            </w:pPr>
            <w:r>
              <w:rPr>
                <w:rFonts w:hint="eastAsia"/>
                <w:iCs/>
                <w:sz w:val="18"/>
                <w:szCs w:val="18"/>
                <w:lang w:val="en-US" w:eastAsia="zh-CN"/>
              </w:rPr>
              <w:t>人身保险理论与实务</w:t>
            </w:r>
          </w:p>
        </w:tc>
        <w:tc>
          <w:tcPr>
            <w:tcW w:w="1081" w:type="dxa"/>
            <w:shd w:val="clear" w:color="auto" w:fill="auto"/>
            <w:vAlign w:val="center"/>
          </w:tcPr>
          <w:p w14:paraId="39B1F448">
            <w:pPr>
              <w:spacing w:line="360" w:lineRule="auto"/>
              <w:jc w:val="center"/>
              <w:rPr>
                <w:rFonts w:hint="eastAsia" w:eastAsia="宋体"/>
                <w:iCs/>
                <w:sz w:val="18"/>
                <w:szCs w:val="18"/>
                <w:lang w:val="en-US" w:eastAsia="zh-CN"/>
              </w:rPr>
            </w:pPr>
            <w:r>
              <w:rPr>
                <w:iCs/>
                <w:sz w:val="18"/>
                <w:szCs w:val="18"/>
              </w:rPr>
              <w:t>ZS031720</w:t>
            </w:r>
            <w:r>
              <w:rPr>
                <w:rFonts w:hint="eastAsia"/>
                <w:iCs/>
                <w:sz w:val="18"/>
                <w:szCs w:val="18"/>
                <w:lang w:val="en-US" w:eastAsia="zh-CN"/>
              </w:rPr>
              <w:t>2</w:t>
            </w:r>
          </w:p>
        </w:tc>
        <w:tc>
          <w:tcPr>
            <w:tcW w:w="709" w:type="dxa"/>
            <w:shd w:val="clear" w:color="auto" w:fill="auto"/>
            <w:vAlign w:val="center"/>
          </w:tcPr>
          <w:p w14:paraId="429FFDD8">
            <w:pPr>
              <w:spacing w:line="360" w:lineRule="auto"/>
              <w:jc w:val="center"/>
              <w:rPr>
                <w:rFonts w:hint="eastAsia" w:eastAsia="宋体"/>
                <w:iCs/>
                <w:sz w:val="18"/>
                <w:szCs w:val="18"/>
                <w:lang w:val="en-US" w:eastAsia="zh-CN"/>
              </w:rPr>
            </w:pPr>
            <w:r>
              <w:rPr>
                <w:rFonts w:hint="eastAsia"/>
                <w:iCs/>
                <w:sz w:val="18"/>
                <w:szCs w:val="18"/>
                <w:lang w:val="en-US" w:eastAsia="zh-CN"/>
              </w:rPr>
              <w:t>2</w:t>
            </w:r>
          </w:p>
        </w:tc>
        <w:tc>
          <w:tcPr>
            <w:tcW w:w="709" w:type="dxa"/>
            <w:shd w:val="clear" w:color="auto" w:fill="auto"/>
            <w:vAlign w:val="center"/>
          </w:tcPr>
          <w:p w14:paraId="10FD356A">
            <w:pPr>
              <w:spacing w:line="360" w:lineRule="auto"/>
              <w:jc w:val="center"/>
              <w:rPr>
                <w:rFonts w:hint="eastAsia" w:eastAsia="宋体"/>
                <w:iCs/>
                <w:sz w:val="18"/>
                <w:szCs w:val="18"/>
                <w:lang w:val="en-US" w:eastAsia="zh-CN"/>
              </w:rPr>
            </w:pPr>
            <w:r>
              <w:rPr>
                <w:rFonts w:hint="eastAsia"/>
                <w:iCs/>
                <w:sz w:val="18"/>
                <w:szCs w:val="18"/>
                <w:lang w:val="en-US" w:eastAsia="zh-CN"/>
              </w:rPr>
              <w:t>2</w:t>
            </w:r>
          </w:p>
        </w:tc>
        <w:tc>
          <w:tcPr>
            <w:tcW w:w="1045" w:type="dxa"/>
            <w:vMerge w:val="continue"/>
            <w:vAlign w:val="center"/>
          </w:tcPr>
          <w:p w14:paraId="212B146D">
            <w:pPr>
              <w:adjustRightInd w:val="0"/>
              <w:snapToGrid w:val="0"/>
              <w:jc w:val="center"/>
              <w:rPr>
                <w:color w:val="000000" w:themeColor="text1"/>
                <w:sz w:val="18"/>
                <w:szCs w:val="18"/>
                <w14:textFill>
                  <w14:solidFill>
                    <w14:schemeClr w14:val="tx1"/>
                  </w14:solidFill>
                </w14:textFill>
              </w:rPr>
            </w:pPr>
          </w:p>
        </w:tc>
      </w:tr>
      <w:tr w14:paraId="65BC49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0517A9">
            <w:pPr>
              <w:rPr>
                <w:b/>
                <w:color w:val="000000" w:themeColor="text1"/>
                <w:sz w:val="18"/>
                <w:szCs w:val="18"/>
                <w14:textFill>
                  <w14:solidFill>
                    <w14:schemeClr w14:val="tx1"/>
                  </w14:solidFill>
                </w14:textFill>
              </w:rPr>
            </w:pPr>
          </w:p>
        </w:tc>
        <w:tc>
          <w:tcPr>
            <w:tcW w:w="1226" w:type="dxa"/>
            <w:vMerge w:val="continue"/>
            <w:vAlign w:val="center"/>
          </w:tcPr>
          <w:p w14:paraId="4298DE1A">
            <w:pPr>
              <w:adjustRightInd w:val="0"/>
              <w:snapToGrid w:val="0"/>
              <w:jc w:val="center"/>
              <w:rPr>
                <w:b/>
                <w:color w:val="FF0000"/>
                <w:sz w:val="18"/>
                <w:szCs w:val="18"/>
              </w:rPr>
            </w:pPr>
          </w:p>
        </w:tc>
        <w:tc>
          <w:tcPr>
            <w:tcW w:w="3516" w:type="dxa"/>
            <w:shd w:val="clear" w:color="auto" w:fill="auto"/>
            <w:vAlign w:val="center"/>
          </w:tcPr>
          <w:p w14:paraId="7AF1DD7F">
            <w:pPr>
              <w:adjustRightInd w:val="0"/>
              <w:snapToGrid w:val="0"/>
              <w:spacing w:line="360" w:lineRule="auto"/>
              <w:rPr>
                <w:rFonts w:hint="default" w:eastAsia="宋体"/>
                <w:iCs/>
                <w:sz w:val="18"/>
                <w:szCs w:val="18"/>
                <w:lang w:val="en-US" w:eastAsia="zh-CN"/>
              </w:rPr>
            </w:pPr>
            <w:r>
              <w:rPr>
                <w:rFonts w:hint="eastAsia"/>
                <w:iCs/>
                <w:sz w:val="18"/>
                <w:szCs w:val="18"/>
                <w:lang w:val="en-US" w:eastAsia="zh-CN"/>
              </w:rPr>
              <w:t>财产保险理论与实务</w:t>
            </w:r>
          </w:p>
        </w:tc>
        <w:tc>
          <w:tcPr>
            <w:tcW w:w="1081" w:type="dxa"/>
            <w:shd w:val="clear" w:color="auto" w:fill="auto"/>
            <w:vAlign w:val="center"/>
          </w:tcPr>
          <w:p w14:paraId="34E6459F">
            <w:pPr>
              <w:spacing w:line="360" w:lineRule="auto"/>
              <w:jc w:val="center"/>
              <w:rPr>
                <w:rFonts w:hint="eastAsia" w:eastAsia="宋体"/>
                <w:iCs/>
                <w:sz w:val="18"/>
                <w:szCs w:val="18"/>
                <w:lang w:val="en-US" w:eastAsia="zh-CN"/>
              </w:rPr>
            </w:pPr>
            <w:r>
              <w:rPr>
                <w:iCs/>
                <w:sz w:val="18"/>
                <w:szCs w:val="18"/>
              </w:rPr>
              <w:t>ZS031720</w:t>
            </w:r>
            <w:r>
              <w:rPr>
                <w:rFonts w:hint="eastAsia"/>
                <w:iCs/>
                <w:sz w:val="18"/>
                <w:szCs w:val="18"/>
                <w:lang w:val="en-US" w:eastAsia="zh-CN"/>
              </w:rPr>
              <w:t>3</w:t>
            </w:r>
          </w:p>
        </w:tc>
        <w:tc>
          <w:tcPr>
            <w:tcW w:w="709" w:type="dxa"/>
            <w:shd w:val="clear" w:color="auto" w:fill="auto"/>
            <w:vAlign w:val="center"/>
          </w:tcPr>
          <w:p w14:paraId="571A3858">
            <w:pPr>
              <w:spacing w:line="360" w:lineRule="auto"/>
              <w:jc w:val="center"/>
              <w:rPr>
                <w:rFonts w:hint="eastAsia" w:eastAsia="宋体"/>
                <w:iCs/>
                <w:sz w:val="18"/>
                <w:szCs w:val="18"/>
                <w:lang w:val="en-US" w:eastAsia="zh-CN"/>
              </w:rPr>
            </w:pPr>
            <w:r>
              <w:rPr>
                <w:rFonts w:hint="eastAsia"/>
                <w:iCs/>
                <w:sz w:val="18"/>
                <w:szCs w:val="18"/>
                <w:lang w:val="en-US" w:eastAsia="zh-CN"/>
              </w:rPr>
              <w:t>2</w:t>
            </w:r>
          </w:p>
        </w:tc>
        <w:tc>
          <w:tcPr>
            <w:tcW w:w="709" w:type="dxa"/>
            <w:shd w:val="clear" w:color="auto" w:fill="auto"/>
            <w:vAlign w:val="center"/>
          </w:tcPr>
          <w:p w14:paraId="6E080F01">
            <w:pPr>
              <w:spacing w:line="360" w:lineRule="auto"/>
              <w:jc w:val="center"/>
              <w:rPr>
                <w:rFonts w:hint="eastAsia" w:eastAsia="宋体"/>
                <w:iCs/>
                <w:sz w:val="18"/>
                <w:szCs w:val="18"/>
                <w:lang w:val="en-US" w:eastAsia="zh-CN"/>
              </w:rPr>
            </w:pPr>
            <w:r>
              <w:rPr>
                <w:rFonts w:hint="eastAsia"/>
                <w:iCs/>
                <w:sz w:val="18"/>
                <w:szCs w:val="18"/>
                <w:lang w:val="en-US" w:eastAsia="zh-CN"/>
              </w:rPr>
              <w:t>2</w:t>
            </w:r>
          </w:p>
        </w:tc>
        <w:tc>
          <w:tcPr>
            <w:tcW w:w="1045" w:type="dxa"/>
            <w:vMerge w:val="continue"/>
            <w:vAlign w:val="center"/>
          </w:tcPr>
          <w:p w14:paraId="7BAC915B">
            <w:pPr>
              <w:adjustRightInd w:val="0"/>
              <w:snapToGrid w:val="0"/>
              <w:jc w:val="center"/>
              <w:rPr>
                <w:color w:val="000000" w:themeColor="text1"/>
                <w:sz w:val="18"/>
                <w:szCs w:val="18"/>
                <w14:textFill>
                  <w14:solidFill>
                    <w14:schemeClr w14:val="tx1"/>
                  </w14:solidFill>
                </w14:textFill>
              </w:rPr>
            </w:pPr>
          </w:p>
        </w:tc>
      </w:tr>
      <w:tr w14:paraId="6084CA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27405A">
            <w:pPr>
              <w:rPr>
                <w:b/>
                <w:color w:val="000000" w:themeColor="text1"/>
                <w:sz w:val="18"/>
                <w:szCs w:val="18"/>
                <w14:textFill>
                  <w14:solidFill>
                    <w14:schemeClr w14:val="tx1"/>
                  </w14:solidFill>
                </w14:textFill>
              </w:rPr>
            </w:pPr>
          </w:p>
        </w:tc>
        <w:tc>
          <w:tcPr>
            <w:tcW w:w="1226" w:type="dxa"/>
            <w:vMerge w:val="continue"/>
            <w:vAlign w:val="center"/>
          </w:tcPr>
          <w:p w14:paraId="779CDEEF">
            <w:pPr>
              <w:adjustRightInd w:val="0"/>
              <w:snapToGrid w:val="0"/>
              <w:jc w:val="center"/>
              <w:rPr>
                <w:b/>
                <w:color w:val="FF0000"/>
                <w:sz w:val="18"/>
                <w:szCs w:val="18"/>
              </w:rPr>
            </w:pPr>
          </w:p>
        </w:tc>
        <w:tc>
          <w:tcPr>
            <w:tcW w:w="3516" w:type="dxa"/>
            <w:shd w:val="clear" w:color="auto" w:fill="auto"/>
            <w:vAlign w:val="center"/>
          </w:tcPr>
          <w:p w14:paraId="45F4615F">
            <w:pPr>
              <w:adjustRightInd w:val="0"/>
              <w:snapToGrid w:val="0"/>
              <w:spacing w:line="360" w:lineRule="auto"/>
              <w:rPr>
                <w:rFonts w:ascii="Times New Roman" w:hAnsi="Times New Roman" w:eastAsia="宋体" w:cs="Times New Roman"/>
                <w:iCs/>
                <w:kern w:val="2"/>
                <w:sz w:val="18"/>
                <w:szCs w:val="18"/>
                <w:lang w:val="en-US" w:eastAsia="zh-CN" w:bidi="ar-SA"/>
              </w:rPr>
            </w:pPr>
            <w:r>
              <w:rPr>
                <w:rFonts w:hint="eastAsia"/>
                <w:iCs/>
                <w:sz w:val="18"/>
                <w:szCs w:val="18"/>
              </w:rPr>
              <w:t>再保险理论与实务</w:t>
            </w:r>
          </w:p>
        </w:tc>
        <w:tc>
          <w:tcPr>
            <w:tcW w:w="1081" w:type="dxa"/>
            <w:shd w:val="clear" w:color="auto" w:fill="auto"/>
            <w:vAlign w:val="center"/>
          </w:tcPr>
          <w:p w14:paraId="5F0FDA41">
            <w:pPr>
              <w:spacing w:line="360" w:lineRule="auto"/>
              <w:jc w:val="center"/>
              <w:rPr>
                <w:rFonts w:hint="eastAsia" w:ascii="Times New Roman" w:hAnsi="Times New Roman" w:eastAsia="宋体" w:cs="Times New Roman"/>
                <w:i/>
                <w:color w:val="FF0000"/>
                <w:kern w:val="2"/>
                <w:sz w:val="18"/>
                <w:szCs w:val="18"/>
                <w:lang w:val="en-US" w:eastAsia="zh-CN" w:bidi="ar-SA"/>
              </w:rPr>
            </w:pPr>
            <w:r>
              <w:rPr>
                <w:iCs/>
                <w:sz w:val="18"/>
                <w:szCs w:val="18"/>
              </w:rPr>
              <w:t>ZS031720</w:t>
            </w:r>
            <w:r>
              <w:rPr>
                <w:rFonts w:hint="eastAsia"/>
                <w:iCs/>
                <w:sz w:val="18"/>
                <w:szCs w:val="18"/>
                <w:lang w:val="en-US" w:eastAsia="zh-CN"/>
              </w:rPr>
              <w:t>4</w:t>
            </w:r>
          </w:p>
        </w:tc>
        <w:tc>
          <w:tcPr>
            <w:tcW w:w="709" w:type="dxa"/>
            <w:shd w:val="clear" w:color="auto" w:fill="auto"/>
            <w:vAlign w:val="center"/>
          </w:tcPr>
          <w:p w14:paraId="6BBBC7AD">
            <w:pPr>
              <w:spacing w:line="360" w:lineRule="auto"/>
              <w:jc w:val="center"/>
              <w:rPr>
                <w:rFonts w:ascii="Times New Roman" w:hAnsi="Times New Roman" w:eastAsia="宋体" w:cs="Times New Roman"/>
                <w:i/>
                <w:color w:val="FF0000"/>
                <w:kern w:val="2"/>
                <w:sz w:val="18"/>
                <w:szCs w:val="18"/>
                <w:lang w:val="en-US" w:eastAsia="zh-CN" w:bidi="ar-SA"/>
              </w:rPr>
            </w:pPr>
            <w:r>
              <w:rPr>
                <w:rFonts w:hint="eastAsia"/>
                <w:iCs/>
                <w:sz w:val="18"/>
                <w:szCs w:val="18"/>
              </w:rPr>
              <w:t>2</w:t>
            </w:r>
          </w:p>
        </w:tc>
        <w:tc>
          <w:tcPr>
            <w:tcW w:w="709" w:type="dxa"/>
            <w:shd w:val="clear" w:color="auto" w:fill="auto"/>
            <w:vAlign w:val="center"/>
          </w:tcPr>
          <w:p w14:paraId="50BE7549">
            <w:pPr>
              <w:spacing w:line="360" w:lineRule="auto"/>
              <w:jc w:val="center"/>
              <w:rPr>
                <w:rFonts w:hint="eastAsia" w:ascii="Times New Roman" w:hAnsi="Times New Roman" w:eastAsia="宋体" w:cs="Times New Roman"/>
                <w:i/>
                <w:color w:val="FF0000"/>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01C2722E">
            <w:pPr>
              <w:adjustRightInd w:val="0"/>
              <w:snapToGrid w:val="0"/>
              <w:jc w:val="center"/>
              <w:rPr>
                <w:color w:val="000000" w:themeColor="text1"/>
                <w:sz w:val="18"/>
                <w:szCs w:val="18"/>
                <w14:textFill>
                  <w14:solidFill>
                    <w14:schemeClr w14:val="tx1"/>
                  </w14:solidFill>
                </w14:textFill>
              </w:rPr>
            </w:pPr>
          </w:p>
        </w:tc>
      </w:tr>
      <w:tr w14:paraId="7FBD60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F7A655">
            <w:pPr>
              <w:rPr>
                <w:b/>
                <w:color w:val="000000" w:themeColor="text1"/>
                <w:sz w:val="18"/>
                <w:szCs w:val="18"/>
                <w14:textFill>
                  <w14:solidFill>
                    <w14:schemeClr w14:val="tx1"/>
                  </w14:solidFill>
                </w14:textFill>
              </w:rPr>
            </w:pPr>
          </w:p>
        </w:tc>
        <w:tc>
          <w:tcPr>
            <w:tcW w:w="1226" w:type="dxa"/>
            <w:vMerge w:val="continue"/>
            <w:vAlign w:val="center"/>
          </w:tcPr>
          <w:p w14:paraId="78B71FE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9E505D9">
            <w:pPr>
              <w:adjustRightInd w:val="0"/>
              <w:snapToGrid w:val="0"/>
              <w:spacing w:line="360" w:lineRule="auto"/>
              <w:rPr>
                <w:rFonts w:ascii="Times New Roman" w:hAnsi="Times New Roman" w:eastAsia="宋体" w:cs="Times New Roman"/>
                <w:iCs/>
                <w:kern w:val="2"/>
                <w:sz w:val="18"/>
                <w:szCs w:val="18"/>
                <w:lang w:val="en-US" w:eastAsia="zh-CN" w:bidi="ar-SA"/>
              </w:rPr>
            </w:pPr>
            <w:r>
              <w:rPr>
                <w:rFonts w:hint="eastAsia"/>
                <w:iCs/>
                <w:sz w:val="18"/>
                <w:szCs w:val="18"/>
              </w:rPr>
              <w:t>社会保险理论与实务</w:t>
            </w:r>
          </w:p>
        </w:tc>
        <w:tc>
          <w:tcPr>
            <w:tcW w:w="1081" w:type="dxa"/>
            <w:shd w:val="clear" w:color="auto" w:fill="auto"/>
            <w:vAlign w:val="center"/>
          </w:tcPr>
          <w:p w14:paraId="15E2CB28">
            <w:pPr>
              <w:spacing w:line="360" w:lineRule="auto"/>
              <w:jc w:val="center"/>
              <w:rPr>
                <w:rFonts w:hint="default" w:ascii="Times New Roman" w:hAnsi="Times New Roman" w:eastAsia="宋体" w:cs="Times New Roman"/>
                <w:i/>
                <w:color w:val="FF0000"/>
                <w:kern w:val="2"/>
                <w:sz w:val="18"/>
                <w:szCs w:val="18"/>
                <w:lang w:val="en-US" w:eastAsia="zh-CN" w:bidi="ar-SA"/>
              </w:rPr>
            </w:pPr>
            <w:r>
              <w:rPr>
                <w:iCs/>
                <w:sz w:val="18"/>
                <w:szCs w:val="18"/>
              </w:rPr>
              <w:t>ZS03172</w:t>
            </w:r>
            <w:r>
              <w:rPr>
                <w:rFonts w:hint="eastAsia"/>
                <w:iCs/>
                <w:sz w:val="18"/>
                <w:szCs w:val="18"/>
                <w:lang w:val="en-US" w:eastAsia="zh-CN"/>
              </w:rPr>
              <w:t>05</w:t>
            </w:r>
          </w:p>
        </w:tc>
        <w:tc>
          <w:tcPr>
            <w:tcW w:w="709" w:type="dxa"/>
            <w:shd w:val="clear" w:color="auto" w:fill="auto"/>
            <w:vAlign w:val="center"/>
          </w:tcPr>
          <w:p w14:paraId="1D8E01C4">
            <w:pPr>
              <w:spacing w:line="360" w:lineRule="auto"/>
              <w:jc w:val="center"/>
              <w:rPr>
                <w:rFonts w:ascii="Times New Roman" w:hAnsi="Times New Roman" w:eastAsia="宋体" w:cs="Times New Roman"/>
                <w:i/>
                <w:color w:val="FF0000"/>
                <w:kern w:val="2"/>
                <w:sz w:val="18"/>
                <w:szCs w:val="18"/>
                <w:lang w:val="en-US" w:eastAsia="zh-CN" w:bidi="ar-SA"/>
              </w:rPr>
            </w:pPr>
            <w:r>
              <w:rPr>
                <w:rFonts w:hint="eastAsia"/>
                <w:iCs/>
                <w:sz w:val="18"/>
                <w:szCs w:val="18"/>
              </w:rPr>
              <w:t>2</w:t>
            </w:r>
          </w:p>
        </w:tc>
        <w:tc>
          <w:tcPr>
            <w:tcW w:w="709" w:type="dxa"/>
            <w:shd w:val="clear" w:color="auto" w:fill="auto"/>
            <w:vAlign w:val="center"/>
          </w:tcPr>
          <w:p w14:paraId="010D59FD">
            <w:pPr>
              <w:spacing w:line="360" w:lineRule="auto"/>
              <w:jc w:val="center"/>
              <w:rPr>
                <w:rFonts w:ascii="Times New Roman" w:hAnsi="Times New Roman" w:eastAsia="宋体" w:cs="Times New Roman"/>
                <w:i/>
                <w:color w:val="FF0000"/>
                <w:kern w:val="2"/>
                <w:sz w:val="18"/>
                <w:szCs w:val="18"/>
                <w:lang w:val="en-US" w:eastAsia="zh-CN" w:bidi="ar-SA"/>
              </w:rPr>
            </w:pPr>
            <w:r>
              <w:rPr>
                <w:iCs/>
                <w:sz w:val="18"/>
                <w:szCs w:val="18"/>
              </w:rPr>
              <w:t>2</w:t>
            </w:r>
          </w:p>
        </w:tc>
        <w:tc>
          <w:tcPr>
            <w:tcW w:w="1045" w:type="dxa"/>
            <w:vMerge w:val="continue"/>
            <w:vAlign w:val="center"/>
          </w:tcPr>
          <w:p w14:paraId="402E8EA3">
            <w:pPr>
              <w:jc w:val="center"/>
              <w:rPr>
                <w:color w:val="000000" w:themeColor="text1"/>
                <w:sz w:val="18"/>
                <w:szCs w:val="18"/>
                <w14:textFill>
                  <w14:solidFill>
                    <w14:schemeClr w14:val="tx1"/>
                  </w14:solidFill>
                </w14:textFill>
              </w:rPr>
            </w:pPr>
          </w:p>
        </w:tc>
      </w:tr>
      <w:tr w14:paraId="5A78379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57E1AF">
            <w:pPr>
              <w:rPr>
                <w:b/>
                <w:color w:val="000000" w:themeColor="text1"/>
                <w:sz w:val="18"/>
                <w:szCs w:val="18"/>
                <w14:textFill>
                  <w14:solidFill>
                    <w14:schemeClr w14:val="tx1"/>
                  </w14:solidFill>
                </w14:textFill>
              </w:rPr>
            </w:pPr>
          </w:p>
        </w:tc>
        <w:tc>
          <w:tcPr>
            <w:tcW w:w="1226" w:type="dxa"/>
            <w:vMerge w:val="continue"/>
            <w:vAlign w:val="center"/>
          </w:tcPr>
          <w:p w14:paraId="0076EE2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4564DF2">
            <w:pPr>
              <w:adjustRightInd w:val="0"/>
              <w:snapToGrid w:val="0"/>
              <w:spacing w:line="360" w:lineRule="auto"/>
              <w:rPr>
                <w:rFonts w:hint="default" w:ascii="Times New Roman" w:hAnsi="Times New Roman" w:eastAsia="宋体" w:cs="Times New Roman"/>
                <w:iCs/>
                <w:color w:val="auto"/>
                <w:kern w:val="2"/>
                <w:sz w:val="18"/>
                <w:szCs w:val="18"/>
                <w:lang w:val="en-US" w:eastAsia="zh-CN" w:bidi="ar-SA"/>
              </w:rPr>
            </w:pPr>
            <w:r>
              <w:rPr>
                <w:iCs/>
                <w:color w:val="auto"/>
                <w:sz w:val="18"/>
                <w:szCs w:val="18"/>
              </w:rPr>
              <w:t>S</w:t>
            </w:r>
            <w:r>
              <w:rPr>
                <w:rFonts w:hint="eastAsia"/>
                <w:iCs/>
                <w:color w:val="auto"/>
                <w:sz w:val="18"/>
                <w:szCs w:val="18"/>
              </w:rPr>
              <w:t>tata软件应用</w:t>
            </w:r>
          </w:p>
        </w:tc>
        <w:tc>
          <w:tcPr>
            <w:tcW w:w="1081" w:type="dxa"/>
            <w:shd w:val="clear" w:color="auto" w:fill="auto"/>
            <w:vAlign w:val="center"/>
          </w:tcPr>
          <w:p w14:paraId="1DB2E237">
            <w:pPr>
              <w:spacing w:line="360" w:lineRule="auto"/>
              <w:jc w:val="center"/>
              <w:rPr>
                <w:rFonts w:hint="default" w:ascii="Times New Roman" w:hAnsi="Times New Roman" w:eastAsia="宋体" w:cs="Times New Roman"/>
                <w:i/>
                <w:color w:val="auto"/>
                <w:kern w:val="2"/>
                <w:sz w:val="18"/>
                <w:szCs w:val="18"/>
                <w:lang w:val="en-US" w:eastAsia="zh-CN" w:bidi="ar-SA"/>
              </w:rPr>
            </w:pPr>
            <w:r>
              <w:rPr>
                <w:iCs/>
                <w:color w:val="auto"/>
                <w:sz w:val="18"/>
                <w:szCs w:val="18"/>
              </w:rPr>
              <w:t>ZS03172</w:t>
            </w:r>
            <w:r>
              <w:rPr>
                <w:rFonts w:hint="eastAsia"/>
                <w:iCs/>
                <w:color w:val="auto"/>
                <w:sz w:val="18"/>
                <w:szCs w:val="18"/>
                <w:lang w:val="en-US" w:eastAsia="zh-CN"/>
              </w:rPr>
              <w:t>06</w:t>
            </w:r>
          </w:p>
        </w:tc>
        <w:tc>
          <w:tcPr>
            <w:tcW w:w="709" w:type="dxa"/>
            <w:shd w:val="clear" w:color="auto" w:fill="auto"/>
            <w:vAlign w:val="center"/>
          </w:tcPr>
          <w:p w14:paraId="13EB47B5">
            <w:pPr>
              <w:spacing w:line="360" w:lineRule="auto"/>
              <w:jc w:val="center"/>
              <w:rPr>
                <w:rFonts w:hint="default" w:ascii="Times New Roman" w:hAnsi="Times New Roman" w:eastAsia="宋体" w:cs="Times New Roman"/>
                <w:i/>
                <w:color w:val="auto"/>
                <w:kern w:val="2"/>
                <w:sz w:val="18"/>
                <w:szCs w:val="18"/>
                <w:lang w:val="en-US" w:eastAsia="zh-CN" w:bidi="ar-SA"/>
              </w:rPr>
            </w:pPr>
            <w:r>
              <w:rPr>
                <w:rFonts w:hint="eastAsia"/>
                <w:iCs/>
                <w:color w:val="auto"/>
                <w:sz w:val="18"/>
                <w:szCs w:val="18"/>
                <w:lang w:val="en-US" w:eastAsia="zh-CN"/>
              </w:rPr>
              <w:t>2</w:t>
            </w:r>
          </w:p>
        </w:tc>
        <w:tc>
          <w:tcPr>
            <w:tcW w:w="709" w:type="dxa"/>
            <w:shd w:val="clear" w:color="auto" w:fill="auto"/>
            <w:vAlign w:val="center"/>
          </w:tcPr>
          <w:p w14:paraId="1F4541A8">
            <w:pPr>
              <w:spacing w:line="360" w:lineRule="auto"/>
              <w:jc w:val="center"/>
              <w:rPr>
                <w:rFonts w:hint="default" w:ascii="Times New Roman" w:hAnsi="Times New Roman" w:eastAsia="宋体" w:cs="Times New Roman"/>
                <w:i/>
                <w:color w:val="auto"/>
                <w:kern w:val="2"/>
                <w:sz w:val="18"/>
                <w:szCs w:val="18"/>
                <w:lang w:val="en-US" w:eastAsia="zh-CN" w:bidi="ar-SA"/>
              </w:rPr>
            </w:pPr>
            <w:r>
              <w:rPr>
                <w:iCs/>
                <w:color w:val="auto"/>
                <w:sz w:val="18"/>
                <w:szCs w:val="18"/>
              </w:rPr>
              <w:t>1</w:t>
            </w:r>
          </w:p>
        </w:tc>
        <w:tc>
          <w:tcPr>
            <w:tcW w:w="1045" w:type="dxa"/>
            <w:vMerge w:val="continue"/>
            <w:vAlign w:val="center"/>
          </w:tcPr>
          <w:p w14:paraId="76C2FBD0">
            <w:pPr>
              <w:jc w:val="center"/>
              <w:rPr>
                <w:color w:val="000000" w:themeColor="text1"/>
                <w:sz w:val="18"/>
                <w:szCs w:val="18"/>
                <w14:textFill>
                  <w14:solidFill>
                    <w14:schemeClr w14:val="tx1"/>
                  </w14:solidFill>
                </w14:textFill>
              </w:rPr>
            </w:pPr>
          </w:p>
        </w:tc>
      </w:tr>
      <w:tr w14:paraId="10C151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867900">
            <w:pPr>
              <w:rPr>
                <w:b/>
                <w:color w:val="000000" w:themeColor="text1"/>
                <w:sz w:val="18"/>
                <w:szCs w:val="18"/>
                <w14:textFill>
                  <w14:solidFill>
                    <w14:schemeClr w14:val="tx1"/>
                  </w14:solidFill>
                </w14:textFill>
              </w:rPr>
            </w:pPr>
          </w:p>
        </w:tc>
        <w:tc>
          <w:tcPr>
            <w:tcW w:w="1226" w:type="dxa"/>
            <w:vMerge w:val="restart"/>
            <w:vAlign w:val="center"/>
          </w:tcPr>
          <w:p w14:paraId="438E3ADA">
            <w:pPr>
              <w:adjustRightInd w:val="0"/>
              <w:snapToGrid w:val="0"/>
              <w:jc w:val="center"/>
              <w:rPr>
                <w:b/>
                <w:color w:val="FF0000"/>
                <w:sz w:val="18"/>
                <w:szCs w:val="18"/>
              </w:rPr>
            </w:pPr>
            <w:r>
              <w:rPr>
                <w:rFonts w:hint="eastAsia"/>
                <w:b/>
                <w:color w:val="000000" w:themeColor="text1"/>
                <w:sz w:val="18"/>
                <w:szCs w:val="18"/>
                <w14:textFill>
                  <w14:solidFill>
                    <w14:schemeClr w14:val="tx1"/>
                  </w14:solidFill>
                </w14:textFill>
              </w:rPr>
              <w:t>保险</w:t>
            </w:r>
            <w:r>
              <w:rPr>
                <w:rFonts w:hint="eastAsia"/>
                <w:b/>
                <w:color w:val="000000" w:themeColor="text1"/>
                <w:sz w:val="18"/>
                <w:szCs w:val="18"/>
                <w:lang w:val="en-US" w:eastAsia="zh-CN"/>
                <w14:textFill>
                  <w14:solidFill>
                    <w14:schemeClr w14:val="tx1"/>
                  </w14:solidFill>
                </w14:textFill>
              </w:rPr>
              <w:t>公司</w:t>
            </w:r>
            <w:r>
              <w:rPr>
                <w:rFonts w:hint="eastAsia"/>
                <w:b/>
                <w:color w:val="000000" w:themeColor="text1"/>
                <w:sz w:val="18"/>
                <w:szCs w:val="18"/>
                <w14:textFill>
                  <w14:solidFill>
                    <w14:schemeClr w14:val="tx1"/>
                  </w14:solidFill>
                </w14:textFill>
              </w:rPr>
              <w:t>经营与</w:t>
            </w:r>
            <w:r>
              <w:rPr>
                <w:rFonts w:hint="eastAsia"/>
                <w:b/>
                <w:color w:val="000000" w:themeColor="text1"/>
                <w:sz w:val="18"/>
                <w:szCs w:val="18"/>
                <w:lang w:val="en-US" w:eastAsia="zh-CN"/>
                <w14:textFill>
                  <w14:solidFill>
                    <w14:schemeClr w14:val="tx1"/>
                  </w14:solidFill>
                </w14:textFill>
              </w:rPr>
              <w:t>创新</w:t>
            </w:r>
            <w:r>
              <w:rPr>
                <w:b/>
                <w:color w:val="000000" w:themeColor="text1"/>
                <w:sz w:val="18"/>
                <w:szCs w:val="18"/>
                <w14:textFill>
                  <w14:solidFill>
                    <w14:schemeClr w14:val="tx1"/>
                  </w14:solidFill>
                </w14:textFill>
              </w:rPr>
              <w:t>方向选修课</w:t>
            </w:r>
          </w:p>
        </w:tc>
        <w:tc>
          <w:tcPr>
            <w:tcW w:w="3516" w:type="dxa"/>
            <w:shd w:val="clear" w:color="auto" w:fill="auto"/>
            <w:vAlign w:val="center"/>
          </w:tcPr>
          <w:p w14:paraId="5404D011">
            <w:pPr>
              <w:adjustRightInd w:val="0"/>
              <w:snapToGrid w:val="0"/>
              <w:spacing w:line="360" w:lineRule="auto"/>
              <w:rPr>
                <w:rFonts w:ascii="Times New Roman" w:hAnsi="Times New Roman" w:eastAsia="宋体" w:cs="Times New Roman"/>
                <w:iCs/>
                <w:kern w:val="2"/>
                <w:sz w:val="18"/>
                <w:szCs w:val="18"/>
                <w:lang w:val="en-US" w:eastAsia="zh-CN" w:bidi="ar-SA"/>
              </w:rPr>
            </w:pPr>
            <w:r>
              <w:rPr>
                <w:rFonts w:hint="eastAsia"/>
                <w:iCs/>
                <w:sz w:val="18"/>
                <w:szCs w:val="18"/>
              </w:rPr>
              <w:t>保险经营管理与案例分析</w:t>
            </w:r>
          </w:p>
        </w:tc>
        <w:tc>
          <w:tcPr>
            <w:tcW w:w="1081" w:type="dxa"/>
            <w:shd w:val="clear" w:color="auto" w:fill="auto"/>
            <w:vAlign w:val="center"/>
          </w:tcPr>
          <w:p w14:paraId="2E086336">
            <w:pPr>
              <w:spacing w:line="360" w:lineRule="auto"/>
              <w:jc w:val="center"/>
              <w:rPr>
                <w:rFonts w:hint="eastAsia" w:ascii="Times New Roman" w:hAnsi="Times New Roman" w:eastAsia="宋体" w:cs="Times New Roman"/>
                <w:color w:val="FF0000"/>
                <w:kern w:val="2"/>
                <w:sz w:val="18"/>
                <w:szCs w:val="18"/>
                <w:lang w:val="en-US" w:eastAsia="zh-CN" w:bidi="ar-SA"/>
              </w:rPr>
            </w:pPr>
            <w:r>
              <w:rPr>
                <w:rFonts w:hint="eastAsia"/>
                <w:iCs/>
                <w:sz w:val="18"/>
                <w:szCs w:val="18"/>
              </w:rPr>
              <w:t>Z</w:t>
            </w:r>
            <w:r>
              <w:rPr>
                <w:iCs/>
                <w:sz w:val="18"/>
                <w:szCs w:val="18"/>
              </w:rPr>
              <w:t>S031720</w:t>
            </w:r>
            <w:r>
              <w:rPr>
                <w:rFonts w:hint="eastAsia"/>
                <w:iCs/>
                <w:sz w:val="18"/>
                <w:szCs w:val="18"/>
                <w:lang w:val="en-US" w:eastAsia="zh-CN"/>
              </w:rPr>
              <w:t>7</w:t>
            </w:r>
          </w:p>
        </w:tc>
        <w:tc>
          <w:tcPr>
            <w:tcW w:w="709" w:type="dxa"/>
            <w:shd w:val="clear" w:color="auto" w:fill="auto"/>
            <w:vAlign w:val="center"/>
          </w:tcPr>
          <w:p w14:paraId="3AA6A718">
            <w:pPr>
              <w:spacing w:line="360" w:lineRule="auto"/>
              <w:jc w:val="center"/>
              <w:rPr>
                <w:rFonts w:ascii="Times New Roman" w:hAnsi="Times New Roman" w:eastAsia="宋体" w:cs="Times New Roman"/>
                <w:iCs/>
                <w:kern w:val="2"/>
                <w:sz w:val="18"/>
                <w:szCs w:val="18"/>
                <w:lang w:val="en-US" w:eastAsia="zh-CN" w:bidi="ar-SA"/>
              </w:rPr>
            </w:pPr>
            <w:r>
              <w:rPr>
                <w:rFonts w:hint="eastAsia"/>
                <w:iCs/>
                <w:sz w:val="18"/>
                <w:szCs w:val="18"/>
              </w:rPr>
              <w:t>2</w:t>
            </w:r>
          </w:p>
        </w:tc>
        <w:tc>
          <w:tcPr>
            <w:tcW w:w="709" w:type="dxa"/>
            <w:shd w:val="clear" w:color="auto" w:fill="auto"/>
            <w:vAlign w:val="center"/>
          </w:tcPr>
          <w:p w14:paraId="56467D7B">
            <w:pPr>
              <w:spacing w:line="360" w:lineRule="auto"/>
              <w:jc w:val="center"/>
              <w:rPr>
                <w:rFonts w:ascii="Times New Roman" w:hAnsi="Times New Roman" w:eastAsia="宋体" w:cs="Times New Roman"/>
                <w:iCs/>
                <w:kern w:val="2"/>
                <w:sz w:val="18"/>
                <w:szCs w:val="18"/>
                <w:lang w:val="en-US" w:eastAsia="zh-CN" w:bidi="ar-SA"/>
              </w:rPr>
            </w:pPr>
            <w:r>
              <w:rPr>
                <w:iCs/>
                <w:sz w:val="18"/>
                <w:szCs w:val="18"/>
              </w:rPr>
              <w:t>2</w:t>
            </w:r>
          </w:p>
        </w:tc>
        <w:tc>
          <w:tcPr>
            <w:tcW w:w="1045" w:type="dxa"/>
            <w:vMerge w:val="restart"/>
            <w:vAlign w:val="center"/>
          </w:tcPr>
          <w:p w14:paraId="775B979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03CD9353">
            <w:pPr>
              <w:adjustRightInd w:val="0"/>
              <w:snapToGrid w:val="0"/>
              <w:jc w:val="center"/>
              <w:rPr>
                <w:color w:val="000000" w:themeColor="text1"/>
                <w:sz w:val="18"/>
                <w:szCs w:val="18"/>
                <w14:textFill>
                  <w14:solidFill>
                    <w14:schemeClr w14:val="tx1"/>
                  </w14:solidFill>
                </w14:textFill>
              </w:rPr>
            </w:pPr>
            <w:r>
              <w:rPr>
                <w:rFonts w:hint="eastAsia"/>
                <w:color w:val="auto"/>
                <w:sz w:val="18"/>
                <w:szCs w:val="18"/>
                <w:lang w:val="en-US" w:eastAsia="zh-CN"/>
              </w:rPr>
              <w:t>4</w:t>
            </w:r>
            <w:r>
              <w:rPr>
                <w:color w:val="000000" w:themeColor="text1"/>
                <w:sz w:val="18"/>
                <w:szCs w:val="18"/>
                <w14:textFill>
                  <w14:solidFill>
                    <w14:schemeClr w14:val="tx1"/>
                  </w14:solidFill>
                </w14:textFill>
              </w:rPr>
              <w:t>学分</w:t>
            </w:r>
          </w:p>
        </w:tc>
      </w:tr>
      <w:tr w14:paraId="7CCF1E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7EE0ED1">
            <w:pPr>
              <w:rPr>
                <w:b/>
                <w:color w:val="000000" w:themeColor="text1"/>
                <w:sz w:val="18"/>
                <w:szCs w:val="18"/>
                <w14:textFill>
                  <w14:solidFill>
                    <w14:schemeClr w14:val="tx1"/>
                  </w14:solidFill>
                </w14:textFill>
              </w:rPr>
            </w:pPr>
          </w:p>
        </w:tc>
        <w:tc>
          <w:tcPr>
            <w:tcW w:w="1226" w:type="dxa"/>
            <w:vMerge w:val="continue"/>
            <w:vAlign w:val="center"/>
          </w:tcPr>
          <w:p w14:paraId="3790118E">
            <w:pPr>
              <w:adjustRightInd w:val="0"/>
              <w:snapToGrid w:val="0"/>
              <w:jc w:val="center"/>
              <w:rPr>
                <w:b/>
                <w:color w:val="FF0000"/>
                <w:sz w:val="18"/>
                <w:szCs w:val="18"/>
              </w:rPr>
            </w:pPr>
          </w:p>
        </w:tc>
        <w:tc>
          <w:tcPr>
            <w:tcW w:w="3516" w:type="dxa"/>
            <w:shd w:val="clear" w:color="auto" w:fill="auto"/>
            <w:vAlign w:val="center"/>
          </w:tcPr>
          <w:p w14:paraId="7A5686D0">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rPr>
              <w:t>保险</w:t>
            </w:r>
            <w:r>
              <w:rPr>
                <w:rFonts w:hint="eastAsia"/>
                <w:iCs/>
                <w:sz w:val="18"/>
                <w:szCs w:val="18"/>
                <w:lang w:val="en-US" w:eastAsia="zh-CN"/>
              </w:rPr>
              <w:t>职业伦理</w:t>
            </w:r>
          </w:p>
        </w:tc>
        <w:tc>
          <w:tcPr>
            <w:tcW w:w="1081" w:type="dxa"/>
            <w:shd w:val="clear" w:color="auto" w:fill="auto"/>
            <w:vAlign w:val="center"/>
          </w:tcPr>
          <w:p w14:paraId="58CB1CEA">
            <w:pPr>
              <w:spacing w:line="360" w:lineRule="auto"/>
              <w:jc w:val="center"/>
              <w:rPr>
                <w:rFonts w:hint="eastAsia" w:ascii="Times New Roman" w:hAnsi="Times New Roman" w:eastAsia="宋体" w:cs="Times New Roman"/>
                <w:color w:val="FF0000"/>
                <w:kern w:val="2"/>
                <w:sz w:val="18"/>
                <w:szCs w:val="18"/>
                <w:lang w:val="en-US" w:eastAsia="zh-CN" w:bidi="ar-SA"/>
              </w:rPr>
            </w:pPr>
            <w:r>
              <w:rPr>
                <w:rFonts w:hint="eastAsia"/>
                <w:iCs/>
                <w:sz w:val="18"/>
                <w:szCs w:val="18"/>
              </w:rPr>
              <w:t>Z</w:t>
            </w:r>
            <w:r>
              <w:rPr>
                <w:iCs/>
                <w:sz w:val="18"/>
                <w:szCs w:val="18"/>
              </w:rPr>
              <w:t>S031720</w:t>
            </w:r>
            <w:r>
              <w:rPr>
                <w:rFonts w:hint="eastAsia"/>
                <w:iCs/>
                <w:sz w:val="18"/>
                <w:szCs w:val="18"/>
                <w:lang w:val="en-US" w:eastAsia="zh-CN"/>
              </w:rPr>
              <w:t>8</w:t>
            </w:r>
          </w:p>
        </w:tc>
        <w:tc>
          <w:tcPr>
            <w:tcW w:w="709" w:type="dxa"/>
            <w:shd w:val="clear" w:color="auto" w:fill="auto"/>
            <w:vAlign w:val="center"/>
          </w:tcPr>
          <w:p w14:paraId="02A4A8BB">
            <w:pPr>
              <w:spacing w:line="360" w:lineRule="auto"/>
              <w:jc w:val="center"/>
              <w:rPr>
                <w:rFonts w:ascii="Times New Roman" w:hAnsi="Times New Roman" w:eastAsia="宋体" w:cs="Times New Roman"/>
                <w:i/>
                <w:color w:val="FF0000"/>
                <w:kern w:val="2"/>
                <w:sz w:val="18"/>
                <w:szCs w:val="18"/>
                <w:lang w:val="en-US" w:eastAsia="zh-CN" w:bidi="ar-SA"/>
              </w:rPr>
            </w:pPr>
            <w:r>
              <w:rPr>
                <w:iCs/>
                <w:sz w:val="18"/>
                <w:szCs w:val="18"/>
              </w:rPr>
              <w:t>1</w:t>
            </w:r>
          </w:p>
        </w:tc>
        <w:tc>
          <w:tcPr>
            <w:tcW w:w="709" w:type="dxa"/>
            <w:shd w:val="clear" w:color="auto" w:fill="auto"/>
            <w:vAlign w:val="center"/>
          </w:tcPr>
          <w:p w14:paraId="7BED3D84">
            <w:pPr>
              <w:spacing w:line="360" w:lineRule="auto"/>
              <w:jc w:val="center"/>
              <w:rPr>
                <w:rFonts w:ascii="Times New Roman" w:hAnsi="Times New Roman" w:eastAsia="宋体" w:cs="Times New Roman"/>
                <w:i/>
                <w:color w:val="FF0000"/>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0DAF9605">
            <w:pPr>
              <w:adjustRightInd w:val="0"/>
              <w:snapToGrid w:val="0"/>
              <w:jc w:val="center"/>
              <w:rPr>
                <w:color w:val="000000" w:themeColor="text1"/>
                <w:sz w:val="18"/>
                <w:szCs w:val="18"/>
                <w14:textFill>
                  <w14:solidFill>
                    <w14:schemeClr w14:val="tx1"/>
                  </w14:solidFill>
                </w14:textFill>
              </w:rPr>
            </w:pPr>
          </w:p>
        </w:tc>
      </w:tr>
      <w:tr w14:paraId="4AD3E9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5B18F9">
            <w:pPr>
              <w:rPr>
                <w:b/>
                <w:color w:val="000000" w:themeColor="text1"/>
                <w:sz w:val="18"/>
                <w:szCs w:val="18"/>
                <w14:textFill>
                  <w14:solidFill>
                    <w14:schemeClr w14:val="tx1"/>
                  </w14:solidFill>
                </w14:textFill>
              </w:rPr>
            </w:pPr>
          </w:p>
        </w:tc>
        <w:tc>
          <w:tcPr>
            <w:tcW w:w="1226" w:type="dxa"/>
            <w:vMerge w:val="continue"/>
          </w:tcPr>
          <w:p w14:paraId="08D9620A">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B15A9AF">
            <w:pPr>
              <w:adjustRightInd w:val="0"/>
              <w:snapToGrid w:val="0"/>
              <w:spacing w:line="360" w:lineRule="auto"/>
              <w:rPr>
                <w:rFonts w:ascii="Times New Roman" w:hAnsi="Times New Roman" w:eastAsia="宋体" w:cs="Times New Roman"/>
                <w:iCs/>
                <w:kern w:val="2"/>
                <w:sz w:val="18"/>
                <w:szCs w:val="18"/>
                <w:lang w:val="en-US" w:eastAsia="zh-CN" w:bidi="ar-SA"/>
              </w:rPr>
            </w:pPr>
            <w:r>
              <w:rPr>
                <w:rFonts w:hint="eastAsia"/>
                <w:iCs/>
                <w:sz w:val="18"/>
                <w:szCs w:val="18"/>
              </w:rPr>
              <w:t>财富管理</w:t>
            </w:r>
          </w:p>
        </w:tc>
        <w:tc>
          <w:tcPr>
            <w:tcW w:w="1081" w:type="dxa"/>
            <w:shd w:val="clear" w:color="auto" w:fill="auto"/>
            <w:vAlign w:val="center"/>
          </w:tcPr>
          <w:p w14:paraId="379C4586">
            <w:pPr>
              <w:spacing w:line="360" w:lineRule="auto"/>
              <w:jc w:val="center"/>
              <w:rPr>
                <w:rFonts w:hint="eastAsia" w:ascii="Times New Roman" w:hAnsi="Times New Roman" w:eastAsia="宋体" w:cs="Times New Roman"/>
                <w:color w:val="FF0000"/>
                <w:kern w:val="2"/>
                <w:sz w:val="18"/>
                <w:szCs w:val="18"/>
                <w:lang w:val="en-US" w:eastAsia="zh-CN" w:bidi="ar-SA"/>
              </w:rPr>
            </w:pPr>
            <w:r>
              <w:rPr>
                <w:rFonts w:hint="eastAsia"/>
                <w:iCs/>
                <w:sz w:val="18"/>
                <w:szCs w:val="18"/>
              </w:rPr>
              <w:t>Z</w:t>
            </w:r>
            <w:r>
              <w:rPr>
                <w:iCs/>
                <w:sz w:val="18"/>
                <w:szCs w:val="18"/>
              </w:rPr>
              <w:t>S031</w:t>
            </w:r>
            <w:r>
              <w:rPr>
                <w:rFonts w:hint="eastAsia"/>
                <w:iCs/>
                <w:sz w:val="18"/>
                <w:szCs w:val="18"/>
              </w:rPr>
              <w:t>4</w:t>
            </w:r>
            <w:r>
              <w:rPr>
                <w:iCs/>
                <w:sz w:val="18"/>
                <w:szCs w:val="18"/>
              </w:rPr>
              <w:t>20</w:t>
            </w:r>
            <w:r>
              <w:rPr>
                <w:rFonts w:hint="eastAsia"/>
                <w:iCs/>
                <w:sz w:val="18"/>
                <w:szCs w:val="18"/>
                <w:lang w:val="en-US" w:eastAsia="zh-CN"/>
              </w:rPr>
              <w:t>9</w:t>
            </w:r>
          </w:p>
        </w:tc>
        <w:tc>
          <w:tcPr>
            <w:tcW w:w="709" w:type="dxa"/>
            <w:shd w:val="clear" w:color="auto" w:fill="auto"/>
            <w:vAlign w:val="center"/>
          </w:tcPr>
          <w:p w14:paraId="0BC9F365">
            <w:pPr>
              <w:spacing w:line="360" w:lineRule="auto"/>
              <w:jc w:val="center"/>
              <w:rPr>
                <w:rFonts w:ascii="Times New Roman" w:hAnsi="Times New Roman" w:eastAsia="宋体" w:cs="Times New Roman"/>
                <w:color w:val="FF0000"/>
                <w:kern w:val="2"/>
                <w:sz w:val="18"/>
                <w:szCs w:val="18"/>
                <w:lang w:val="en-US" w:eastAsia="zh-CN" w:bidi="ar-SA"/>
              </w:rPr>
            </w:pPr>
            <w:r>
              <w:rPr>
                <w:rFonts w:hint="eastAsia"/>
                <w:iCs/>
                <w:sz w:val="18"/>
                <w:szCs w:val="18"/>
              </w:rPr>
              <w:t>2</w:t>
            </w:r>
          </w:p>
        </w:tc>
        <w:tc>
          <w:tcPr>
            <w:tcW w:w="709" w:type="dxa"/>
            <w:shd w:val="clear" w:color="auto" w:fill="auto"/>
            <w:vAlign w:val="center"/>
          </w:tcPr>
          <w:p w14:paraId="6BB94568">
            <w:pPr>
              <w:spacing w:line="360" w:lineRule="auto"/>
              <w:jc w:val="center"/>
              <w:rPr>
                <w:rFonts w:ascii="Times New Roman" w:hAnsi="Times New Roman" w:eastAsia="宋体" w:cs="Times New Roman"/>
                <w:i/>
                <w:color w:val="FF0000"/>
                <w:kern w:val="2"/>
                <w:sz w:val="18"/>
                <w:szCs w:val="18"/>
                <w:lang w:val="en-US" w:eastAsia="zh-CN" w:bidi="ar-SA"/>
              </w:rPr>
            </w:pPr>
            <w:r>
              <w:rPr>
                <w:rFonts w:hint="eastAsia"/>
                <w:iCs/>
                <w:sz w:val="18"/>
                <w:szCs w:val="18"/>
              </w:rPr>
              <w:t>2</w:t>
            </w:r>
          </w:p>
        </w:tc>
        <w:tc>
          <w:tcPr>
            <w:tcW w:w="1045" w:type="dxa"/>
            <w:vMerge w:val="continue"/>
            <w:vAlign w:val="center"/>
          </w:tcPr>
          <w:p w14:paraId="5FB60F2D">
            <w:pPr>
              <w:jc w:val="center"/>
              <w:rPr>
                <w:color w:val="000000" w:themeColor="text1"/>
                <w:sz w:val="18"/>
                <w:szCs w:val="18"/>
                <w14:textFill>
                  <w14:solidFill>
                    <w14:schemeClr w14:val="tx1"/>
                  </w14:solidFill>
                </w14:textFill>
              </w:rPr>
            </w:pPr>
          </w:p>
        </w:tc>
      </w:tr>
      <w:tr w14:paraId="1A5253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B501EC">
            <w:pPr>
              <w:rPr>
                <w:b/>
                <w:color w:val="000000" w:themeColor="text1"/>
                <w:sz w:val="18"/>
                <w:szCs w:val="18"/>
                <w14:textFill>
                  <w14:solidFill>
                    <w14:schemeClr w14:val="tx1"/>
                  </w14:solidFill>
                </w14:textFill>
              </w:rPr>
            </w:pPr>
          </w:p>
        </w:tc>
        <w:tc>
          <w:tcPr>
            <w:tcW w:w="1226" w:type="dxa"/>
            <w:vMerge w:val="continue"/>
          </w:tcPr>
          <w:p w14:paraId="4AB39F7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6EF3680">
            <w:pPr>
              <w:adjustRightInd w:val="0"/>
              <w:snapToGrid w:val="0"/>
              <w:spacing w:line="360" w:lineRule="auto"/>
              <w:rPr>
                <w:rFonts w:ascii="Times New Roman" w:hAnsi="Times New Roman" w:eastAsia="宋体" w:cs="Times New Roman"/>
                <w:iCs/>
                <w:kern w:val="2"/>
                <w:sz w:val="18"/>
                <w:szCs w:val="18"/>
                <w:lang w:val="en-US" w:eastAsia="zh-CN" w:bidi="ar-SA"/>
              </w:rPr>
            </w:pPr>
            <w:r>
              <w:rPr>
                <w:rFonts w:hint="eastAsia"/>
                <w:iCs/>
                <w:sz w:val="18"/>
                <w:szCs w:val="18"/>
                <w:lang w:val="en-US" w:eastAsia="zh-CN"/>
              </w:rPr>
              <w:t>保险</w:t>
            </w:r>
            <w:r>
              <w:rPr>
                <w:rFonts w:hint="eastAsia"/>
                <w:iCs/>
                <w:sz w:val="18"/>
                <w:szCs w:val="18"/>
              </w:rPr>
              <w:t>营销</w:t>
            </w:r>
          </w:p>
        </w:tc>
        <w:tc>
          <w:tcPr>
            <w:tcW w:w="1081" w:type="dxa"/>
            <w:shd w:val="clear" w:color="auto" w:fill="auto"/>
            <w:vAlign w:val="center"/>
          </w:tcPr>
          <w:p w14:paraId="25C2FDA2">
            <w:pPr>
              <w:spacing w:line="360" w:lineRule="auto"/>
              <w:jc w:val="center"/>
              <w:rPr>
                <w:rFonts w:hint="default" w:ascii="Times New Roman" w:hAnsi="Times New Roman" w:eastAsia="宋体" w:cs="Times New Roman"/>
                <w:i/>
                <w:color w:val="FF0000"/>
                <w:kern w:val="2"/>
                <w:sz w:val="18"/>
                <w:szCs w:val="18"/>
                <w:lang w:val="en-US" w:eastAsia="zh-CN" w:bidi="ar-SA"/>
              </w:rPr>
            </w:pPr>
            <w:r>
              <w:rPr>
                <w:rFonts w:hint="eastAsia"/>
                <w:iCs/>
                <w:sz w:val="18"/>
                <w:szCs w:val="18"/>
              </w:rPr>
              <w:t>Z</w:t>
            </w:r>
            <w:r>
              <w:rPr>
                <w:iCs/>
                <w:sz w:val="18"/>
                <w:szCs w:val="18"/>
              </w:rPr>
              <w:t>S03172</w:t>
            </w:r>
            <w:r>
              <w:rPr>
                <w:rFonts w:hint="eastAsia"/>
                <w:iCs/>
                <w:sz w:val="18"/>
                <w:szCs w:val="18"/>
                <w:lang w:val="en-US" w:eastAsia="zh-CN"/>
              </w:rPr>
              <w:t>10</w:t>
            </w:r>
          </w:p>
        </w:tc>
        <w:tc>
          <w:tcPr>
            <w:tcW w:w="709" w:type="dxa"/>
            <w:shd w:val="clear" w:color="auto" w:fill="auto"/>
            <w:vAlign w:val="center"/>
          </w:tcPr>
          <w:p w14:paraId="2A40FB4A">
            <w:pPr>
              <w:spacing w:line="360" w:lineRule="auto"/>
              <w:jc w:val="center"/>
              <w:rPr>
                <w:rFonts w:ascii="Times New Roman" w:hAnsi="Times New Roman" w:eastAsia="宋体" w:cs="Times New Roman"/>
                <w:i/>
                <w:color w:val="FF0000"/>
                <w:kern w:val="2"/>
                <w:sz w:val="18"/>
                <w:szCs w:val="18"/>
                <w:lang w:val="en-US" w:eastAsia="zh-CN" w:bidi="ar-SA"/>
              </w:rPr>
            </w:pPr>
            <w:r>
              <w:rPr>
                <w:rFonts w:hint="eastAsia"/>
                <w:iCs/>
                <w:sz w:val="18"/>
                <w:szCs w:val="18"/>
              </w:rPr>
              <w:t>2</w:t>
            </w:r>
          </w:p>
        </w:tc>
        <w:tc>
          <w:tcPr>
            <w:tcW w:w="709" w:type="dxa"/>
            <w:shd w:val="clear" w:color="auto" w:fill="auto"/>
            <w:vAlign w:val="center"/>
          </w:tcPr>
          <w:p w14:paraId="7429A816">
            <w:pPr>
              <w:spacing w:line="360" w:lineRule="auto"/>
              <w:jc w:val="center"/>
              <w:rPr>
                <w:rFonts w:ascii="Times New Roman" w:hAnsi="Times New Roman" w:eastAsia="宋体" w:cs="Times New Roman"/>
                <w:i/>
                <w:color w:val="FF0000"/>
                <w:kern w:val="2"/>
                <w:sz w:val="18"/>
                <w:szCs w:val="18"/>
                <w:lang w:val="en-US" w:eastAsia="zh-CN" w:bidi="ar-SA"/>
              </w:rPr>
            </w:pPr>
            <w:r>
              <w:rPr>
                <w:rFonts w:hint="eastAsia"/>
                <w:iCs/>
                <w:sz w:val="18"/>
                <w:szCs w:val="18"/>
              </w:rPr>
              <w:t>2</w:t>
            </w:r>
          </w:p>
        </w:tc>
        <w:tc>
          <w:tcPr>
            <w:tcW w:w="1045" w:type="dxa"/>
            <w:vMerge w:val="continue"/>
            <w:vAlign w:val="center"/>
          </w:tcPr>
          <w:p w14:paraId="6689C252">
            <w:pPr>
              <w:jc w:val="center"/>
              <w:rPr>
                <w:color w:val="000000" w:themeColor="text1"/>
                <w:sz w:val="18"/>
                <w:szCs w:val="18"/>
                <w14:textFill>
                  <w14:solidFill>
                    <w14:schemeClr w14:val="tx1"/>
                  </w14:solidFill>
                </w14:textFill>
              </w:rPr>
            </w:pPr>
          </w:p>
        </w:tc>
      </w:tr>
      <w:tr w14:paraId="4FCF78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96FD57">
            <w:pPr>
              <w:rPr>
                <w:b/>
                <w:color w:val="000000" w:themeColor="text1"/>
                <w:sz w:val="18"/>
                <w:szCs w:val="18"/>
                <w14:textFill>
                  <w14:solidFill>
                    <w14:schemeClr w14:val="tx1"/>
                  </w14:solidFill>
                </w14:textFill>
              </w:rPr>
            </w:pPr>
          </w:p>
        </w:tc>
        <w:tc>
          <w:tcPr>
            <w:tcW w:w="1226" w:type="dxa"/>
            <w:vMerge w:val="continue"/>
          </w:tcPr>
          <w:p w14:paraId="0E9A162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089F013">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大数据分析与保险定价</w:t>
            </w:r>
          </w:p>
        </w:tc>
        <w:tc>
          <w:tcPr>
            <w:tcW w:w="1081" w:type="dxa"/>
            <w:shd w:val="clear" w:color="auto" w:fill="auto"/>
            <w:vAlign w:val="center"/>
          </w:tcPr>
          <w:p w14:paraId="2B92FBCE">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11</w:t>
            </w:r>
          </w:p>
        </w:tc>
        <w:tc>
          <w:tcPr>
            <w:tcW w:w="709" w:type="dxa"/>
            <w:shd w:val="clear" w:color="auto" w:fill="auto"/>
            <w:vAlign w:val="center"/>
          </w:tcPr>
          <w:p w14:paraId="1747C123">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597E8132">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1045" w:type="dxa"/>
            <w:vMerge w:val="continue"/>
            <w:vAlign w:val="center"/>
          </w:tcPr>
          <w:p w14:paraId="0E39FD6D">
            <w:pPr>
              <w:jc w:val="center"/>
              <w:rPr>
                <w:color w:val="000000" w:themeColor="text1"/>
                <w:sz w:val="18"/>
                <w:szCs w:val="18"/>
                <w14:textFill>
                  <w14:solidFill>
                    <w14:schemeClr w14:val="tx1"/>
                  </w14:solidFill>
                </w14:textFill>
              </w:rPr>
            </w:pPr>
          </w:p>
        </w:tc>
      </w:tr>
      <w:tr w14:paraId="636357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33BA62">
            <w:pP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1DA457BE">
            <w:pPr>
              <w:jc w:val="both"/>
              <w:rPr>
                <w:rFonts w:hint="default" w:ascii="Times New Roman" w:hAnsi="Times New Roman" w:eastAsia="宋体" w:cs="Times New Roman"/>
                <w:b/>
                <w:color w:val="000000" w:themeColor="text1"/>
                <w:kern w:val="2"/>
                <w:sz w:val="18"/>
                <w:szCs w:val="18"/>
                <w:lang w:val="en-US" w:eastAsia="zh-CN" w:bidi="ar-SA"/>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人口结构和康养保险方向选修课</w:t>
            </w:r>
          </w:p>
        </w:tc>
        <w:tc>
          <w:tcPr>
            <w:tcW w:w="3516" w:type="dxa"/>
            <w:shd w:val="clear" w:color="auto" w:fill="auto"/>
            <w:vAlign w:val="center"/>
          </w:tcPr>
          <w:p w14:paraId="672FCFE1">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人口结构变迁与保险业发展</w:t>
            </w:r>
          </w:p>
        </w:tc>
        <w:tc>
          <w:tcPr>
            <w:tcW w:w="1081" w:type="dxa"/>
            <w:shd w:val="clear" w:color="auto" w:fill="auto"/>
            <w:vAlign w:val="center"/>
          </w:tcPr>
          <w:p w14:paraId="5EEFAB50">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12</w:t>
            </w:r>
          </w:p>
        </w:tc>
        <w:tc>
          <w:tcPr>
            <w:tcW w:w="709" w:type="dxa"/>
            <w:shd w:val="clear" w:color="auto" w:fill="auto"/>
            <w:vAlign w:val="center"/>
          </w:tcPr>
          <w:p w14:paraId="55D03A40">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71D21F2E">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1045" w:type="dxa"/>
            <w:vMerge w:val="restart"/>
            <w:vAlign w:val="center"/>
          </w:tcPr>
          <w:p w14:paraId="21F45C00">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0629F991">
            <w:pPr>
              <w:jc w:val="center"/>
              <w:rPr>
                <w:color w:val="000000" w:themeColor="text1"/>
                <w:sz w:val="18"/>
                <w:szCs w:val="18"/>
                <w14:textFill>
                  <w14:solidFill>
                    <w14:schemeClr w14:val="tx1"/>
                  </w14:solidFill>
                </w14:textFill>
              </w:rPr>
            </w:pPr>
            <w:r>
              <w:rPr>
                <w:rFonts w:hint="eastAsia"/>
                <w:color w:val="auto"/>
                <w:sz w:val="18"/>
                <w:szCs w:val="18"/>
                <w:lang w:val="en-US" w:eastAsia="zh-CN"/>
              </w:rPr>
              <w:t>4</w:t>
            </w:r>
            <w:r>
              <w:rPr>
                <w:color w:val="000000" w:themeColor="text1"/>
                <w:sz w:val="18"/>
                <w:szCs w:val="18"/>
                <w14:textFill>
                  <w14:solidFill>
                    <w14:schemeClr w14:val="tx1"/>
                  </w14:solidFill>
                </w14:textFill>
              </w:rPr>
              <w:t>学分</w:t>
            </w:r>
          </w:p>
        </w:tc>
      </w:tr>
      <w:tr w14:paraId="289EFF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D75A0A">
            <w:pPr>
              <w:rPr>
                <w:b/>
                <w:color w:val="000000" w:themeColor="text1"/>
                <w:sz w:val="18"/>
                <w:szCs w:val="18"/>
                <w14:textFill>
                  <w14:solidFill>
                    <w14:schemeClr w14:val="tx1"/>
                  </w14:solidFill>
                </w14:textFill>
              </w:rPr>
            </w:pPr>
          </w:p>
        </w:tc>
        <w:tc>
          <w:tcPr>
            <w:tcW w:w="1226" w:type="dxa"/>
            <w:vMerge w:val="continue"/>
            <w:shd w:val="clear" w:color="auto" w:fill="auto"/>
            <w:vAlign w:val="top"/>
          </w:tcPr>
          <w:p w14:paraId="123C932E">
            <w:pPr>
              <w:jc w:val="center"/>
              <w:rPr>
                <w:rFonts w:ascii="Times New Roman" w:hAnsi="Times New Roman" w:eastAsia="宋体" w:cs="Times New Roman"/>
                <w:b/>
                <w:color w:val="000000" w:themeColor="text1"/>
                <w:kern w:val="2"/>
                <w:sz w:val="18"/>
                <w:szCs w:val="18"/>
                <w:lang w:val="en-US" w:eastAsia="zh-CN" w:bidi="ar-SA"/>
                <w14:textFill>
                  <w14:solidFill>
                    <w14:schemeClr w14:val="tx1"/>
                  </w14:solidFill>
                </w14:textFill>
              </w:rPr>
            </w:pPr>
          </w:p>
        </w:tc>
        <w:tc>
          <w:tcPr>
            <w:tcW w:w="3516" w:type="dxa"/>
            <w:shd w:val="clear" w:color="auto" w:fill="auto"/>
            <w:vAlign w:val="center"/>
          </w:tcPr>
          <w:p w14:paraId="5207A7CF">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日本康养产业研究</w:t>
            </w:r>
          </w:p>
        </w:tc>
        <w:tc>
          <w:tcPr>
            <w:tcW w:w="1081" w:type="dxa"/>
            <w:shd w:val="clear" w:color="auto" w:fill="auto"/>
            <w:vAlign w:val="center"/>
          </w:tcPr>
          <w:p w14:paraId="362DA0DD">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13</w:t>
            </w:r>
          </w:p>
        </w:tc>
        <w:tc>
          <w:tcPr>
            <w:tcW w:w="709" w:type="dxa"/>
            <w:shd w:val="clear" w:color="auto" w:fill="auto"/>
            <w:vAlign w:val="center"/>
          </w:tcPr>
          <w:p w14:paraId="1A1BCA14">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0E38FDE5">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051541E7">
            <w:pPr>
              <w:jc w:val="center"/>
              <w:rPr>
                <w:color w:val="000000" w:themeColor="text1"/>
                <w:sz w:val="18"/>
                <w:szCs w:val="18"/>
                <w14:textFill>
                  <w14:solidFill>
                    <w14:schemeClr w14:val="tx1"/>
                  </w14:solidFill>
                </w14:textFill>
              </w:rPr>
            </w:pPr>
          </w:p>
        </w:tc>
      </w:tr>
      <w:tr w14:paraId="38BECC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69D7E1">
            <w:pPr>
              <w:rPr>
                <w:b/>
                <w:color w:val="000000" w:themeColor="text1"/>
                <w:sz w:val="18"/>
                <w:szCs w:val="18"/>
                <w14:textFill>
                  <w14:solidFill>
                    <w14:schemeClr w14:val="tx1"/>
                  </w14:solidFill>
                </w14:textFill>
              </w:rPr>
            </w:pPr>
          </w:p>
        </w:tc>
        <w:tc>
          <w:tcPr>
            <w:tcW w:w="1226" w:type="dxa"/>
            <w:vMerge w:val="continue"/>
          </w:tcPr>
          <w:p w14:paraId="124C7D93">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23AEFC0">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长期护理保险制度与产品设计</w:t>
            </w:r>
          </w:p>
        </w:tc>
        <w:tc>
          <w:tcPr>
            <w:tcW w:w="1081" w:type="dxa"/>
            <w:shd w:val="clear" w:color="auto" w:fill="auto"/>
            <w:vAlign w:val="center"/>
          </w:tcPr>
          <w:p w14:paraId="273273D2">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14</w:t>
            </w:r>
          </w:p>
        </w:tc>
        <w:tc>
          <w:tcPr>
            <w:tcW w:w="709" w:type="dxa"/>
            <w:shd w:val="clear" w:color="auto" w:fill="auto"/>
            <w:vAlign w:val="center"/>
          </w:tcPr>
          <w:p w14:paraId="7B7AD442">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496AEFD8">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2F21F708">
            <w:pPr>
              <w:jc w:val="center"/>
              <w:rPr>
                <w:color w:val="000000" w:themeColor="text1"/>
                <w:sz w:val="18"/>
                <w:szCs w:val="18"/>
                <w14:textFill>
                  <w14:solidFill>
                    <w14:schemeClr w14:val="tx1"/>
                  </w14:solidFill>
                </w14:textFill>
              </w:rPr>
            </w:pPr>
          </w:p>
        </w:tc>
      </w:tr>
      <w:tr w14:paraId="6053E9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E4CC62">
            <w:pPr>
              <w:rPr>
                <w:b/>
                <w:color w:val="000000" w:themeColor="text1"/>
                <w:sz w:val="18"/>
                <w:szCs w:val="18"/>
                <w14:textFill>
                  <w14:solidFill>
                    <w14:schemeClr w14:val="tx1"/>
                  </w14:solidFill>
                </w14:textFill>
              </w:rPr>
            </w:pPr>
          </w:p>
        </w:tc>
        <w:tc>
          <w:tcPr>
            <w:tcW w:w="1226" w:type="dxa"/>
            <w:vMerge w:val="continue"/>
          </w:tcPr>
          <w:p w14:paraId="7C72E01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91628AB">
            <w:pPr>
              <w:adjustRightInd w:val="0"/>
              <w:snapToGrid w:val="0"/>
              <w:spacing w:line="360" w:lineRule="auto"/>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市场调查理论与实务</w:t>
            </w:r>
          </w:p>
        </w:tc>
        <w:tc>
          <w:tcPr>
            <w:tcW w:w="1081" w:type="dxa"/>
            <w:shd w:val="clear" w:color="auto" w:fill="auto"/>
            <w:vAlign w:val="center"/>
          </w:tcPr>
          <w:p w14:paraId="09A01949">
            <w:pPr>
              <w:spacing w:line="360" w:lineRule="auto"/>
              <w:jc w:val="center"/>
              <w:rPr>
                <w:rFonts w:hint="eastAsia" w:ascii="Times New Roman" w:hAnsi="Times New Roman" w:eastAsia="宋体" w:cs="Times New Roman"/>
                <w:i/>
                <w:color w:val="auto"/>
                <w:kern w:val="2"/>
                <w:sz w:val="18"/>
                <w:szCs w:val="18"/>
                <w:lang w:val="en-US" w:eastAsia="zh-CN" w:bidi="ar-SA"/>
              </w:rPr>
            </w:pPr>
            <w:r>
              <w:rPr>
                <w:iCs/>
                <w:color w:val="auto"/>
                <w:sz w:val="18"/>
                <w:szCs w:val="18"/>
              </w:rPr>
              <w:t>ZS031721</w:t>
            </w:r>
            <w:r>
              <w:rPr>
                <w:rFonts w:hint="eastAsia"/>
                <w:iCs/>
                <w:color w:val="auto"/>
                <w:sz w:val="18"/>
                <w:szCs w:val="18"/>
                <w:lang w:val="en-US" w:eastAsia="zh-CN"/>
              </w:rPr>
              <w:t>5</w:t>
            </w:r>
          </w:p>
        </w:tc>
        <w:tc>
          <w:tcPr>
            <w:tcW w:w="709" w:type="dxa"/>
            <w:shd w:val="clear" w:color="auto" w:fill="auto"/>
            <w:vAlign w:val="center"/>
          </w:tcPr>
          <w:p w14:paraId="03EAF5C4">
            <w:pPr>
              <w:spacing w:line="360" w:lineRule="auto"/>
              <w:jc w:val="center"/>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2</w:t>
            </w:r>
          </w:p>
        </w:tc>
        <w:tc>
          <w:tcPr>
            <w:tcW w:w="709" w:type="dxa"/>
            <w:shd w:val="clear" w:color="auto" w:fill="auto"/>
            <w:vAlign w:val="center"/>
          </w:tcPr>
          <w:p w14:paraId="21B94874">
            <w:pPr>
              <w:spacing w:line="360" w:lineRule="auto"/>
              <w:jc w:val="center"/>
              <w:rPr>
                <w:rFonts w:hint="eastAsia" w:ascii="Times New Roman" w:hAnsi="Times New Roman" w:eastAsia="宋体" w:cs="Times New Roman"/>
                <w:i/>
                <w:color w:val="auto"/>
                <w:kern w:val="2"/>
                <w:sz w:val="18"/>
                <w:szCs w:val="18"/>
                <w:lang w:val="en-US" w:eastAsia="zh-CN" w:bidi="ar-SA"/>
              </w:rPr>
            </w:pPr>
            <w:r>
              <w:rPr>
                <w:iCs/>
                <w:color w:val="auto"/>
                <w:sz w:val="18"/>
                <w:szCs w:val="18"/>
              </w:rPr>
              <w:t>1</w:t>
            </w:r>
          </w:p>
        </w:tc>
        <w:tc>
          <w:tcPr>
            <w:tcW w:w="1045" w:type="dxa"/>
            <w:vMerge w:val="continue"/>
            <w:vAlign w:val="center"/>
          </w:tcPr>
          <w:p w14:paraId="30269614">
            <w:pPr>
              <w:jc w:val="center"/>
              <w:rPr>
                <w:color w:val="000000" w:themeColor="text1"/>
                <w:sz w:val="18"/>
                <w:szCs w:val="18"/>
                <w14:textFill>
                  <w14:solidFill>
                    <w14:schemeClr w14:val="tx1"/>
                  </w14:solidFill>
                </w14:textFill>
              </w:rPr>
            </w:pPr>
          </w:p>
        </w:tc>
      </w:tr>
      <w:tr w14:paraId="219721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DC221BB">
            <w:pPr>
              <w:rPr>
                <w:b/>
                <w:color w:val="000000" w:themeColor="text1"/>
                <w:sz w:val="18"/>
                <w:szCs w:val="18"/>
                <w14:textFill>
                  <w14:solidFill>
                    <w14:schemeClr w14:val="tx1"/>
                  </w14:solidFill>
                </w14:textFill>
              </w:rPr>
            </w:pPr>
          </w:p>
        </w:tc>
        <w:tc>
          <w:tcPr>
            <w:tcW w:w="1226" w:type="dxa"/>
            <w:vMerge w:val="continue"/>
          </w:tcPr>
          <w:p w14:paraId="09D6C75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4C3691E">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康养产业调研实训</w:t>
            </w:r>
          </w:p>
        </w:tc>
        <w:tc>
          <w:tcPr>
            <w:tcW w:w="1081" w:type="dxa"/>
            <w:shd w:val="clear" w:color="auto" w:fill="auto"/>
            <w:vAlign w:val="center"/>
          </w:tcPr>
          <w:p w14:paraId="693A933A">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16</w:t>
            </w:r>
          </w:p>
        </w:tc>
        <w:tc>
          <w:tcPr>
            <w:tcW w:w="709" w:type="dxa"/>
            <w:shd w:val="clear" w:color="auto" w:fill="auto"/>
            <w:vAlign w:val="center"/>
          </w:tcPr>
          <w:p w14:paraId="4E742A6F">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1</w:t>
            </w:r>
          </w:p>
        </w:tc>
        <w:tc>
          <w:tcPr>
            <w:tcW w:w="709" w:type="dxa"/>
            <w:shd w:val="clear" w:color="auto" w:fill="auto"/>
            <w:vAlign w:val="center"/>
          </w:tcPr>
          <w:p w14:paraId="58E8F33C">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4</w:t>
            </w:r>
          </w:p>
        </w:tc>
        <w:tc>
          <w:tcPr>
            <w:tcW w:w="1045" w:type="dxa"/>
            <w:vMerge w:val="continue"/>
            <w:vAlign w:val="center"/>
          </w:tcPr>
          <w:p w14:paraId="546A8307">
            <w:pPr>
              <w:jc w:val="center"/>
              <w:rPr>
                <w:color w:val="000000" w:themeColor="text1"/>
                <w:sz w:val="18"/>
                <w:szCs w:val="18"/>
                <w14:textFill>
                  <w14:solidFill>
                    <w14:schemeClr w14:val="tx1"/>
                  </w14:solidFill>
                </w14:textFill>
              </w:rPr>
            </w:pPr>
          </w:p>
        </w:tc>
      </w:tr>
      <w:tr w14:paraId="73F853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1E0DA46">
            <w:pPr>
              <w:rPr>
                <w:b/>
                <w:color w:val="000000" w:themeColor="text1"/>
                <w:sz w:val="18"/>
                <w:szCs w:val="18"/>
                <w14:textFill>
                  <w14:solidFill>
                    <w14:schemeClr w14:val="tx1"/>
                  </w14:solidFill>
                </w14:textFill>
              </w:rPr>
            </w:pPr>
          </w:p>
        </w:tc>
        <w:tc>
          <w:tcPr>
            <w:tcW w:w="1226" w:type="dxa"/>
            <w:vMerge w:val="restart"/>
            <w:vAlign w:val="center"/>
          </w:tcPr>
          <w:p w14:paraId="40A35F25">
            <w:pPr>
              <w:jc w:val="both"/>
              <w:rPr>
                <w:rFonts w:hint="default"/>
                <w:b/>
                <w:color w:val="000000" w:themeColor="text1"/>
                <w:sz w:val="18"/>
                <w:szCs w:val="18"/>
                <w:lang w:val="en-US"/>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保险科技与新能源车险方向选修课</w:t>
            </w:r>
          </w:p>
        </w:tc>
        <w:tc>
          <w:tcPr>
            <w:tcW w:w="3516" w:type="dxa"/>
            <w:shd w:val="clear" w:color="auto" w:fill="auto"/>
            <w:vAlign w:val="center"/>
          </w:tcPr>
          <w:p w14:paraId="1C72E47B">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保险科技与创新</w:t>
            </w:r>
          </w:p>
        </w:tc>
        <w:tc>
          <w:tcPr>
            <w:tcW w:w="1081" w:type="dxa"/>
            <w:shd w:val="clear" w:color="auto" w:fill="auto"/>
            <w:vAlign w:val="center"/>
          </w:tcPr>
          <w:p w14:paraId="01D3F4C0">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17</w:t>
            </w:r>
          </w:p>
        </w:tc>
        <w:tc>
          <w:tcPr>
            <w:tcW w:w="709" w:type="dxa"/>
            <w:shd w:val="clear" w:color="auto" w:fill="auto"/>
            <w:vAlign w:val="center"/>
          </w:tcPr>
          <w:p w14:paraId="6C10C43A">
            <w:pPr>
              <w:spacing w:line="360" w:lineRule="auto"/>
              <w:jc w:val="center"/>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4EAC6684">
            <w:pPr>
              <w:spacing w:line="360" w:lineRule="auto"/>
              <w:jc w:val="center"/>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3</w:t>
            </w:r>
          </w:p>
        </w:tc>
        <w:tc>
          <w:tcPr>
            <w:tcW w:w="1045" w:type="dxa"/>
            <w:vMerge w:val="restart"/>
            <w:vAlign w:val="center"/>
          </w:tcPr>
          <w:p w14:paraId="212274AD">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3673501">
            <w:pPr>
              <w:jc w:val="center"/>
              <w:rPr>
                <w:color w:val="000000" w:themeColor="text1"/>
                <w:sz w:val="18"/>
                <w:szCs w:val="18"/>
                <w14:textFill>
                  <w14:solidFill>
                    <w14:schemeClr w14:val="tx1"/>
                  </w14:solidFill>
                </w14:textFill>
              </w:rPr>
            </w:pPr>
            <w:r>
              <w:rPr>
                <w:rFonts w:hint="eastAsia"/>
                <w:color w:val="auto"/>
                <w:sz w:val="18"/>
                <w:szCs w:val="18"/>
                <w:lang w:val="en-US" w:eastAsia="zh-CN"/>
              </w:rPr>
              <w:t>4</w:t>
            </w:r>
            <w:r>
              <w:rPr>
                <w:color w:val="000000" w:themeColor="text1"/>
                <w:sz w:val="18"/>
                <w:szCs w:val="18"/>
                <w14:textFill>
                  <w14:solidFill>
                    <w14:schemeClr w14:val="tx1"/>
                  </w14:solidFill>
                </w14:textFill>
              </w:rPr>
              <w:t>学分</w:t>
            </w:r>
          </w:p>
        </w:tc>
      </w:tr>
      <w:tr w14:paraId="0D42C3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82B638">
            <w:pPr>
              <w:rPr>
                <w:b/>
                <w:color w:val="000000" w:themeColor="text1"/>
                <w:sz w:val="18"/>
                <w:szCs w:val="18"/>
                <w14:textFill>
                  <w14:solidFill>
                    <w14:schemeClr w14:val="tx1"/>
                  </w14:solidFill>
                </w14:textFill>
              </w:rPr>
            </w:pPr>
          </w:p>
        </w:tc>
        <w:tc>
          <w:tcPr>
            <w:tcW w:w="1226" w:type="dxa"/>
            <w:vMerge w:val="continue"/>
          </w:tcPr>
          <w:p w14:paraId="746C7DF0">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233738A">
            <w:pPr>
              <w:adjustRightInd w:val="0"/>
              <w:snapToGrid w:val="0"/>
              <w:spacing w:line="360" w:lineRule="auto"/>
              <w:rPr>
                <w:rFonts w:hint="default"/>
                <w:iCs/>
                <w:sz w:val="18"/>
                <w:szCs w:val="18"/>
                <w:lang w:val="en-US" w:eastAsia="zh-CN"/>
              </w:rPr>
            </w:pPr>
            <w:r>
              <w:rPr>
                <w:rFonts w:hint="eastAsia"/>
                <w:iCs/>
                <w:sz w:val="18"/>
                <w:szCs w:val="18"/>
                <w:lang w:val="en-US" w:eastAsia="zh-CN"/>
              </w:rPr>
              <w:t>非寿险精算</w:t>
            </w:r>
          </w:p>
        </w:tc>
        <w:tc>
          <w:tcPr>
            <w:tcW w:w="1081" w:type="dxa"/>
            <w:shd w:val="clear" w:color="auto" w:fill="auto"/>
            <w:vAlign w:val="center"/>
          </w:tcPr>
          <w:p w14:paraId="11D29992">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18</w:t>
            </w:r>
          </w:p>
        </w:tc>
        <w:tc>
          <w:tcPr>
            <w:tcW w:w="709" w:type="dxa"/>
            <w:shd w:val="clear" w:color="auto" w:fill="auto"/>
            <w:vAlign w:val="center"/>
          </w:tcPr>
          <w:p w14:paraId="5C903F10">
            <w:pPr>
              <w:spacing w:line="360" w:lineRule="auto"/>
              <w:jc w:val="center"/>
              <w:rPr>
                <w:rFonts w:hint="default"/>
                <w:iCs/>
                <w:sz w:val="18"/>
                <w:szCs w:val="18"/>
                <w:lang w:val="en-US" w:eastAsia="zh-CN"/>
              </w:rPr>
            </w:pPr>
            <w:r>
              <w:rPr>
                <w:rFonts w:hint="eastAsia"/>
                <w:iCs/>
                <w:sz w:val="18"/>
                <w:szCs w:val="18"/>
                <w:lang w:val="en-US" w:eastAsia="zh-CN"/>
              </w:rPr>
              <w:t>2</w:t>
            </w:r>
          </w:p>
        </w:tc>
        <w:tc>
          <w:tcPr>
            <w:tcW w:w="709" w:type="dxa"/>
            <w:shd w:val="clear" w:color="auto" w:fill="auto"/>
            <w:vAlign w:val="center"/>
          </w:tcPr>
          <w:p w14:paraId="11D6FCFD">
            <w:pPr>
              <w:spacing w:line="360" w:lineRule="auto"/>
              <w:jc w:val="center"/>
              <w:rPr>
                <w:rFonts w:hint="default"/>
                <w:iCs/>
                <w:sz w:val="18"/>
                <w:szCs w:val="18"/>
                <w:lang w:val="en-US" w:eastAsia="zh-CN"/>
              </w:rPr>
            </w:pPr>
            <w:r>
              <w:rPr>
                <w:rFonts w:hint="eastAsia"/>
                <w:iCs/>
                <w:sz w:val="18"/>
                <w:szCs w:val="18"/>
                <w:lang w:val="en-US" w:eastAsia="zh-CN"/>
              </w:rPr>
              <w:t>3</w:t>
            </w:r>
          </w:p>
        </w:tc>
        <w:tc>
          <w:tcPr>
            <w:tcW w:w="1045" w:type="dxa"/>
            <w:vMerge w:val="continue"/>
            <w:vAlign w:val="center"/>
          </w:tcPr>
          <w:p w14:paraId="693FE6B6">
            <w:pPr>
              <w:jc w:val="center"/>
              <w:rPr>
                <w:color w:val="000000" w:themeColor="text1"/>
                <w:sz w:val="18"/>
                <w:szCs w:val="18"/>
                <w14:textFill>
                  <w14:solidFill>
                    <w14:schemeClr w14:val="tx1"/>
                  </w14:solidFill>
                </w14:textFill>
              </w:rPr>
            </w:pPr>
          </w:p>
        </w:tc>
      </w:tr>
      <w:tr w14:paraId="41B77D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640596">
            <w:pPr>
              <w:rPr>
                <w:b/>
                <w:color w:val="000000" w:themeColor="text1"/>
                <w:sz w:val="18"/>
                <w:szCs w:val="18"/>
                <w14:textFill>
                  <w14:solidFill>
                    <w14:schemeClr w14:val="tx1"/>
                  </w14:solidFill>
                </w14:textFill>
              </w:rPr>
            </w:pPr>
          </w:p>
        </w:tc>
        <w:tc>
          <w:tcPr>
            <w:tcW w:w="1226" w:type="dxa"/>
            <w:vMerge w:val="continue"/>
          </w:tcPr>
          <w:p w14:paraId="394F9EE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A034A26">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新能源车险精算实务</w:t>
            </w:r>
          </w:p>
        </w:tc>
        <w:tc>
          <w:tcPr>
            <w:tcW w:w="1081" w:type="dxa"/>
            <w:shd w:val="clear" w:color="auto" w:fill="auto"/>
            <w:vAlign w:val="center"/>
          </w:tcPr>
          <w:p w14:paraId="14E4EC75">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19</w:t>
            </w:r>
          </w:p>
        </w:tc>
        <w:tc>
          <w:tcPr>
            <w:tcW w:w="709" w:type="dxa"/>
            <w:shd w:val="clear" w:color="auto" w:fill="auto"/>
            <w:vAlign w:val="center"/>
          </w:tcPr>
          <w:p w14:paraId="359869D2">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3D3880F3">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0E8CBF83">
            <w:pPr>
              <w:jc w:val="center"/>
              <w:rPr>
                <w:color w:val="000000" w:themeColor="text1"/>
                <w:sz w:val="18"/>
                <w:szCs w:val="18"/>
                <w14:textFill>
                  <w14:solidFill>
                    <w14:schemeClr w14:val="tx1"/>
                  </w14:solidFill>
                </w14:textFill>
              </w:rPr>
            </w:pPr>
          </w:p>
        </w:tc>
      </w:tr>
      <w:tr w14:paraId="1AC0AD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89DB27">
            <w:pPr>
              <w:rPr>
                <w:b/>
                <w:color w:val="000000" w:themeColor="text1"/>
                <w:sz w:val="18"/>
                <w:szCs w:val="18"/>
                <w14:textFill>
                  <w14:solidFill>
                    <w14:schemeClr w14:val="tx1"/>
                  </w14:solidFill>
                </w14:textFill>
              </w:rPr>
            </w:pPr>
          </w:p>
        </w:tc>
        <w:tc>
          <w:tcPr>
            <w:tcW w:w="1226" w:type="dxa"/>
            <w:vMerge w:val="continue"/>
          </w:tcPr>
          <w:p w14:paraId="39316A80">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B542710">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新能源汽车技术基础与智能驾驶</w:t>
            </w:r>
          </w:p>
        </w:tc>
        <w:tc>
          <w:tcPr>
            <w:tcW w:w="1081" w:type="dxa"/>
            <w:shd w:val="clear" w:color="auto" w:fill="auto"/>
            <w:vAlign w:val="center"/>
          </w:tcPr>
          <w:p w14:paraId="76A7878A">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20</w:t>
            </w:r>
          </w:p>
        </w:tc>
        <w:tc>
          <w:tcPr>
            <w:tcW w:w="709" w:type="dxa"/>
            <w:shd w:val="clear" w:color="auto" w:fill="auto"/>
            <w:vAlign w:val="center"/>
          </w:tcPr>
          <w:p w14:paraId="748CF1DA">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3F72DD8A">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1045" w:type="dxa"/>
            <w:vMerge w:val="continue"/>
            <w:vAlign w:val="center"/>
          </w:tcPr>
          <w:p w14:paraId="3EE0D750">
            <w:pPr>
              <w:jc w:val="center"/>
              <w:rPr>
                <w:color w:val="000000" w:themeColor="text1"/>
                <w:sz w:val="18"/>
                <w:szCs w:val="18"/>
                <w14:textFill>
                  <w14:solidFill>
                    <w14:schemeClr w14:val="tx1"/>
                  </w14:solidFill>
                </w14:textFill>
              </w:rPr>
            </w:pPr>
          </w:p>
        </w:tc>
      </w:tr>
      <w:tr w14:paraId="28F2B7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9B9945">
            <w:pPr>
              <w:rPr>
                <w:b/>
                <w:color w:val="000000" w:themeColor="text1"/>
                <w:sz w:val="18"/>
                <w:szCs w:val="18"/>
                <w14:textFill>
                  <w14:solidFill>
                    <w14:schemeClr w14:val="tx1"/>
                  </w14:solidFill>
                </w14:textFill>
              </w:rPr>
            </w:pPr>
          </w:p>
        </w:tc>
        <w:tc>
          <w:tcPr>
            <w:tcW w:w="1226" w:type="dxa"/>
            <w:vMerge w:val="continue"/>
          </w:tcPr>
          <w:p w14:paraId="01E4F02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4DC84F9">
            <w:pPr>
              <w:adjustRightInd w:val="0"/>
              <w:snapToGrid w:val="0"/>
              <w:spacing w:line="360" w:lineRule="auto"/>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车联网与UBI保险创新</w:t>
            </w:r>
          </w:p>
        </w:tc>
        <w:tc>
          <w:tcPr>
            <w:tcW w:w="1081" w:type="dxa"/>
            <w:shd w:val="clear" w:color="auto" w:fill="auto"/>
            <w:vAlign w:val="center"/>
          </w:tcPr>
          <w:p w14:paraId="3D6834A8">
            <w:pPr>
              <w:spacing w:line="360" w:lineRule="auto"/>
              <w:jc w:val="center"/>
              <w:rPr>
                <w:rFonts w:hint="default" w:ascii="Times New Roman" w:hAnsi="Times New Roman" w:eastAsia="宋体" w:cs="Times New Roman"/>
                <w:iCs/>
                <w:kern w:val="2"/>
                <w:sz w:val="18"/>
                <w:szCs w:val="18"/>
                <w:lang w:val="en-US" w:eastAsia="zh-CN" w:bidi="ar-SA"/>
              </w:rPr>
            </w:pPr>
            <w:r>
              <w:rPr>
                <w:iCs/>
                <w:sz w:val="18"/>
                <w:szCs w:val="18"/>
              </w:rPr>
              <w:t>ZS03172</w:t>
            </w:r>
            <w:r>
              <w:rPr>
                <w:rFonts w:hint="eastAsia"/>
                <w:iCs/>
                <w:sz w:val="18"/>
                <w:szCs w:val="18"/>
                <w:lang w:val="en-US" w:eastAsia="zh-CN"/>
              </w:rPr>
              <w:t>21</w:t>
            </w:r>
          </w:p>
        </w:tc>
        <w:tc>
          <w:tcPr>
            <w:tcW w:w="709" w:type="dxa"/>
            <w:shd w:val="clear" w:color="auto" w:fill="auto"/>
            <w:vAlign w:val="center"/>
          </w:tcPr>
          <w:p w14:paraId="253420EC">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0D6A3FC9">
            <w:pPr>
              <w:spacing w:line="360" w:lineRule="auto"/>
              <w:jc w:val="center"/>
              <w:rPr>
                <w:rFonts w:hint="default" w:ascii="Times New Roman" w:hAnsi="Times New Roman" w:eastAsia="宋体" w:cs="Times New Roman"/>
                <w:iCs/>
                <w:kern w:val="2"/>
                <w:sz w:val="18"/>
                <w:szCs w:val="18"/>
                <w:lang w:val="en-US" w:eastAsia="zh-CN" w:bidi="ar-SA"/>
              </w:rPr>
            </w:pPr>
            <w:r>
              <w:rPr>
                <w:rFonts w:hint="eastAsia"/>
                <w:iCs/>
                <w:sz w:val="18"/>
                <w:szCs w:val="18"/>
                <w:lang w:val="en-US" w:eastAsia="zh-CN"/>
              </w:rPr>
              <w:t>3</w:t>
            </w:r>
          </w:p>
        </w:tc>
        <w:tc>
          <w:tcPr>
            <w:tcW w:w="1045" w:type="dxa"/>
            <w:vMerge w:val="continue"/>
            <w:vAlign w:val="center"/>
          </w:tcPr>
          <w:p w14:paraId="132D4C5B">
            <w:pPr>
              <w:jc w:val="center"/>
              <w:rPr>
                <w:color w:val="000000" w:themeColor="text1"/>
                <w:sz w:val="18"/>
                <w:szCs w:val="18"/>
                <w14:textFill>
                  <w14:solidFill>
                    <w14:schemeClr w14:val="tx1"/>
                  </w14:solidFill>
                </w14:textFill>
              </w:rPr>
            </w:pPr>
          </w:p>
        </w:tc>
      </w:tr>
      <w:tr w14:paraId="78CB26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C37364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1A06E5C1">
            <w:pPr>
              <w:jc w:val="center"/>
              <w:rPr>
                <w:b/>
                <w:color w:val="000000" w:themeColor="text1"/>
                <w:sz w:val="18"/>
                <w:szCs w:val="18"/>
                <w14:textFill>
                  <w14:solidFill>
                    <w14:schemeClr w14:val="tx1"/>
                  </w14:solidFill>
                </w14:textFill>
              </w:rPr>
            </w:pPr>
          </w:p>
        </w:tc>
        <w:tc>
          <w:tcPr>
            <w:tcW w:w="1226" w:type="dxa"/>
            <w:vMerge w:val="restart"/>
            <w:vAlign w:val="center"/>
          </w:tcPr>
          <w:p w14:paraId="48E7A66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33598BC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367721D6">
            <w:pPr>
              <w:jc w:val="center"/>
              <w:rPr>
                <w:color w:val="000000" w:themeColor="text1"/>
                <w:sz w:val="18"/>
                <w:szCs w:val="18"/>
                <w14:textFill>
                  <w14:solidFill>
                    <w14:schemeClr w14:val="tx1"/>
                  </w14:solidFill>
                </w14:textFill>
              </w:rPr>
            </w:pPr>
          </w:p>
        </w:tc>
        <w:tc>
          <w:tcPr>
            <w:tcW w:w="709" w:type="dxa"/>
            <w:vAlign w:val="center"/>
          </w:tcPr>
          <w:p w14:paraId="487E7246">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0</w:t>
            </w:r>
          </w:p>
        </w:tc>
        <w:tc>
          <w:tcPr>
            <w:tcW w:w="709" w:type="dxa"/>
            <w:vAlign w:val="center"/>
          </w:tcPr>
          <w:p w14:paraId="2438B4F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2FF080D1">
            <w:pPr>
              <w:jc w:val="center"/>
              <w:rPr>
                <w:i/>
                <w:color w:val="FF0000"/>
                <w:sz w:val="18"/>
                <w:szCs w:val="18"/>
              </w:rPr>
            </w:pPr>
          </w:p>
        </w:tc>
      </w:tr>
      <w:tr w14:paraId="73BFEF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60CEB643">
            <w:pPr>
              <w:jc w:val="center"/>
              <w:rPr>
                <w:b/>
                <w:color w:val="000000" w:themeColor="text1"/>
                <w:sz w:val="18"/>
                <w:szCs w:val="18"/>
                <w14:textFill>
                  <w14:solidFill>
                    <w14:schemeClr w14:val="tx1"/>
                  </w14:solidFill>
                </w14:textFill>
              </w:rPr>
            </w:pPr>
          </w:p>
        </w:tc>
        <w:tc>
          <w:tcPr>
            <w:tcW w:w="1226" w:type="dxa"/>
            <w:vMerge w:val="continue"/>
            <w:vAlign w:val="center"/>
          </w:tcPr>
          <w:p w14:paraId="683A949C">
            <w:pPr>
              <w:jc w:val="center"/>
              <w:rPr>
                <w:b/>
                <w:color w:val="000000" w:themeColor="text1"/>
                <w:sz w:val="18"/>
                <w:szCs w:val="18"/>
                <w14:textFill>
                  <w14:solidFill>
                    <w14:schemeClr w14:val="tx1"/>
                  </w14:solidFill>
                </w14:textFill>
              </w:rPr>
            </w:pPr>
          </w:p>
        </w:tc>
        <w:tc>
          <w:tcPr>
            <w:tcW w:w="3516" w:type="dxa"/>
            <w:vAlign w:val="center"/>
          </w:tcPr>
          <w:p w14:paraId="0FE7282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实践</w:t>
            </w:r>
            <w:r>
              <w:rPr>
                <w:rFonts w:hint="eastAsia"/>
                <w:color w:val="000000" w:themeColor="text1"/>
                <w:sz w:val="18"/>
                <w:szCs w:val="18"/>
                <w:lang w:val="en-US" w:eastAsia="zh-CN"/>
                <w14:textFill>
                  <w14:solidFill>
                    <w14:schemeClr w14:val="tx1"/>
                  </w14:solidFill>
                </w14:textFill>
              </w:rPr>
              <w:t>/竞赛</w:t>
            </w:r>
            <w:r>
              <w:rPr>
                <w:color w:val="000000" w:themeColor="text1"/>
                <w:sz w:val="18"/>
                <w:szCs w:val="18"/>
                <w14:textFill>
                  <w14:solidFill>
                    <w14:schemeClr w14:val="tx1"/>
                  </w14:solidFill>
                </w14:textFill>
              </w:rPr>
              <w:t>活动</w:t>
            </w:r>
          </w:p>
        </w:tc>
        <w:tc>
          <w:tcPr>
            <w:tcW w:w="1081" w:type="dxa"/>
            <w:vAlign w:val="center"/>
          </w:tcPr>
          <w:p w14:paraId="7CD87088">
            <w:pPr>
              <w:jc w:val="center"/>
              <w:rPr>
                <w:color w:val="000000" w:themeColor="text1"/>
                <w:sz w:val="18"/>
                <w:szCs w:val="18"/>
                <w14:textFill>
                  <w14:solidFill>
                    <w14:schemeClr w14:val="tx1"/>
                  </w14:solidFill>
                </w14:textFill>
              </w:rPr>
            </w:pPr>
          </w:p>
        </w:tc>
        <w:tc>
          <w:tcPr>
            <w:tcW w:w="709" w:type="dxa"/>
            <w:vAlign w:val="center"/>
          </w:tcPr>
          <w:p w14:paraId="68FE2D0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7743BA6">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4-5</w:t>
            </w:r>
          </w:p>
        </w:tc>
        <w:tc>
          <w:tcPr>
            <w:tcW w:w="1045" w:type="dxa"/>
            <w:vMerge w:val="continue"/>
            <w:vAlign w:val="center"/>
          </w:tcPr>
          <w:p w14:paraId="75D02668">
            <w:pPr>
              <w:jc w:val="center"/>
              <w:rPr>
                <w:color w:val="000000" w:themeColor="text1"/>
                <w:sz w:val="18"/>
                <w:szCs w:val="18"/>
                <w14:textFill>
                  <w14:solidFill>
                    <w14:schemeClr w14:val="tx1"/>
                  </w14:solidFill>
                </w14:textFill>
              </w:rPr>
            </w:pPr>
          </w:p>
        </w:tc>
      </w:tr>
      <w:tr w14:paraId="3A21A6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E9EAFDF">
            <w:pPr>
              <w:rPr>
                <w:b/>
                <w:color w:val="000000" w:themeColor="text1"/>
                <w:sz w:val="18"/>
                <w:szCs w:val="18"/>
                <w14:textFill>
                  <w14:solidFill>
                    <w14:schemeClr w14:val="tx1"/>
                  </w14:solidFill>
                </w14:textFill>
              </w:rPr>
            </w:pPr>
          </w:p>
        </w:tc>
        <w:tc>
          <w:tcPr>
            <w:tcW w:w="1226" w:type="dxa"/>
            <w:vMerge w:val="restart"/>
            <w:vAlign w:val="center"/>
          </w:tcPr>
          <w:p w14:paraId="61B24CB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74FE18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00915074">
            <w:pPr>
              <w:jc w:val="center"/>
              <w:rPr>
                <w:color w:val="000000" w:themeColor="text1"/>
                <w:sz w:val="18"/>
                <w:szCs w:val="18"/>
                <w14:textFill>
                  <w14:solidFill>
                    <w14:schemeClr w14:val="tx1"/>
                  </w14:solidFill>
                </w14:textFill>
              </w:rPr>
            </w:pPr>
          </w:p>
        </w:tc>
        <w:tc>
          <w:tcPr>
            <w:tcW w:w="709" w:type="dxa"/>
            <w:vAlign w:val="center"/>
          </w:tcPr>
          <w:p w14:paraId="434EFC8C">
            <w:pPr>
              <w:jc w:val="center"/>
              <w:rPr>
                <w:color w:val="000000" w:themeColor="text1"/>
                <w:sz w:val="18"/>
                <w:szCs w:val="18"/>
                <w14:textFill>
                  <w14:solidFill>
                    <w14:schemeClr w14:val="tx1"/>
                  </w14:solidFill>
                </w14:textFill>
              </w:rPr>
            </w:pPr>
          </w:p>
        </w:tc>
        <w:tc>
          <w:tcPr>
            <w:tcW w:w="709" w:type="dxa"/>
            <w:shd w:val="clear" w:color="auto" w:fill="auto"/>
            <w:vAlign w:val="center"/>
          </w:tcPr>
          <w:p w14:paraId="2BA6BD4D">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lang w:val="en-US" w:eastAsia="zh-CN"/>
              </w:rPr>
              <w:t>3</w:t>
            </w:r>
          </w:p>
        </w:tc>
        <w:tc>
          <w:tcPr>
            <w:tcW w:w="1045" w:type="dxa"/>
            <w:vMerge w:val="restart"/>
            <w:vAlign w:val="center"/>
          </w:tcPr>
          <w:p w14:paraId="27AC69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B165E2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62F315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907DBC">
            <w:pPr>
              <w:rPr>
                <w:b/>
                <w:color w:val="000000" w:themeColor="text1"/>
                <w:sz w:val="18"/>
                <w:szCs w:val="18"/>
                <w14:textFill>
                  <w14:solidFill>
                    <w14:schemeClr w14:val="tx1"/>
                  </w14:solidFill>
                </w14:textFill>
              </w:rPr>
            </w:pPr>
          </w:p>
        </w:tc>
        <w:tc>
          <w:tcPr>
            <w:tcW w:w="1226" w:type="dxa"/>
            <w:vMerge w:val="continue"/>
            <w:vAlign w:val="center"/>
          </w:tcPr>
          <w:p w14:paraId="02193A7E">
            <w:pPr>
              <w:jc w:val="center"/>
              <w:rPr>
                <w:b/>
                <w:color w:val="000000" w:themeColor="text1"/>
                <w:sz w:val="18"/>
                <w:szCs w:val="18"/>
                <w14:textFill>
                  <w14:solidFill>
                    <w14:schemeClr w14:val="tx1"/>
                  </w14:solidFill>
                </w14:textFill>
              </w:rPr>
            </w:pPr>
          </w:p>
        </w:tc>
        <w:tc>
          <w:tcPr>
            <w:tcW w:w="3516" w:type="dxa"/>
            <w:vAlign w:val="center"/>
          </w:tcPr>
          <w:p w14:paraId="1375A02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6C2D406B">
            <w:pPr>
              <w:jc w:val="center"/>
              <w:rPr>
                <w:color w:val="000000" w:themeColor="text1"/>
                <w:sz w:val="18"/>
                <w:szCs w:val="18"/>
                <w14:textFill>
                  <w14:solidFill>
                    <w14:schemeClr w14:val="tx1"/>
                  </w14:solidFill>
                </w14:textFill>
              </w:rPr>
            </w:pPr>
          </w:p>
        </w:tc>
        <w:tc>
          <w:tcPr>
            <w:tcW w:w="709" w:type="dxa"/>
            <w:vAlign w:val="center"/>
          </w:tcPr>
          <w:p w14:paraId="55CEB977">
            <w:pPr>
              <w:jc w:val="center"/>
              <w:rPr>
                <w:color w:val="000000" w:themeColor="text1"/>
                <w:sz w:val="18"/>
                <w:szCs w:val="18"/>
                <w14:textFill>
                  <w14:solidFill>
                    <w14:schemeClr w14:val="tx1"/>
                  </w14:solidFill>
                </w14:textFill>
              </w:rPr>
            </w:pPr>
          </w:p>
        </w:tc>
        <w:tc>
          <w:tcPr>
            <w:tcW w:w="709" w:type="dxa"/>
            <w:shd w:val="clear" w:color="auto" w:fill="auto"/>
            <w:vAlign w:val="center"/>
          </w:tcPr>
          <w:p w14:paraId="6B3223A8">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lang w:val="en-US" w:eastAsia="zh-CN"/>
              </w:rPr>
              <w:t>4</w:t>
            </w:r>
          </w:p>
        </w:tc>
        <w:tc>
          <w:tcPr>
            <w:tcW w:w="1045" w:type="dxa"/>
            <w:vMerge w:val="continue"/>
            <w:vAlign w:val="center"/>
          </w:tcPr>
          <w:p w14:paraId="6CA94A7C">
            <w:pPr>
              <w:jc w:val="center"/>
              <w:rPr>
                <w:color w:val="000000" w:themeColor="text1"/>
                <w:sz w:val="18"/>
                <w:szCs w:val="18"/>
                <w14:textFill>
                  <w14:solidFill>
                    <w14:schemeClr w14:val="tx1"/>
                  </w14:solidFill>
                </w14:textFill>
              </w:rPr>
            </w:pPr>
          </w:p>
        </w:tc>
      </w:tr>
      <w:tr w14:paraId="2B3CAA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B50D57">
            <w:pPr>
              <w:rPr>
                <w:b/>
                <w:color w:val="000000" w:themeColor="text1"/>
                <w:sz w:val="18"/>
                <w:szCs w:val="18"/>
                <w14:textFill>
                  <w14:solidFill>
                    <w14:schemeClr w14:val="tx1"/>
                  </w14:solidFill>
                </w14:textFill>
              </w:rPr>
            </w:pPr>
          </w:p>
        </w:tc>
        <w:tc>
          <w:tcPr>
            <w:tcW w:w="1226" w:type="dxa"/>
            <w:vMerge w:val="continue"/>
            <w:vAlign w:val="center"/>
          </w:tcPr>
          <w:p w14:paraId="12C39329">
            <w:pPr>
              <w:jc w:val="center"/>
              <w:rPr>
                <w:b/>
                <w:color w:val="000000" w:themeColor="text1"/>
                <w:sz w:val="18"/>
                <w:szCs w:val="18"/>
                <w14:textFill>
                  <w14:solidFill>
                    <w14:schemeClr w14:val="tx1"/>
                  </w14:solidFill>
                </w14:textFill>
              </w:rPr>
            </w:pPr>
          </w:p>
        </w:tc>
        <w:tc>
          <w:tcPr>
            <w:tcW w:w="3516" w:type="dxa"/>
            <w:vAlign w:val="center"/>
          </w:tcPr>
          <w:p w14:paraId="565576DC">
            <w:pPr>
              <w:rPr>
                <w:sz w:val="18"/>
                <w:szCs w:val="18"/>
              </w:rPr>
            </w:pPr>
            <w:r>
              <w:rPr>
                <w:sz w:val="18"/>
                <w:szCs w:val="18"/>
              </w:rPr>
              <w:t>论文中期进展报告</w:t>
            </w:r>
          </w:p>
        </w:tc>
        <w:tc>
          <w:tcPr>
            <w:tcW w:w="1081" w:type="dxa"/>
            <w:vAlign w:val="center"/>
          </w:tcPr>
          <w:p w14:paraId="7826C4EB">
            <w:pPr>
              <w:jc w:val="center"/>
              <w:rPr>
                <w:color w:val="000000" w:themeColor="text1"/>
                <w:sz w:val="18"/>
                <w:szCs w:val="18"/>
                <w14:textFill>
                  <w14:solidFill>
                    <w14:schemeClr w14:val="tx1"/>
                  </w14:solidFill>
                </w14:textFill>
              </w:rPr>
            </w:pPr>
          </w:p>
        </w:tc>
        <w:tc>
          <w:tcPr>
            <w:tcW w:w="709" w:type="dxa"/>
            <w:vAlign w:val="center"/>
          </w:tcPr>
          <w:p w14:paraId="760FB4F7">
            <w:pPr>
              <w:jc w:val="center"/>
              <w:rPr>
                <w:color w:val="000000" w:themeColor="text1"/>
                <w:sz w:val="18"/>
                <w:szCs w:val="18"/>
                <w14:textFill>
                  <w14:solidFill>
                    <w14:schemeClr w14:val="tx1"/>
                  </w14:solidFill>
                </w14:textFill>
              </w:rPr>
            </w:pPr>
          </w:p>
        </w:tc>
        <w:tc>
          <w:tcPr>
            <w:tcW w:w="709" w:type="dxa"/>
            <w:shd w:val="clear" w:color="auto" w:fill="auto"/>
            <w:vAlign w:val="center"/>
          </w:tcPr>
          <w:p w14:paraId="0236DB4C">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lang w:val="en-US" w:eastAsia="zh-CN"/>
              </w:rPr>
              <w:t>5</w:t>
            </w:r>
          </w:p>
        </w:tc>
        <w:tc>
          <w:tcPr>
            <w:tcW w:w="1045" w:type="dxa"/>
            <w:vMerge w:val="continue"/>
          </w:tcPr>
          <w:p w14:paraId="73A58A8B">
            <w:pPr>
              <w:jc w:val="center"/>
              <w:rPr>
                <w:color w:val="000000" w:themeColor="text1"/>
                <w:sz w:val="18"/>
                <w:szCs w:val="18"/>
                <w14:textFill>
                  <w14:solidFill>
                    <w14:schemeClr w14:val="tx1"/>
                  </w14:solidFill>
                </w14:textFill>
              </w:rPr>
            </w:pPr>
          </w:p>
        </w:tc>
      </w:tr>
      <w:tr w14:paraId="204FA7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3173E2">
            <w:pPr>
              <w:rPr>
                <w:b/>
                <w:color w:val="000000" w:themeColor="text1"/>
                <w:sz w:val="18"/>
                <w:szCs w:val="18"/>
                <w14:textFill>
                  <w14:solidFill>
                    <w14:schemeClr w14:val="tx1"/>
                  </w14:solidFill>
                </w14:textFill>
              </w:rPr>
            </w:pPr>
          </w:p>
        </w:tc>
        <w:tc>
          <w:tcPr>
            <w:tcW w:w="1226" w:type="dxa"/>
            <w:vMerge w:val="continue"/>
            <w:vAlign w:val="center"/>
          </w:tcPr>
          <w:p w14:paraId="72467056">
            <w:pPr>
              <w:jc w:val="center"/>
              <w:rPr>
                <w:b/>
                <w:color w:val="000000" w:themeColor="text1"/>
                <w:sz w:val="18"/>
                <w:szCs w:val="18"/>
                <w14:textFill>
                  <w14:solidFill>
                    <w14:schemeClr w14:val="tx1"/>
                  </w14:solidFill>
                </w14:textFill>
              </w:rPr>
            </w:pPr>
          </w:p>
        </w:tc>
        <w:tc>
          <w:tcPr>
            <w:tcW w:w="3516" w:type="dxa"/>
            <w:vAlign w:val="center"/>
          </w:tcPr>
          <w:p w14:paraId="7467FE3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D8FBEA6">
            <w:pPr>
              <w:jc w:val="center"/>
              <w:rPr>
                <w:color w:val="000000" w:themeColor="text1"/>
                <w:sz w:val="18"/>
                <w:szCs w:val="18"/>
                <w14:textFill>
                  <w14:solidFill>
                    <w14:schemeClr w14:val="tx1"/>
                  </w14:solidFill>
                </w14:textFill>
              </w:rPr>
            </w:pPr>
          </w:p>
        </w:tc>
        <w:tc>
          <w:tcPr>
            <w:tcW w:w="709" w:type="dxa"/>
            <w:vAlign w:val="center"/>
          </w:tcPr>
          <w:p w14:paraId="13B70380">
            <w:pPr>
              <w:jc w:val="center"/>
              <w:rPr>
                <w:color w:val="000000" w:themeColor="text1"/>
                <w:sz w:val="18"/>
                <w:szCs w:val="18"/>
                <w14:textFill>
                  <w14:solidFill>
                    <w14:schemeClr w14:val="tx1"/>
                  </w14:solidFill>
                </w14:textFill>
              </w:rPr>
            </w:pPr>
          </w:p>
        </w:tc>
        <w:tc>
          <w:tcPr>
            <w:tcW w:w="709" w:type="dxa"/>
            <w:shd w:val="clear" w:color="auto" w:fill="auto"/>
            <w:vAlign w:val="center"/>
          </w:tcPr>
          <w:p w14:paraId="4F4394A2">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lang w:val="en-US" w:eastAsia="zh-CN"/>
              </w:rPr>
              <w:t>6</w:t>
            </w:r>
          </w:p>
        </w:tc>
        <w:tc>
          <w:tcPr>
            <w:tcW w:w="1045" w:type="dxa"/>
            <w:vMerge w:val="continue"/>
          </w:tcPr>
          <w:p w14:paraId="3265502F">
            <w:pPr>
              <w:jc w:val="center"/>
              <w:rPr>
                <w:color w:val="000000" w:themeColor="text1"/>
                <w:sz w:val="18"/>
                <w:szCs w:val="18"/>
                <w14:textFill>
                  <w14:solidFill>
                    <w14:schemeClr w14:val="tx1"/>
                  </w14:solidFill>
                </w14:textFill>
              </w:rPr>
            </w:pPr>
          </w:p>
        </w:tc>
      </w:tr>
      <w:tr w14:paraId="14C4EB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2EE20A">
            <w:pPr>
              <w:rPr>
                <w:color w:val="000000" w:themeColor="text1"/>
                <w:sz w:val="18"/>
                <w:szCs w:val="18"/>
                <w14:textFill>
                  <w14:solidFill>
                    <w14:schemeClr w14:val="tx1"/>
                  </w14:solidFill>
                </w14:textFill>
              </w:rPr>
            </w:pPr>
          </w:p>
        </w:tc>
        <w:tc>
          <w:tcPr>
            <w:tcW w:w="1226" w:type="dxa"/>
            <w:vMerge w:val="continue"/>
          </w:tcPr>
          <w:p w14:paraId="142AE78D">
            <w:pPr>
              <w:jc w:val="center"/>
              <w:rPr>
                <w:color w:val="000000" w:themeColor="text1"/>
                <w:sz w:val="18"/>
                <w:szCs w:val="18"/>
                <w14:textFill>
                  <w14:solidFill>
                    <w14:schemeClr w14:val="tx1"/>
                  </w14:solidFill>
                </w14:textFill>
              </w:rPr>
            </w:pPr>
          </w:p>
        </w:tc>
        <w:tc>
          <w:tcPr>
            <w:tcW w:w="3516" w:type="dxa"/>
            <w:vAlign w:val="center"/>
          </w:tcPr>
          <w:p w14:paraId="2CAB857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342479E1">
            <w:pPr>
              <w:jc w:val="center"/>
              <w:rPr>
                <w:color w:val="000000" w:themeColor="text1"/>
                <w:sz w:val="18"/>
                <w:szCs w:val="18"/>
                <w14:textFill>
                  <w14:solidFill>
                    <w14:schemeClr w14:val="tx1"/>
                  </w14:solidFill>
                </w14:textFill>
              </w:rPr>
            </w:pPr>
          </w:p>
        </w:tc>
        <w:tc>
          <w:tcPr>
            <w:tcW w:w="709" w:type="dxa"/>
            <w:vAlign w:val="center"/>
          </w:tcPr>
          <w:p w14:paraId="1A0BD220">
            <w:pPr>
              <w:jc w:val="center"/>
              <w:rPr>
                <w:color w:val="000000" w:themeColor="text1"/>
                <w:sz w:val="18"/>
                <w:szCs w:val="18"/>
                <w14:textFill>
                  <w14:solidFill>
                    <w14:schemeClr w14:val="tx1"/>
                  </w14:solidFill>
                </w14:textFill>
              </w:rPr>
            </w:pPr>
          </w:p>
        </w:tc>
        <w:tc>
          <w:tcPr>
            <w:tcW w:w="709" w:type="dxa"/>
            <w:shd w:val="clear" w:color="auto" w:fill="auto"/>
            <w:vAlign w:val="center"/>
          </w:tcPr>
          <w:p w14:paraId="5E5A82D1">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lang w:val="en-US" w:eastAsia="zh-CN"/>
              </w:rPr>
              <w:t>6</w:t>
            </w:r>
          </w:p>
        </w:tc>
        <w:tc>
          <w:tcPr>
            <w:tcW w:w="1045" w:type="dxa"/>
            <w:vMerge w:val="continue"/>
          </w:tcPr>
          <w:p w14:paraId="79FF34D3">
            <w:pPr>
              <w:jc w:val="center"/>
              <w:rPr>
                <w:color w:val="000000" w:themeColor="text1"/>
                <w:sz w:val="18"/>
                <w:szCs w:val="18"/>
                <w14:textFill>
                  <w14:solidFill>
                    <w14:schemeClr w14:val="tx1"/>
                  </w14:solidFill>
                </w14:textFill>
              </w:rPr>
            </w:pPr>
          </w:p>
        </w:tc>
      </w:tr>
      <w:tr w14:paraId="10879B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53B182">
            <w:pPr>
              <w:rPr>
                <w:color w:val="000000" w:themeColor="text1"/>
                <w:sz w:val="18"/>
                <w:szCs w:val="18"/>
                <w14:textFill>
                  <w14:solidFill>
                    <w14:schemeClr w14:val="tx1"/>
                  </w14:solidFill>
                </w14:textFill>
              </w:rPr>
            </w:pPr>
          </w:p>
        </w:tc>
        <w:tc>
          <w:tcPr>
            <w:tcW w:w="1226" w:type="dxa"/>
            <w:vMerge w:val="continue"/>
          </w:tcPr>
          <w:p w14:paraId="13A8D3F1">
            <w:pPr>
              <w:jc w:val="center"/>
              <w:rPr>
                <w:color w:val="000000" w:themeColor="text1"/>
                <w:sz w:val="18"/>
                <w:szCs w:val="18"/>
                <w14:textFill>
                  <w14:solidFill>
                    <w14:schemeClr w14:val="tx1"/>
                  </w14:solidFill>
                </w14:textFill>
              </w:rPr>
            </w:pPr>
          </w:p>
        </w:tc>
        <w:tc>
          <w:tcPr>
            <w:tcW w:w="3516" w:type="dxa"/>
            <w:vAlign w:val="center"/>
          </w:tcPr>
          <w:p w14:paraId="7F9BE6E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637CE44C">
            <w:pPr>
              <w:jc w:val="center"/>
              <w:rPr>
                <w:color w:val="000000" w:themeColor="text1"/>
                <w:sz w:val="18"/>
                <w:szCs w:val="18"/>
                <w14:textFill>
                  <w14:solidFill>
                    <w14:schemeClr w14:val="tx1"/>
                  </w14:solidFill>
                </w14:textFill>
              </w:rPr>
            </w:pPr>
          </w:p>
        </w:tc>
        <w:tc>
          <w:tcPr>
            <w:tcW w:w="709" w:type="dxa"/>
            <w:vAlign w:val="center"/>
          </w:tcPr>
          <w:p w14:paraId="19780A20">
            <w:pPr>
              <w:jc w:val="center"/>
              <w:rPr>
                <w:color w:val="000000" w:themeColor="text1"/>
                <w:sz w:val="18"/>
                <w:szCs w:val="18"/>
                <w14:textFill>
                  <w14:solidFill>
                    <w14:schemeClr w14:val="tx1"/>
                  </w14:solidFill>
                </w14:textFill>
              </w:rPr>
            </w:pPr>
          </w:p>
        </w:tc>
        <w:tc>
          <w:tcPr>
            <w:tcW w:w="709" w:type="dxa"/>
            <w:shd w:val="clear" w:color="auto" w:fill="auto"/>
            <w:vAlign w:val="center"/>
          </w:tcPr>
          <w:p w14:paraId="637CDD41">
            <w:pPr>
              <w:widowControl w:val="0"/>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lang w:val="en-US" w:eastAsia="zh-CN"/>
              </w:rPr>
              <w:t>6</w:t>
            </w:r>
          </w:p>
        </w:tc>
        <w:tc>
          <w:tcPr>
            <w:tcW w:w="1045" w:type="dxa"/>
            <w:vMerge w:val="continue"/>
          </w:tcPr>
          <w:p w14:paraId="67620136">
            <w:pPr>
              <w:jc w:val="center"/>
              <w:rPr>
                <w:color w:val="000000" w:themeColor="text1"/>
                <w:sz w:val="18"/>
                <w:szCs w:val="18"/>
                <w14:textFill>
                  <w14:solidFill>
                    <w14:schemeClr w14:val="tx1"/>
                  </w14:solidFill>
                </w14:textFill>
              </w:rPr>
            </w:pPr>
          </w:p>
        </w:tc>
      </w:tr>
    </w:tbl>
    <w:p w14:paraId="5ECB7118">
      <w:pPr>
        <w:spacing w:line="440" w:lineRule="exact"/>
        <w:ind w:firstLine="562" w:firstLineChars="200"/>
        <w:rPr>
          <w:rFonts w:eastAsia="黑体"/>
          <w:b/>
          <w:bCs w:val="0"/>
          <w:sz w:val="28"/>
          <w:szCs w:val="28"/>
        </w:rPr>
      </w:pPr>
      <w:r>
        <w:rPr>
          <w:rFonts w:eastAsia="黑体"/>
          <w:b/>
          <w:bCs w:val="0"/>
          <w:sz w:val="28"/>
          <w:szCs w:val="28"/>
        </w:rPr>
        <w:t>十</w:t>
      </w:r>
      <w:r>
        <w:rPr>
          <w:rFonts w:hint="eastAsia" w:eastAsia="黑体"/>
          <w:b/>
          <w:bCs w:val="0"/>
          <w:sz w:val="28"/>
          <w:szCs w:val="28"/>
        </w:rPr>
        <w:t>三</w:t>
      </w:r>
      <w:r>
        <w:rPr>
          <w:rFonts w:eastAsia="黑体"/>
          <w:b/>
          <w:bCs w:val="0"/>
          <w:sz w:val="28"/>
          <w:szCs w:val="28"/>
        </w:rPr>
        <w:t>、其他需要说明事项</w:t>
      </w:r>
    </w:p>
    <w:p w14:paraId="565600C5">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106D4825">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A7CC1F8">
      <w:pPr>
        <w:spacing w:line="360" w:lineRule="auto"/>
        <w:rPr>
          <w:rFonts w:eastAsiaTheme="minorEastAsia"/>
          <w:bCs/>
          <w:sz w:val="24"/>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17DE4F"/>
    <w:multiLevelType w:val="singleLevel"/>
    <w:tmpl w:val="6417DE4F"/>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iNTZmMzIzY2ZjMDg0NWM5ZmY4YzBlNTllYzFhNDIifQ=="/>
  </w:docVars>
  <w:rsids>
    <w:rsidRoot w:val="00D25B0B"/>
    <w:rsid w:val="000017BB"/>
    <w:rsid w:val="00002A1A"/>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E88"/>
    <w:rsid w:val="000165A8"/>
    <w:rsid w:val="000229B8"/>
    <w:rsid w:val="000253FB"/>
    <w:rsid w:val="0002553A"/>
    <w:rsid w:val="00025715"/>
    <w:rsid w:val="00025D34"/>
    <w:rsid w:val="000266E2"/>
    <w:rsid w:val="00026F8F"/>
    <w:rsid w:val="00027376"/>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B7E"/>
    <w:rsid w:val="00045490"/>
    <w:rsid w:val="00045566"/>
    <w:rsid w:val="000462ED"/>
    <w:rsid w:val="00046784"/>
    <w:rsid w:val="00046EFF"/>
    <w:rsid w:val="00047780"/>
    <w:rsid w:val="000517AD"/>
    <w:rsid w:val="0005309E"/>
    <w:rsid w:val="00053173"/>
    <w:rsid w:val="00054712"/>
    <w:rsid w:val="00054F25"/>
    <w:rsid w:val="00060C9E"/>
    <w:rsid w:val="00060E5A"/>
    <w:rsid w:val="00061443"/>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65C0"/>
    <w:rsid w:val="00086A2D"/>
    <w:rsid w:val="000877D8"/>
    <w:rsid w:val="00087BB6"/>
    <w:rsid w:val="000903CF"/>
    <w:rsid w:val="00090F47"/>
    <w:rsid w:val="00091106"/>
    <w:rsid w:val="00092A20"/>
    <w:rsid w:val="00093E55"/>
    <w:rsid w:val="00094EF5"/>
    <w:rsid w:val="00095FAE"/>
    <w:rsid w:val="000A0C3E"/>
    <w:rsid w:val="000A1577"/>
    <w:rsid w:val="000A1769"/>
    <w:rsid w:val="000A422B"/>
    <w:rsid w:val="000A46F4"/>
    <w:rsid w:val="000A47A2"/>
    <w:rsid w:val="000A48BC"/>
    <w:rsid w:val="000A59A1"/>
    <w:rsid w:val="000A5AEB"/>
    <w:rsid w:val="000A6B0F"/>
    <w:rsid w:val="000A6FBD"/>
    <w:rsid w:val="000A73F2"/>
    <w:rsid w:val="000A7E9B"/>
    <w:rsid w:val="000B10CA"/>
    <w:rsid w:val="000B1176"/>
    <w:rsid w:val="000B3404"/>
    <w:rsid w:val="000B36CF"/>
    <w:rsid w:val="000B3A32"/>
    <w:rsid w:val="000B3F63"/>
    <w:rsid w:val="000B4084"/>
    <w:rsid w:val="000B596C"/>
    <w:rsid w:val="000B5B40"/>
    <w:rsid w:val="000B5CBB"/>
    <w:rsid w:val="000C1C39"/>
    <w:rsid w:val="000C1DF1"/>
    <w:rsid w:val="000C684D"/>
    <w:rsid w:val="000C7109"/>
    <w:rsid w:val="000C7B56"/>
    <w:rsid w:val="000D0856"/>
    <w:rsid w:val="000D0CA9"/>
    <w:rsid w:val="000D21C4"/>
    <w:rsid w:val="000D2324"/>
    <w:rsid w:val="000D31F3"/>
    <w:rsid w:val="000D3BAB"/>
    <w:rsid w:val="000D41D0"/>
    <w:rsid w:val="000D6149"/>
    <w:rsid w:val="000D6CC0"/>
    <w:rsid w:val="000D6CD9"/>
    <w:rsid w:val="000D71B2"/>
    <w:rsid w:val="000E0380"/>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4BB1"/>
    <w:rsid w:val="00105E20"/>
    <w:rsid w:val="001101F5"/>
    <w:rsid w:val="00110577"/>
    <w:rsid w:val="00110911"/>
    <w:rsid w:val="00110D6C"/>
    <w:rsid w:val="00111BCA"/>
    <w:rsid w:val="0011294E"/>
    <w:rsid w:val="00112E68"/>
    <w:rsid w:val="00113B61"/>
    <w:rsid w:val="00116DAF"/>
    <w:rsid w:val="00116ED7"/>
    <w:rsid w:val="0011773A"/>
    <w:rsid w:val="00117E96"/>
    <w:rsid w:val="001200D3"/>
    <w:rsid w:val="001201FC"/>
    <w:rsid w:val="00123074"/>
    <w:rsid w:val="001252CE"/>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508B"/>
    <w:rsid w:val="001513DE"/>
    <w:rsid w:val="001519AB"/>
    <w:rsid w:val="001548B0"/>
    <w:rsid w:val="00155AAE"/>
    <w:rsid w:val="00156DDA"/>
    <w:rsid w:val="00160DA3"/>
    <w:rsid w:val="0016181D"/>
    <w:rsid w:val="00162151"/>
    <w:rsid w:val="0016284B"/>
    <w:rsid w:val="00163A5C"/>
    <w:rsid w:val="00165D55"/>
    <w:rsid w:val="00166596"/>
    <w:rsid w:val="00167C56"/>
    <w:rsid w:val="00171332"/>
    <w:rsid w:val="001715BD"/>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64E"/>
    <w:rsid w:val="00196830"/>
    <w:rsid w:val="00196F50"/>
    <w:rsid w:val="001A0657"/>
    <w:rsid w:val="001A33E3"/>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27F8"/>
    <w:rsid w:val="001C2996"/>
    <w:rsid w:val="001C30DC"/>
    <w:rsid w:val="001C45C2"/>
    <w:rsid w:val="001C481C"/>
    <w:rsid w:val="001C5480"/>
    <w:rsid w:val="001C6211"/>
    <w:rsid w:val="001C7066"/>
    <w:rsid w:val="001C752D"/>
    <w:rsid w:val="001D154F"/>
    <w:rsid w:val="001D1AE7"/>
    <w:rsid w:val="001D1C64"/>
    <w:rsid w:val="001D1E43"/>
    <w:rsid w:val="001D2313"/>
    <w:rsid w:val="001D28BB"/>
    <w:rsid w:val="001D3EA6"/>
    <w:rsid w:val="001D45FC"/>
    <w:rsid w:val="001D599A"/>
    <w:rsid w:val="001D621F"/>
    <w:rsid w:val="001D690F"/>
    <w:rsid w:val="001D6A65"/>
    <w:rsid w:val="001D6EB9"/>
    <w:rsid w:val="001D78A6"/>
    <w:rsid w:val="001E0FD8"/>
    <w:rsid w:val="001E149A"/>
    <w:rsid w:val="001E1523"/>
    <w:rsid w:val="001E173F"/>
    <w:rsid w:val="001E2472"/>
    <w:rsid w:val="001E47AA"/>
    <w:rsid w:val="001E4A22"/>
    <w:rsid w:val="001E57D0"/>
    <w:rsid w:val="001F03A6"/>
    <w:rsid w:val="001F0AE0"/>
    <w:rsid w:val="001F11BA"/>
    <w:rsid w:val="001F1A8A"/>
    <w:rsid w:val="001F1F2E"/>
    <w:rsid w:val="001F1F8B"/>
    <w:rsid w:val="001F2B47"/>
    <w:rsid w:val="001F431F"/>
    <w:rsid w:val="001F61D1"/>
    <w:rsid w:val="001F65A4"/>
    <w:rsid w:val="00200505"/>
    <w:rsid w:val="00202151"/>
    <w:rsid w:val="002027B9"/>
    <w:rsid w:val="00202B64"/>
    <w:rsid w:val="00202C05"/>
    <w:rsid w:val="00202D87"/>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614"/>
    <w:rsid w:val="002249A4"/>
    <w:rsid w:val="00226F23"/>
    <w:rsid w:val="0023080B"/>
    <w:rsid w:val="002309EB"/>
    <w:rsid w:val="00230D9E"/>
    <w:rsid w:val="002311D2"/>
    <w:rsid w:val="00231C36"/>
    <w:rsid w:val="00232341"/>
    <w:rsid w:val="00232528"/>
    <w:rsid w:val="002325BF"/>
    <w:rsid w:val="00233F30"/>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AC5"/>
    <w:rsid w:val="00256B34"/>
    <w:rsid w:val="00257241"/>
    <w:rsid w:val="002573A9"/>
    <w:rsid w:val="00260797"/>
    <w:rsid w:val="00260E68"/>
    <w:rsid w:val="002636A1"/>
    <w:rsid w:val="0026401B"/>
    <w:rsid w:val="00265C89"/>
    <w:rsid w:val="00265F6A"/>
    <w:rsid w:val="002661C1"/>
    <w:rsid w:val="002666C6"/>
    <w:rsid w:val="00266F5D"/>
    <w:rsid w:val="00267515"/>
    <w:rsid w:val="00274D29"/>
    <w:rsid w:val="002801E8"/>
    <w:rsid w:val="002819AD"/>
    <w:rsid w:val="00281A0D"/>
    <w:rsid w:val="00283B07"/>
    <w:rsid w:val="0028441E"/>
    <w:rsid w:val="00290488"/>
    <w:rsid w:val="00291095"/>
    <w:rsid w:val="00292687"/>
    <w:rsid w:val="0029299A"/>
    <w:rsid w:val="002930F5"/>
    <w:rsid w:val="00293466"/>
    <w:rsid w:val="00293784"/>
    <w:rsid w:val="00293972"/>
    <w:rsid w:val="00295013"/>
    <w:rsid w:val="002950C9"/>
    <w:rsid w:val="002956DA"/>
    <w:rsid w:val="00296D8B"/>
    <w:rsid w:val="002A112F"/>
    <w:rsid w:val="002A2616"/>
    <w:rsid w:val="002A31A8"/>
    <w:rsid w:val="002A4A36"/>
    <w:rsid w:val="002A71B9"/>
    <w:rsid w:val="002A7921"/>
    <w:rsid w:val="002B0A99"/>
    <w:rsid w:val="002B293A"/>
    <w:rsid w:val="002B2A1B"/>
    <w:rsid w:val="002B3394"/>
    <w:rsid w:val="002B63CC"/>
    <w:rsid w:val="002B72BE"/>
    <w:rsid w:val="002B7EFB"/>
    <w:rsid w:val="002C0ADB"/>
    <w:rsid w:val="002C0D99"/>
    <w:rsid w:val="002C10F7"/>
    <w:rsid w:val="002C1361"/>
    <w:rsid w:val="002C27CC"/>
    <w:rsid w:val="002C44BA"/>
    <w:rsid w:val="002C531D"/>
    <w:rsid w:val="002C5839"/>
    <w:rsid w:val="002C5D7C"/>
    <w:rsid w:val="002C68F2"/>
    <w:rsid w:val="002C6CF4"/>
    <w:rsid w:val="002C7D60"/>
    <w:rsid w:val="002D2AEB"/>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2797"/>
    <w:rsid w:val="002F3877"/>
    <w:rsid w:val="002F39EA"/>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623B"/>
    <w:rsid w:val="00316326"/>
    <w:rsid w:val="00316470"/>
    <w:rsid w:val="00316817"/>
    <w:rsid w:val="00317FDF"/>
    <w:rsid w:val="00321FD1"/>
    <w:rsid w:val="00322D53"/>
    <w:rsid w:val="00323D0D"/>
    <w:rsid w:val="00325D12"/>
    <w:rsid w:val="00326A2C"/>
    <w:rsid w:val="003279B0"/>
    <w:rsid w:val="00331123"/>
    <w:rsid w:val="00331B4B"/>
    <w:rsid w:val="00331D3B"/>
    <w:rsid w:val="00332C98"/>
    <w:rsid w:val="00334F71"/>
    <w:rsid w:val="00335BB9"/>
    <w:rsid w:val="00336751"/>
    <w:rsid w:val="00336778"/>
    <w:rsid w:val="003374FD"/>
    <w:rsid w:val="00337DD6"/>
    <w:rsid w:val="003416BC"/>
    <w:rsid w:val="00345BF6"/>
    <w:rsid w:val="00350E12"/>
    <w:rsid w:val="00351789"/>
    <w:rsid w:val="00352485"/>
    <w:rsid w:val="00352525"/>
    <w:rsid w:val="003539D7"/>
    <w:rsid w:val="00353D6B"/>
    <w:rsid w:val="003617F2"/>
    <w:rsid w:val="00362BF4"/>
    <w:rsid w:val="00364D73"/>
    <w:rsid w:val="00367064"/>
    <w:rsid w:val="00371E5D"/>
    <w:rsid w:val="00371F36"/>
    <w:rsid w:val="00372023"/>
    <w:rsid w:val="00374191"/>
    <w:rsid w:val="00376F53"/>
    <w:rsid w:val="00381B2C"/>
    <w:rsid w:val="00382F33"/>
    <w:rsid w:val="00383F4C"/>
    <w:rsid w:val="00383FF4"/>
    <w:rsid w:val="00384607"/>
    <w:rsid w:val="00386FF4"/>
    <w:rsid w:val="00387621"/>
    <w:rsid w:val="0039122B"/>
    <w:rsid w:val="003916C3"/>
    <w:rsid w:val="00392FBD"/>
    <w:rsid w:val="00397184"/>
    <w:rsid w:val="003A0041"/>
    <w:rsid w:val="003A3458"/>
    <w:rsid w:val="003A42FD"/>
    <w:rsid w:val="003A4D10"/>
    <w:rsid w:val="003A562E"/>
    <w:rsid w:val="003A59AE"/>
    <w:rsid w:val="003A6828"/>
    <w:rsid w:val="003A6BA2"/>
    <w:rsid w:val="003A7FDB"/>
    <w:rsid w:val="003B02F6"/>
    <w:rsid w:val="003B11EC"/>
    <w:rsid w:val="003B1809"/>
    <w:rsid w:val="003B1C29"/>
    <w:rsid w:val="003B21FD"/>
    <w:rsid w:val="003B38C6"/>
    <w:rsid w:val="003B3945"/>
    <w:rsid w:val="003B50B1"/>
    <w:rsid w:val="003B5EF2"/>
    <w:rsid w:val="003B5FCD"/>
    <w:rsid w:val="003C1B16"/>
    <w:rsid w:val="003C2368"/>
    <w:rsid w:val="003C2B6F"/>
    <w:rsid w:val="003C3387"/>
    <w:rsid w:val="003C43AE"/>
    <w:rsid w:val="003C4CF4"/>
    <w:rsid w:val="003C4F53"/>
    <w:rsid w:val="003C5F9F"/>
    <w:rsid w:val="003D13E5"/>
    <w:rsid w:val="003D1899"/>
    <w:rsid w:val="003D18A7"/>
    <w:rsid w:val="003D2091"/>
    <w:rsid w:val="003D354D"/>
    <w:rsid w:val="003D35E3"/>
    <w:rsid w:val="003D3974"/>
    <w:rsid w:val="003D3996"/>
    <w:rsid w:val="003D3BD9"/>
    <w:rsid w:val="003D51E0"/>
    <w:rsid w:val="003D6349"/>
    <w:rsid w:val="003E0503"/>
    <w:rsid w:val="003E1FE7"/>
    <w:rsid w:val="003E42F3"/>
    <w:rsid w:val="003E5315"/>
    <w:rsid w:val="003E5423"/>
    <w:rsid w:val="003E5A1E"/>
    <w:rsid w:val="003E5BF2"/>
    <w:rsid w:val="003E5F3F"/>
    <w:rsid w:val="003E6CB3"/>
    <w:rsid w:val="003E7512"/>
    <w:rsid w:val="003F1009"/>
    <w:rsid w:val="003F104D"/>
    <w:rsid w:val="003F1C70"/>
    <w:rsid w:val="003F1F1D"/>
    <w:rsid w:val="003F261F"/>
    <w:rsid w:val="003F3531"/>
    <w:rsid w:val="003F3BF4"/>
    <w:rsid w:val="003F42A8"/>
    <w:rsid w:val="003F5B64"/>
    <w:rsid w:val="003F7640"/>
    <w:rsid w:val="0040267E"/>
    <w:rsid w:val="00405CBD"/>
    <w:rsid w:val="004072D6"/>
    <w:rsid w:val="004072EC"/>
    <w:rsid w:val="004106FF"/>
    <w:rsid w:val="004109A1"/>
    <w:rsid w:val="00411D94"/>
    <w:rsid w:val="004124A9"/>
    <w:rsid w:val="004130E5"/>
    <w:rsid w:val="00413674"/>
    <w:rsid w:val="00414FF5"/>
    <w:rsid w:val="00416F54"/>
    <w:rsid w:val="00417898"/>
    <w:rsid w:val="0042019B"/>
    <w:rsid w:val="004210EC"/>
    <w:rsid w:val="00421AB0"/>
    <w:rsid w:val="00424002"/>
    <w:rsid w:val="00424D58"/>
    <w:rsid w:val="00426083"/>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86B"/>
    <w:rsid w:val="00456D50"/>
    <w:rsid w:val="004573A6"/>
    <w:rsid w:val="0045759A"/>
    <w:rsid w:val="00457865"/>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CAE"/>
    <w:rsid w:val="0048109C"/>
    <w:rsid w:val="00481ED3"/>
    <w:rsid w:val="004823CA"/>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EB7"/>
    <w:rsid w:val="004A671E"/>
    <w:rsid w:val="004A6A44"/>
    <w:rsid w:val="004A6E8A"/>
    <w:rsid w:val="004B0DD9"/>
    <w:rsid w:val="004B2577"/>
    <w:rsid w:val="004B25BE"/>
    <w:rsid w:val="004B3E96"/>
    <w:rsid w:val="004B4ED3"/>
    <w:rsid w:val="004B6494"/>
    <w:rsid w:val="004B6B41"/>
    <w:rsid w:val="004B7C1D"/>
    <w:rsid w:val="004C0AA3"/>
    <w:rsid w:val="004C23AA"/>
    <w:rsid w:val="004C48C8"/>
    <w:rsid w:val="004C4F07"/>
    <w:rsid w:val="004C7469"/>
    <w:rsid w:val="004C7690"/>
    <w:rsid w:val="004D17F5"/>
    <w:rsid w:val="004D1952"/>
    <w:rsid w:val="004D5F79"/>
    <w:rsid w:val="004D62EC"/>
    <w:rsid w:val="004D685B"/>
    <w:rsid w:val="004E0437"/>
    <w:rsid w:val="004E0F0B"/>
    <w:rsid w:val="004E0F12"/>
    <w:rsid w:val="004E1823"/>
    <w:rsid w:val="004E32D6"/>
    <w:rsid w:val="004E6028"/>
    <w:rsid w:val="004E7FBD"/>
    <w:rsid w:val="004F0A81"/>
    <w:rsid w:val="004F2A3F"/>
    <w:rsid w:val="004F3283"/>
    <w:rsid w:val="004F4562"/>
    <w:rsid w:val="004F7534"/>
    <w:rsid w:val="00501096"/>
    <w:rsid w:val="0050152F"/>
    <w:rsid w:val="00501D66"/>
    <w:rsid w:val="00502BCF"/>
    <w:rsid w:val="00503822"/>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953"/>
    <w:rsid w:val="00525BB6"/>
    <w:rsid w:val="005273F8"/>
    <w:rsid w:val="00534727"/>
    <w:rsid w:val="00534F23"/>
    <w:rsid w:val="00535263"/>
    <w:rsid w:val="00536540"/>
    <w:rsid w:val="00536795"/>
    <w:rsid w:val="00536C95"/>
    <w:rsid w:val="00537027"/>
    <w:rsid w:val="00537257"/>
    <w:rsid w:val="00540173"/>
    <w:rsid w:val="00540EFC"/>
    <w:rsid w:val="005412AC"/>
    <w:rsid w:val="00541337"/>
    <w:rsid w:val="00541865"/>
    <w:rsid w:val="00541F23"/>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52E2"/>
    <w:rsid w:val="00595339"/>
    <w:rsid w:val="00595641"/>
    <w:rsid w:val="0059643D"/>
    <w:rsid w:val="005A008F"/>
    <w:rsid w:val="005A1911"/>
    <w:rsid w:val="005A315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B60"/>
    <w:rsid w:val="005C4432"/>
    <w:rsid w:val="005D14BA"/>
    <w:rsid w:val="005D22F5"/>
    <w:rsid w:val="005D32A3"/>
    <w:rsid w:val="005D3952"/>
    <w:rsid w:val="005D3E43"/>
    <w:rsid w:val="005D40D4"/>
    <w:rsid w:val="005D5C84"/>
    <w:rsid w:val="005D79EF"/>
    <w:rsid w:val="005D7BE7"/>
    <w:rsid w:val="005E1061"/>
    <w:rsid w:val="005E1B84"/>
    <w:rsid w:val="005E2A0E"/>
    <w:rsid w:val="005E62E3"/>
    <w:rsid w:val="005E64E5"/>
    <w:rsid w:val="005F06F9"/>
    <w:rsid w:val="005F4D6E"/>
    <w:rsid w:val="005F7CA5"/>
    <w:rsid w:val="005F7CAF"/>
    <w:rsid w:val="006016AC"/>
    <w:rsid w:val="00601816"/>
    <w:rsid w:val="0060199C"/>
    <w:rsid w:val="00602671"/>
    <w:rsid w:val="00602B90"/>
    <w:rsid w:val="00603D83"/>
    <w:rsid w:val="00604183"/>
    <w:rsid w:val="00604613"/>
    <w:rsid w:val="00604FA3"/>
    <w:rsid w:val="00604FB0"/>
    <w:rsid w:val="006051A3"/>
    <w:rsid w:val="00605CD5"/>
    <w:rsid w:val="0060743F"/>
    <w:rsid w:val="00607847"/>
    <w:rsid w:val="00607B2B"/>
    <w:rsid w:val="00610327"/>
    <w:rsid w:val="00612981"/>
    <w:rsid w:val="00614102"/>
    <w:rsid w:val="00614D9A"/>
    <w:rsid w:val="00614F47"/>
    <w:rsid w:val="006153A0"/>
    <w:rsid w:val="00615AAC"/>
    <w:rsid w:val="00615D8E"/>
    <w:rsid w:val="0061788D"/>
    <w:rsid w:val="0062070F"/>
    <w:rsid w:val="00621C0C"/>
    <w:rsid w:val="0062244F"/>
    <w:rsid w:val="0062342A"/>
    <w:rsid w:val="00623EBA"/>
    <w:rsid w:val="0062578A"/>
    <w:rsid w:val="0062593D"/>
    <w:rsid w:val="00626DFE"/>
    <w:rsid w:val="00627702"/>
    <w:rsid w:val="00632BBB"/>
    <w:rsid w:val="00633326"/>
    <w:rsid w:val="0063461B"/>
    <w:rsid w:val="00634736"/>
    <w:rsid w:val="00634DBA"/>
    <w:rsid w:val="006350A1"/>
    <w:rsid w:val="00635BA0"/>
    <w:rsid w:val="00635EF3"/>
    <w:rsid w:val="006406F4"/>
    <w:rsid w:val="00640F18"/>
    <w:rsid w:val="006416DA"/>
    <w:rsid w:val="006417EC"/>
    <w:rsid w:val="00641A50"/>
    <w:rsid w:val="00642498"/>
    <w:rsid w:val="006437FE"/>
    <w:rsid w:val="00645DF9"/>
    <w:rsid w:val="00646A84"/>
    <w:rsid w:val="0065012C"/>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40CA"/>
    <w:rsid w:val="00665E28"/>
    <w:rsid w:val="006661B6"/>
    <w:rsid w:val="00666F41"/>
    <w:rsid w:val="00667959"/>
    <w:rsid w:val="0067029E"/>
    <w:rsid w:val="00671196"/>
    <w:rsid w:val="00671444"/>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02A"/>
    <w:rsid w:val="00687FF2"/>
    <w:rsid w:val="0069100C"/>
    <w:rsid w:val="0069124C"/>
    <w:rsid w:val="00691926"/>
    <w:rsid w:val="00697E04"/>
    <w:rsid w:val="006A06EB"/>
    <w:rsid w:val="006A2469"/>
    <w:rsid w:val="006A28CE"/>
    <w:rsid w:val="006A29EA"/>
    <w:rsid w:val="006A2D59"/>
    <w:rsid w:val="006A5764"/>
    <w:rsid w:val="006A593C"/>
    <w:rsid w:val="006A63AD"/>
    <w:rsid w:val="006A75EB"/>
    <w:rsid w:val="006B06AF"/>
    <w:rsid w:val="006B138B"/>
    <w:rsid w:val="006B1FA0"/>
    <w:rsid w:val="006B2D38"/>
    <w:rsid w:val="006B348B"/>
    <w:rsid w:val="006B36E1"/>
    <w:rsid w:val="006B466F"/>
    <w:rsid w:val="006B6B5A"/>
    <w:rsid w:val="006B6C53"/>
    <w:rsid w:val="006C1073"/>
    <w:rsid w:val="006C10AB"/>
    <w:rsid w:val="006C1A84"/>
    <w:rsid w:val="006C1CC1"/>
    <w:rsid w:val="006C250B"/>
    <w:rsid w:val="006C420C"/>
    <w:rsid w:val="006C4440"/>
    <w:rsid w:val="006C54A4"/>
    <w:rsid w:val="006C6CA5"/>
    <w:rsid w:val="006C6E36"/>
    <w:rsid w:val="006C703A"/>
    <w:rsid w:val="006C72E5"/>
    <w:rsid w:val="006C77EC"/>
    <w:rsid w:val="006D30FE"/>
    <w:rsid w:val="006D3C95"/>
    <w:rsid w:val="006D5B36"/>
    <w:rsid w:val="006E0CA3"/>
    <w:rsid w:val="006E1B6D"/>
    <w:rsid w:val="006E2BCE"/>
    <w:rsid w:val="006E3DA0"/>
    <w:rsid w:val="006E6EA0"/>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B2"/>
    <w:rsid w:val="00706115"/>
    <w:rsid w:val="007065C5"/>
    <w:rsid w:val="007066D8"/>
    <w:rsid w:val="00713960"/>
    <w:rsid w:val="00715D11"/>
    <w:rsid w:val="00716989"/>
    <w:rsid w:val="00717815"/>
    <w:rsid w:val="007212C9"/>
    <w:rsid w:val="00721724"/>
    <w:rsid w:val="007223D6"/>
    <w:rsid w:val="00724CA4"/>
    <w:rsid w:val="0072674C"/>
    <w:rsid w:val="0072681F"/>
    <w:rsid w:val="00726B86"/>
    <w:rsid w:val="00727001"/>
    <w:rsid w:val="0072766F"/>
    <w:rsid w:val="00731ACF"/>
    <w:rsid w:val="00732B3F"/>
    <w:rsid w:val="007340C9"/>
    <w:rsid w:val="0073618E"/>
    <w:rsid w:val="00737217"/>
    <w:rsid w:val="00737C29"/>
    <w:rsid w:val="0074076C"/>
    <w:rsid w:val="00742652"/>
    <w:rsid w:val="00743615"/>
    <w:rsid w:val="00743BB8"/>
    <w:rsid w:val="007470C4"/>
    <w:rsid w:val="007500A4"/>
    <w:rsid w:val="007522EC"/>
    <w:rsid w:val="00753336"/>
    <w:rsid w:val="00754A9F"/>
    <w:rsid w:val="00754B70"/>
    <w:rsid w:val="00755EC4"/>
    <w:rsid w:val="00756507"/>
    <w:rsid w:val="0075725A"/>
    <w:rsid w:val="00757690"/>
    <w:rsid w:val="007625FB"/>
    <w:rsid w:val="0076580C"/>
    <w:rsid w:val="007678DA"/>
    <w:rsid w:val="0077281C"/>
    <w:rsid w:val="007728FC"/>
    <w:rsid w:val="00773AF5"/>
    <w:rsid w:val="0077498C"/>
    <w:rsid w:val="0077541C"/>
    <w:rsid w:val="007767CD"/>
    <w:rsid w:val="00777300"/>
    <w:rsid w:val="00777697"/>
    <w:rsid w:val="00780CD3"/>
    <w:rsid w:val="00781989"/>
    <w:rsid w:val="00782601"/>
    <w:rsid w:val="00782FAA"/>
    <w:rsid w:val="00785273"/>
    <w:rsid w:val="0078654A"/>
    <w:rsid w:val="007870A8"/>
    <w:rsid w:val="0078771C"/>
    <w:rsid w:val="00790718"/>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72D0"/>
    <w:rsid w:val="00810A7C"/>
    <w:rsid w:val="00810F43"/>
    <w:rsid w:val="008116F4"/>
    <w:rsid w:val="00813262"/>
    <w:rsid w:val="00814CA9"/>
    <w:rsid w:val="00815987"/>
    <w:rsid w:val="00815BA8"/>
    <w:rsid w:val="008162C6"/>
    <w:rsid w:val="00817E4C"/>
    <w:rsid w:val="00821603"/>
    <w:rsid w:val="008219EC"/>
    <w:rsid w:val="0082256B"/>
    <w:rsid w:val="0082266C"/>
    <w:rsid w:val="00822CB9"/>
    <w:rsid w:val="00825096"/>
    <w:rsid w:val="00825828"/>
    <w:rsid w:val="0082606C"/>
    <w:rsid w:val="00827862"/>
    <w:rsid w:val="00831212"/>
    <w:rsid w:val="00831257"/>
    <w:rsid w:val="0083140F"/>
    <w:rsid w:val="00834A04"/>
    <w:rsid w:val="008376C2"/>
    <w:rsid w:val="008377F9"/>
    <w:rsid w:val="008401D4"/>
    <w:rsid w:val="00840242"/>
    <w:rsid w:val="008407D9"/>
    <w:rsid w:val="00841C9C"/>
    <w:rsid w:val="00841D97"/>
    <w:rsid w:val="0084229C"/>
    <w:rsid w:val="00842714"/>
    <w:rsid w:val="00843F7B"/>
    <w:rsid w:val="0084438E"/>
    <w:rsid w:val="0084492D"/>
    <w:rsid w:val="00844D1E"/>
    <w:rsid w:val="00844EE4"/>
    <w:rsid w:val="00847E50"/>
    <w:rsid w:val="008500A1"/>
    <w:rsid w:val="00855613"/>
    <w:rsid w:val="0085641A"/>
    <w:rsid w:val="00857405"/>
    <w:rsid w:val="008634C1"/>
    <w:rsid w:val="0086368E"/>
    <w:rsid w:val="00863785"/>
    <w:rsid w:val="0086416C"/>
    <w:rsid w:val="00864B60"/>
    <w:rsid w:val="008657A9"/>
    <w:rsid w:val="008658D6"/>
    <w:rsid w:val="00865AFC"/>
    <w:rsid w:val="00865B84"/>
    <w:rsid w:val="00866D7F"/>
    <w:rsid w:val="00866FB1"/>
    <w:rsid w:val="008707CE"/>
    <w:rsid w:val="00870F59"/>
    <w:rsid w:val="00871138"/>
    <w:rsid w:val="008715FB"/>
    <w:rsid w:val="00872D83"/>
    <w:rsid w:val="00873461"/>
    <w:rsid w:val="008738FA"/>
    <w:rsid w:val="0087407C"/>
    <w:rsid w:val="0087489D"/>
    <w:rsid w:val="0087548B"/>
    <w:rsid w:val="00875C08"/>
    <w:rsid w:val="00876770"/>
    <w:rsid w:val="00876DEE"/>
    <w:rsid w:val="00880526"/>
    <w:rsid w:val="00881840"/>
    <w:rsid w:val="00881CEC"/>
    <w:rsid w:val="008820B5"/>
    <w:rsid w:val="008823CE"/>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6B9B"/>
    <w:rsid w:val="008A7188"/>
    <w:rsid w:val="008A7CAD"/>
    <w:rsid w:val="008B09E1"/>
    <w:rsid w:val="008B1010"/>
    <w:rsid w:val="008B1918"/>
    <w:rsid w:val="008B3160"/>
    <w:rsid w:val="008B3608"/>
    <w:rsid w:val="008B6A84"/>
    <w:rsid w:val="008B79F0"/>
    <w:rsid w:val="008C0847"/>
    <w:rsid w:val="008C0CD5"/>
    <w:rsid w:val="008C3036"/>
    <w:rsid w:val="008C3532"/>
    <w:rsid w:val="008C35AC"/>
    <w:rsid w:val="008C3DA2"/>
    <w:rsid w:val="008C6307"/>
    <w:rsid w:val="008D02C0"/>
    <w:rsid w:val="008D050B"/>
    <w:rsid w:val="008D1674"/>
    <w:rsid w:val="008D169C"/>
    <w:rsid w:val="008D28EB"/>
    <w:rsid w:val="008D3790"/>
    <w:rsid w:val="008D505D"/>
    <w:rsid w:val="008D57A3"/>
    <w:rsid w:val="008D5B96"/>
    <w:rsid w:val="008D6259"/>
    <w:rsid w:val="008D68AE"/>
    <w:rsid w:val="008E0764"/>
    <w:rsid w:val="008E165B"/>
    <w:rsid w:val="008E191D"/>
    <w:rsid w:val="008E3835"/>
    <w:rsid w:val="008E4D6E"/>
    <w:rsid w:val="008E545B"/>
    <w:rsid w:val="008F11C2"/>
    <w:rsid w:val="008F1554"/>
    <w:rsid w:val="008F2DD5"/>
    <w:rsid w:val="008F3868"/>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1015C"/>
    <w:rsid w:val="00910B32"/>
    <w:rsid w:val="00910C3B"/>
    <w:rsid w:val="00911AC4"/>
    <w:rsid w:val="00911D0A"/>
    <w:rsid w:val="009120C5"/>
    <w:rsid w:val="0091611D"/>
    <w:rsid w:val="00916C60"/>
    <w:rsid w:val="00917D69"/>
    <w:rsid w:val="009205AF"/>
    <w:rsid w:val="00921AA0"/>
    <w:rsid w:val="00921ABD"/>
    <w:rsid w:val="00921B45"/>
    <w:rsid w:val="009238CF"/>
    <w:rsid w:val="00923DB7"/>
    <w:rsid w:val="00924443"/>
    <w:rsid w:val="00924EDF"/>
    <w:rsid w:val="00926233"/>
    <w:rsid w:val="00933D53"/>
    <w:rsid w:val="00935634"/>
    <w:rsid w:val="00937654"/>
    <w:rsid w:val="00937D4A"/>
    <w:rsid w:val="00942771"/>
    <w:rsid w:val="00942BE1"/>
    <w:rsid w:val="009435A3"/>
    <w:rsid w:val="00943C58"/>
    <w:rsid w:val="0094494B"/>
    <w:rsid w:val="0094726C"/>
    <w:rsid w:val="009516C2"/>
    <w:rsid w:val="00951DBD"/>
    <w:rsid w:val="0095369B"/>
    <w:rsid w:val="009538AA"/>
    <w:rsid w:val="00954815"/>
    <w:rsid w:val="0095554C"/>
    <w:rsid w:val="00957BFA"/>
    <w:rsid w:val="0096054A"/>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A70"/>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B5D"/>
    <w:rsid w:val="009C6DD7"/>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432B"/>
    <w:rsid w:val="009E4EE1"/>
    <w:rsid w:val="009E52AD"/>
    <w:rsid w:val="009E6F99"/>
    <w:rsid w:val="009E753E"/>
    <w:rsid w:val="009F04DC"/>
    <w:rsid w:val="009F1134"/>
    <w:rsid w:val="009F1A70"/>
    <w:rsid w:val="009F26E5"/>
    <w:rsid w:val="009F5E43"/>
    <w:rsid w:val="009F65B7"/>
    <w:rsid w:val="009F68A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2582"/>
    <w:rsid w:val="00A32C78"/>
    <w:rsid w:val="00A34C35"/>
    <w:rsid w:val="00A36261"/>
    <w:rsid w:val="00A36557"/>
    <w:rsid w:val="00A366A1"/>
    <w:rsid w:val="00A36D91"/>
    <w:rsid w:val="00A37BC4"/>
    <w:rsid w:val="00A40AC2"/>
    <w:rsid w:val="00A43B69"/>
    <w:rsid w:val="00A45643"/>
    <w:rsid w:val="00A45AC3"/>
    <w:rsid w:val="00A53FB7"/>
    <w:rsid w:val="00A54190"/>
    <w:rsid w:val="00A565B8"/>
    <w:rsid w:val="00A56812"/>
    <w:rsid w:val="00A604EA"/>
    <w:rsid w:val="00A60F28"/>
    <w:rsid w:val="00A611DA"/>
    <w:rsid w:val="00A61879"/>
    <w:rsid w:val="00A621C1"/>
    <w:rsid w:val="00A624D8"/>
    <w:rsid w:val="00A6293C"/>
    <w:rsid w:val="00A62E1B"/>
    <w:rsid w:val="00A66503"/>
    <w:rsid w:val="00A67889"/>
    <w:rsid w:val="00A6789B"/>
    <w:rsid w:val="00A7026A"/>
    <w:rsid w:val="00A703EA"/>
    <w:rsid w:val="00A736E7"/>
    <w:rsid w:val="00A7421F"/>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28EA"/>
    <w:rsid w:val="00AA2CB5"/>
    <w:rsid w:val="00AA4EDC"/>
    <w:rsid w:val="00AA6AAB"/>
    <w:rsid w:val="00AA6C65"/>
    <w:rsid w:val="00AA7D8E"/>
    <w:rsid w:val="00AB1BB4"/>
    <w:rsid w:val="00AB4970"/>
    <w:rsid w:val="00AB4A4F"/>
    <w:rsid w:val="00AB4DF5"/>
    <w:rsid w:val="00AB4F86"/>
    <w:rsid w:val="00AB52BB"/>
    <w:rsid w:val="00AB5FD3"/>
    <w:rsid w:val="00AB6905"/>
    <w:rsid w:val="00AB7374"/>
    <w:rsid w:val="00AC12AF"/>
    <w:rsid w:val="00AC1A7A"/>
    <w:rsid w:val="00AC2797"/>
    <w:rsid w:val="00AC2C87"/>
    <w:rsid w:val="00AC4374"/>
    <w:rsid w:val="00AC43B3"/>
    <w:rsid w:val="00AC7A04"/>
    <w:rsid w:val="00AC7F64"/>
    <w:rsid w:val="00AD0411"/>
    <w:rsid w:val="00AD070E"/>
    <w:rsid w:val="00AD0BC2"/>
    <w:rsid w:val="00AD2597"/>
    <w:rsid w:val="00AD25F3"/>
    <w:rsid w:val="00AD26EF"/>
    <w:rsid w:val="00AD4E99"/>
    <w:rsid w:val="00AD58AF"/>
    <w:rsid w:val="00AD699F"/>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5B5F"/>
    <w:rsid w:val="00AF7F25"/>
    <w:rsid w:val="00B000B0"/>
    <w:rsid w:val="00B00164"/>
    <w:rsid w:val="00B00561"/>
    <w:rsid w:val="00B00F1B"/>
    <w:rsid w:val="00B035FC"/>
    <w:rsid w:val="00B03B19"/>
    <w:rsid w:val="00B03B1F"/>
    <w:rsid w:val="00B03F49"/>
    <w:rsid w:val="00B0533C"/>
    <w:rsid w:val="00B053B0"/>
    <w:rsid w:val="00B10337"/>
    <w:rsid w:val="00B108D6"/>
    <w:rsid w:val="00B10BF6"/>
    <w:rsid w:val="00B12840"/>
    <w:rsid w:val="00B12EC0"/>
    <w:rsid w:val="00B15E94"/>
    <w:rsid w:val="00B16947"/>
    <w:rsid w:val="00B16F56"/>
    <w:rsid w:val="00B20C1E"/>
    <w:rsid w:val="00B20ECF"/>
    <w:rsid w:val="00B21407"/>
    <w:rsid w:val="00B214A5"/>
    <w:rsid w:val="00B21F14"/>
    <w:rsid w:val="00B2244D"/>
    <w:rsid w:val="00B239F4"/>
    <w:rsid w:val="00B2463B"/>
    <w:rsid w:val="00B254E4"/>
    <w:rsid w:val="00B274FB"/>
    <w:rsid w:val="00B27BF4"/>
    <w:rsid w:val="00B311FD"/>
    <w:rsid w:val="00B3467F"/>
    <w:rsid w:val="00B364FB"/>
    <w:rsid w:val="00B40173"/>
    <w:rsid w:val="00B40564"/>
    <w:rsid w:val="00B40843"/>
    <w:rsid w:val="00B40C80"/>
    <w:rsid w:val="00B41C97"/>
    <w:rsid w:val="00B435F3"/>
    <w:rsid w:val="00B43794"/>
    <w:rsid w:val="00B44677"/>
    <w:rsid w:val="00B4730A"/>
    <w:rsid w:val="00B47FF4"/>
    <w:rsid w:val="00B52270"/>
    <w:rsid w:val="00B52808"/>
    <w:rsid w:val="00B5398F"/>
    <w:rsid w:val="00B55EB0"/>
    <w:rsid w:val="00B6099F"/>
    <w:rsid w:val="00B60EAA"/>
    <w:rsid w:val="00B625BE"/>
    <w:rsid w:val="00B64732"/>
    <w:rsid w:val="00B65BCA"/>
    <w:rsid w:val="00B66183"/>
    <w:rsid w:val="00B66D67"/>
    <w:rsid w:val="00B66FC5"/>
    <w:rsid w:val="00B67082"/>
    <w:rsid w:val="00B67703"/>
    <w:rsid w:val="00B73199"/>
    <w:rsid w:val="00B7337D"/>
    <w:rsid w:val="00B73397"/>
    <w:rsid w:val="00B7595E"/>
    <w:rsid w:val="00B75D73"/>
    <w:rsid w:val="00B7628E"/>
    <w:rsid w:val="00B77328"/>
    <w:rsid w:val="00B775AF"/>
    <w:rsid w:val="00B8038C"/>
    <w:rsid w:val="00B81342"/>
    <w:rsid w:val="00B83EE0"/>
    <w:rsid w:val="00B865F2"/>
    <w:rsid w:val="00B8733E"/>
    <w:rsid w:val="00B911E8"/>
    <w:rsid w:val="00B93BED"/>
    <w:rsid w:val="00B9515D"/>
    <w:rsid w:val="00B95A7C"/>
    <w:rsid w:val="00B96D79"/>
    <w:rsid w:val="00B973FF"/>
    <w:rsid w:val="00BA077E"/>
    <w:rsid w:val="00BA2256"/>
    <w:rsid w:val="00BA5997"/>
    <w:rsid w:val="00BA7014"/>
    <w:rsid w:val="00BA7EF7"/>
    <w:rsid w:val="00BA7F51"/>
    <w:rsid w:val="00BB04A8"/>
    <w:rsid w:val="00BB0FDF"/>
    <w:rsid w:val="00BB1345"/>
    <w:rsid w:val="00BB19F5"/>
    <w:rsid w:val="00BB641F"/>
    <w:rsid w:val="00BB6A0D"/>
    <w:rsid w:val="00BB7B30"/>
    <w:rsid w:val="00BB7E7A"/>
    <w:rsid w:val="00BC04CF"/>
    <w:rsid w:val="00BC31C9"/>
    <w:rsid w:val="00BC44B4"/>
    <w:rsid w:val="00BC488E"/>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0576"/>
    <w:rsid w:val="00C21AA7"/>
    <w:rsid w:val="00C21B40"/>
    <w:rsid w:val="00C21C6A"/>
    <w:rsid w:val="00C21F9D"/>
    <w:rsid w:val="00C235CE"/>
    <w:rsid w:val="00C313F0"/>
    <w:rsid w:val="00C330FB"/>
    <w:rsid w:val="00C345FE"/>
    <w:rsid w:val="00C34DB1"/>
    <w:rsid w:val="00C37C24"/>
    <w:rsid w:val="00C37D24"/>
    <w:rsid w:val="00C37E20"/>
    <w:rsid w:val="00C37E42"/>
    <w:rsid w:val="00C44575"/>
    <w:rsid w:val="00C45568"/>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974"/>
    <w:rsid w:val="00C678C8"/>
    <w:rsid w:val="00C704BB"/>
    <w:rsid w:val="00C7085F"/>
    <w:rsid w:val="00C70E1A"/>
    <w:rsid w:val="00C71053"/>
    <w:rsid w:val="00C7193E"/>
    <w:rsid w:val="00C726C7"/>
    <w:rsid w:val="00C74341"/>
    <w:rsid w:val="00C76AA5"/>
    <w:rsid w:val="00C80653"/>
    <w:rsid w:val="00C81AA5"/>
    <w:rsid w:val="00C81E33"/>
    <w:rsid w:val="00C82D7C"/>
    <w:rsid w:val="00C83623"/>
    <w:rsid w:val="00C85FD7"/>
    <w:rsid w:val="00C87DB4"/>
    <w:rsid w:val="00C90D7B"/>
    <w:rsid w:val="00C91395"/>
    <w:rsid w:val="00C927D7"/>
    <w:rsid w:val="00C92E97"/>
    <w:rsid w:val="00C934D3"/>
    <w:rsid w:val="00C93648"/>
    <w:rsid w:val="00C93859"/>
    <w:rsid w:val="00C94E95"/>
    <w:rsid w:val="00C95BDF"/>
    <w:rsid w:val="00C95CB1"/>
    <w:rsid w:val="00C96184"/>
    <w:rsid w:val="00C96482"/>
    <w:rsid w:val="00C972EC"/>
    <w:rsid w:val="00CA153E"/>
    <w:rsid w:val="00CA32E6"/>
    <w:rsid w:val="00CA46CE"/>
    <w:rsid w:val="00CA525A"/>
    <w:rsid w:val="00CA52A0"/>
    <w:rsid w:val="00CA6DCC"/>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5A0"/>
    <w:rsid w:val="00CD7797"/>
    <w:rsid w:val="00CE1586"/>
    <w:rsid w:val="00CE318E"/>
    <w:rsid w:val="00CE344D"/>
    <w:rsid w:val="00CE5494"/>
    <w:rsid w:val="00CE5BC2"/>
    <w:rsid w:val="00CE5FF0"/>
    <w:rsid w:val="00CE61F7"/>
    <w:rsid w:val="00CE62FD"/>
    <w:rsid w:val="00CF2418"/>
    <w:rsid w:val="00CF501B"/>
    <w:rsid w:val="00CF57CF"/>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0DFB"/>
    <w:rsid w:val="00D22644"/>
    <w:rsid w:val="00D22B96"/>
    <w:rsid w:val="00D22D5C"/>
    <w:rsid w:val="00D22FC3"/>
    <w:rsid w:val="00D241DB"/>
    <w:rsid w:val="00D24A05"/>
    <w:rsid w:val="00D25828"/>
    <w:rsid w:val="00D25B0B"/>
    <w:rsid w:val="00D26335"/>
    <w:rsid w:val="00D266FF"/>
    <w:rsid w:val="00D274BE"/>
    <w:rsid w:val="00D27643"/>
    <w:rsid w:val="00D3012B"/>
    <w:rsid w:val="00D307A5"/>
    <w:rsid w:val="00D31605"/>
    <w:rsid w:val="00D325BC"/>
    <w:rsid w:val="00D3383B"/>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469"/>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652D"/>
    <w:rsid w:val="00D967E9"/>
    <w:rsid w:val="00D968CE"/>
    <w:rsid w:val="00D9741A"/>
    <w:rsid w:val="00DA0C9A"/>
    <w:rsid w:val="00DA1246"/>
    <w:rsid w:val="00DA2A71"/>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3B46"/>
    <w:rsid w:val="00DD4C58"/>
    <w:rsid w:val="00DD5D92"/>
    <w:rsid w:val="00DD63B4"/>
    <w:rsid w:val="00DD67AA"/>
    <w:rsid w:val="00DD7E26"/>
    <w:rsid w:val="00DD7E8D"/>
    <w:rsid w:val="00DE0B6C"/>
    <w:rsid w:val="00DE1E6F"/>
    <w:rsid w:val="00DE2B34"/>
    <w:rsid w:val="00DE31EA"/>
    <w:rsid w:val="00DE358F"/>
    <w:rsid w:val="00DE36F5"/>
    <w:rsid w:val="00DE3FF0"/>
    <w:rsid w:val="00DE4BE5"/>
    <w:rsid w:val="00DE621A"/>
    <w:rsid w:val="00DF02E0"/>
    <w:rsid w:val="00DF06BF"/>
    <w:rsid w:val="00DF0F9E"/>
    <w:rsid w:val="00DF322F"/>
    <w:rsid w:val="00DF423B"/>
    <w:rsid w:val="00DF437F"/>
    <w:rsid w:val="00DF5591"/>
    <w:rsid w:val="00DF5ED5"/>
    <w:rsid w:val="00E006F2"/>
    <w:rsid w:val="00E02E83"/>
    <w:rsid w:val="00E03347"/>
    <w:rsid w:val="00E03CC3"/>
    <w:rsid w:val="00E053D1"/>
    <w:rsid w:val="00E058D6"/>
    <w:rsid w:val="00E06137"/>
    <w:rsid w:val="00E0697E"/>
    <w:rsid w:val="00E07990"/>
    <w:rsid w:val="00E1020F"/>
    <w:rsid w:val="00E11840"/>
    <w:rsid w:val="00E138C6"/>
    <w:rsid w:val="00E139BA"/>
    <w:rsid w:val="00E158E2"/>
    <w:rsid w:val="00E16233"/>
    <w:rsid w:val="00E17692"/>
    <w:rsid w:val="00E179F4"/>
    <w:rsid w:val="00E17DB2"/>
    <w:rsid w:val="00E234B0"/>
    <w:rsid w:val="00E23AB7"/>
    <w:rsid w:val="00E24642"/>
    <w:rsid w:val="00E25DE2"/>
    <w:rsid w:val="00E26E11"/>
    <w:rsid w:val="00E27553"/>
    <w:rsid w:val="00E301F8"/>
    <w:rsid w:val="00E31F38"/>
    <w:rsid w:val="00E322B0"/>
    <w:rsid w:val="00E327BB"/>
    <w:rsid w:val="00E33A3A"/>
    <w:rsid w:val="00E413CB"/>
    <w:rsid w:val="00E4150E"/>
    <w:rsid w:val="00E42BA4"/>
    <w:rsid w:val="00E4687A"/>
    <w:rsid w:val="00E46A79"/>
    <w:rsid w:val="00E472F0"/>
    <w:rsid w:val="00E47C9F"/>
    <w:rsid w:val="00E531FD"/>
    <w:rsid w:val="00E5419F"/>
    <w:rsid w:val="00E56AF2"/>
    <w:rsid w:val="00E57A55"/>
    <w:rsid w:val="00E60747"/>
    <w:rsid w:val="00E6194B"/>
    <w:rsid w:val="00E61BBD"/>
    <w:rsid w:val="00E62195"/>
    <w:rsid w:val="00E6223F"/>
    <w:rsid w:val="00E63207"/>
    <w:rsid w:val="00E63476"/>
    <w:rsid w:val="00E639F1"/>
    <w:rsid w:val="00E65EC6"/>
    <w:rsid w:val="00E66885"/>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E26"/>
    <w:rsid w:val="00E934FD"/>
    <w:rsid w:val="00E942D2"/>
    <w:rsid w:val="00E95301"/>
    <w:rsid w:val="00E95E2E"/>
    <w:rsid w:val="00E9677C"/>
    <w:rsid w:val="00EA08EF"/>
    <w:rsid w:val="00EA35AE"/>
    <w:rsid w:val="00EA38DF"/>
    <w:rsid w:val="00EA423F"/>
    <w:rsid w:val="00EA4A18"/>
    <w:rsid w:val="00EA5247"/>
    <w:rsid w:val="00EA5AE2"/>
    <w:rsid w:val="00EA6406"/>
    <w:rsid w:val="00EA6C04"/>
    <w:rsid w:val="00EA714E"/>
    <w:rsid w:val="00EA7BC2"/>
    <w:rsid w:val="00EB0976"/>
    <w:rsid w:val="00EB2125"/>
    <w:rsid w:val="00EB3E9A"/>
    <w:rsid w:val="00EB47EF"/>
    <w:rsid w:val="00EB49E6"/>
    <w:rsid w:val="00EB4C13"/>
    <w:rsid w:val="00EB5370"/>
    <w:rsid w:val="00EB739C"/>
    <w:rsid w:val="00EB7709"/>
    <w:rsid w:val="00EC0C6F"/>
    <w:rsid w:val="00EC1A58"/>
    <w:rsid w:val="00EC2709"/>
    <w:rsid w:val="00EC433A"/>
    <w:rsid w:val="00EC4E9E"/>
    <w:rsid w:val="00EC73B2"/>
    <w:rsid w:val="00EC7A77"/>
    <w:rsid w:val="00EC7BC5"/>
    <w:rsid w:val="00ED1213"/>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20D8"/>
    <w:rsid w:val="00F03465"/>
    <w:rsid w:val="00F039F6"/>
    <w:rsid w:val="00F03A26"/>
    <w:rsid w:val="00F041CE"/>
    <w:rsid w:val="00F041E0"/>
    <w:rsid w:val="00F052F1"/>
    <w:rsid w:val="00F05345"/>
    <w:rsid w:val="00F05B41"/>
    <w:rsid w:val="00F0693E"/>
    <w:rsid w:val="00F07DEA"/>
    <w:rsid w:val="00F10D70"/>
    <w:rsid w:val="00F11158"/>
    <w:rsid w:val="00F1478F"/>
    <w:rsid w:val="00F147B2"/>
    <w:rsid w:val="00F15066"/>
    <w:rsid w:val="00F157D2"/>
    <w:rsid w:val="00F17D4A"/>
    <w:rsid w:val="00F219A5"/>
    <w:rsid w:val="00F22C36"/>
    <w:rsid w:val="00F230F4"/>
    <w:rsid w:val="00F23433"/>
    <w:rsid w:val="00F23490"/>
    <w:rsid w:val="00F24DE8"/>
    <w:rsid w:val="00F2541C"/>
    <w:rsid w:val="00F25DE4"/>
    <w:rsid w:val="00F25EC3"/>
    <w:rsid w:val="00F26C37"/>
    <w:rsid w:val="00F314FA"/>
    <w:rsid w:val="00F31ED1"/>
    <w:rsid w:val="00F32EB3"/>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7096E"/>
    <w:rsid w:val="00F71D06"/>
    <w:rsid w:val="00F741E3"/>
    <w:rsid w:val="00F75C54"/>
    <w:rsid w:val="00F800B7"/>
    <w:rsid w:val="00F80AE7"/>
    <w:rsid w:val="00F82A7A"/>
    <w:rsid w:val="00F83D06"/>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50EB"/>
    <w:rsid w:val="00F953AE"/>
    <w:rsid w:val="00F9545A"/>
    <w:rsid w:val="00F956C9"/>
    <w:rsid w:val="00F96B84"/>
    <w:rsid w:val="00F96F5A"/>
    <w:rsid w:val="00F977F1"/>
    <w:rsid w:val="00FA59DD"/>
    <w:rsid w:val="00FA6372"/>
    <w:rsid w:val="00FA669F"/>
    <w:rsid w:val="00FA7771"/>
    <w:rsid w:val="00FB167D"/>
    <w:rsid w:val="00FB1C2E"/>
    <w:rsid w:val="00FB3165"/>
    <w:rsid w:val="00FB457A"/>
    <w:rsid w:val="00FB673B"/>
    <w:rsid w:val="00FB6BCD"/>
    <w:rsid w:val="00FB74E8"/>
    <w:rsid w:val="00FC04DE"/>
    <w:rsid w:val="00FC22A4"/>
    <w:rsid w:val="00FC29BF"/>
    <w:rsid w:val="00FC41FF"/>
    <w:rsid w:val="00FC421C"/>
    <w:rsid w:val="00FC4791"/>
    <w:rsid w:val="00FC4BFE"/>
    <w:rsid w:val="00FC5E8A"/>
    <w:rsid w:val="00FC75C9"/>
    <w:rsid w:val="00FD0159"/>
    <w:rsid w:val="00FD0BBA"/>
    <w:rsid w:val="00FD20E1"/>
    <w:rsid w:val="00FD2818"/>
    <w:rsid w:val="00FD4A30"/>
    <w:rsid w:val="00FD5808"/>
    <w:rsid w:val="00FD5E9C"/>
    <w:rsid w:val="00FD625A"/>
    <w:rsid w:val="00FD6382"/>
    <w:rsid w:val="00FD64C1"/>
    <w:rsid w:val="00FD74CE"/>
    <w:rsid w:val="00FE0E81"/>
    <w:rsid w:val="00FE3004"/>
    <w:rsid w:val="00FE32AF"/>
    <w:rsid w:val="00FE3CF4"/>
    <w:rsid w:val="00FE6A1E"/>
    <w:rsid w:val="00FE6B2A"/>
    <w:rsid w:val="00FE7F66"/>
    <w:rsid w:val="00FF0343"/>
    <w:rsid w:val="00FF0CF7"/>
    <w:rsid w:val="00FF1F8D"/>
    <w:rsid w:val="00FF40BB"/>
    <w:rsid w:val="00FF5CED"/>
    <w:rsid w:val="00FF7300"/>
    <w:rsid w:val="00FF735B"/>
    <w:rsid w:val="00FF7513"/>
    <w:rsid w:val="01D0371D"/>
    <w:rsid w:val="036B79D2"/>
    <w:rsid w:val="06121005"/>
    <w:rsid w:val="06856E59"/>
    <w:rsid w:val="08980F4B"/>
    <w:rsid w:val="0ABA3112"/>
    <w:rsid w:val="0D224E03"/>
    <w:rsid w:val="107D5B9E"/>
    <w:rsid w:val="112D6B2C"/>
    <w:rsid w:val="11E81D18"/>
    <w:rsid w:val="1627131A"/>
    <w:rsid w:val="16FA09D3"/>
    <w:rsid w:val="18523F81"/>
    <w:rsid w:val="1C1222ED"/>
    <w:rsid w:val="1D9147B6"/>
    <w:rsid w:val="1FE96C05"/>
    <w:rsid w:val="1FF43704"/>
    <w:rsid w:val="23D22E8B"/>
    <w:rsid w:val="24D95C84"/>
    <w:rsid w:val="278A4604"/>
    <w:rsid w:val="28A32C4B"/>
    <w:rsid w:val="292A69DF"/>
    <w:rsid w:val="2E7619E5"/>
    <w:rsid w:val="343A2E70"/>
    <w:rsid w:val="34447EB1"/>
    <w:rsid w:val="345B0D29"/>
    <w:rsid w:val="361032C0"/>
    <w:rsid w:val="37205976"/>
    <w:rsid w:val="38E357BF"/>
    <w:rsid w:val="3FD85646"/>
    <w:rsid w:val="408774BD"/>
    <w:rsid w:val="40A0127A"/>
    <w:rsid w:val="416B03F6"/>
    <w:rsid w:val="41B551D2"/>
    <w:rsid w:val="4AFB5337"/>
    <w:rsid w:val="4E483396"/>
    <w:rsid w:val="5385202A"/>
    <w:rsid w:val="57364024"/>
    <w:rsid w:val="5880038A"/>
    <w:rsid w:val="5932473C"/>
    <w:rsid w:val="5A352E58"/>
    <w:rsid w:val="5A6F6915"/>
    <w:rsid w:val="5E9136ED"/>
    <w:rsid w:val="5F1B4931"/>
    <w:rsid w:val="610D5F7B"/>
    <w:rsid w:val="62287742"/>
    <w:rsid w:val="62A425DE"/>
    <w:rsid w:val="65AE045A"/>
    <w:rsid w:val="66354C73"/>
    <w:rsid w:val="6C0A761C"/>
    <w:rsid w:val="6C65428E"/>
    <w:rsid w:val="6E3A03D7"/>
    <w:rsid w:val="6E9C69BA"/>
    <w:rsid w:val="7A1545F8"/>
    <w:rsid w:val="7F1B2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5"/>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
    <w:semiHidden/>
    <w:unhideWhenUsed/>
    <w:qFormat/>
    <w:uiPriority w:val="99"/>
    <w:pPr>
      <w:jc w:val="left"/>
    </w:pPr>
  </w:style>
  <w:style w:type="paragraph" w:styleId="6">
    <w:name w:val="Balloon Text"/>
    <w:basedOn w:val="1"/>
    <w:link w:val="20"/>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19"/>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标题 2 字符"/>
    <w:basedOn w:val="13"/>
    <w:link w:val="3"/>
    <w:qFormat/>
    <w:uiPriority w:val="99"/>
    <w:rPr>
      <w:rFonts w:ascii="Cambria" w:hAnsi="Cambria" w:eastAsia="宋体" w:cs="Times New Roman"/>
      <w:b/>
      <w:bCs/>
      <w:sz w:val="32"/>
      <w:szCs w:val="32"/>
    </w:rPr>
  </w:style>
  <w:style w:type="character" w:customStyle="1" w:styleId="16">
    <w:name w:val="标题 1 字符"/>
    <w:basedOn w:val="13"/>
    <w:link w:val="2"/>
    <w:qFormat/>
    <w:uiPriority w:val="0"/>
    <w:rPr>
      <w:rFonts w:ascii="Times New Roman" w:hAnsi="Times New Roman" w:eastAsia="华文行楷" w:cs="Times New Roman"/>
      <w:kern w:val="44"/>
      <w:sz w:val="44"/>
      <w:szCs w:val="20"/>
    </w:rPr>
  </w:style>
  <w:style w:type="paragraph" w:customStyle="1" w:styleId="17">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8">
    <w:name w:val="批注文字 字符"/>
    <w:basedOn w:val="13"/>
    <w:link w:val="5"/>
    <w:semiHidden/>
    <w:qFormat/>
    <w:uiPriority w:val="99"/>
    <w:rPr>
      <w:rFonts w:ascii="Times New Roman" w:hAnsi="Times New Roman" w:eastAsia="宋体" w:cs="Times New Roman"/>
      <w:szCs w:val="24"/>
    </w:rPr>
  </w:style>
  <w:style w:type="character" w:customStyle="1" w:styleId="19">
    <w:name w:val="批注主题 字符"/>
    <w:basedOn w:val="18"/>
    <w:link w:val="10"/>
    <w:semiHidden/>
    <w:qFormat/>
    <w:uiPriority w:val="99"/>
    <w:rPr>
      <w:rFonts w:ascii="Times New Roman" w:hAnsi="Times New Roman" w:eastAsia="宋体" w:cs="Times New Roman"/>
      <w:b/>
      <w:bCs/>
      <w:szCs w:val="24"/>
    </w:rPr>
  </w:style>
  <w:style w:type="character" w:customStyle="1" w:styleId="20">
    <w:name w:val="批注框文本 字符"/>
    <w:basedOn w:val="13"/>
    <w:link w:val="6"/>
    <w:semiHidden/>
    <w:qFormat/>
    <w:uiPriority w:val="99"/>
    <w:rPr>
      <w:rFonts w:ascii="Times New Roman" w:hAnsi="Times New Roman" w:eastAsia="宋体" w:cs="Times New Roman"/>
      <w:sz w:val="18"/>
      <w:szCs w:val="18"/>
    </w:rPr>
  </w:style>
  <w:style w:type="character" w:customStyle="1" w:styleId="21">
    <w:name w:val="页眉 字符"/>
    <w:basedOn w:val="13"/>
    <w:link w:val="8"/>
    <w:qFormat/>
    <w:uiPriority w:val="99"/>
    <w:rPr>
      <w:rFonts w:ascii="Times New Roman" w:hAnsi="Times New Roman" w:eastAsia="宋体" w:cs="Times New Roman"/>
      <w:sz w:val="18"/>
      <w:szCs w:val="18"/>
    </w:rPr>
  </w:style>
  <w:style w:type="character" w:customStyle="1" w:styleId="22">
    <w:name w:val="页脚 字符"/>
    <w:basedOn w:val="13"/>
    <w:link w:val="7"/>
    <w:qFormat/>
    <w:uiPriority w:val="99"/>
    <w:rPr>
      <w:rFonts w:ascii="Times New Roman" w:hAnsi="Times New Roman" w:eastAsia="宋体" w:cs="Times New Roman"/>
      <w:sz w:val="18"/>
      <w:szCs w:val="18"/>
    </w:rPr>
  </w:style>
  <w:style w:type="paragraph" w:customStyle="1" w:styleId="23">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4">
    <w:name w:val="List Paragraph"/>
    <w:basedOn w:val="1"/>
    <w:qFormat/>
    <w:uiPriority w:val="99"/>
    <w:pPr>
      <w:ind w:firstLine="420" w:firstLineChars="200"/>
    </w:pPr>
  </w:style>
  <w:style w:type="character" w:customStyle="1" w:styleId="25">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4F34E1-7D7B-4C71-8454-9B231242AF5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4526</Words>
  <Characters>4596</Characters>
  <Lines>28</Lines>
  <Paragraphs>8</Paragraphs>
  <TotalTime>7</TotalTime>
  <ScaleCrop>false</ScaleCrop>
  <LinksUpToDate>false</LinksUpToDate>
  <CharactersWithSpaces>4609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2020-04-06T05:17:00Z</dcterms:created>
  <dc:creator>刘明旭</dc:creator>
  <cp:lastModifiedBy>丁丁和当当</cp:lastModifiedBy>
  <cp:lastPrinted>2021-04-27T08:49:00Z</cp:lastPrinted>
  <dcterms:modified xsi:type="dcterms:W3CDTF">2025-06-11T11:17:26Z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F940F5091858473D9A4752EF8694D1E1</vt:lpwstr>
  </property>
  <property fmtid="{D5CDD505-2E9C-101B-9397-08002B2CF9AE}" pid="4" name="KSOTemplateDocerSaveRecord">
    <vt:lpwstr>eyJoZGlkIjoiNzNiNTZmMzIzY2ZjMDg0NWM5ZmY4YzBlNTllYzFhNDIiLCJ1c2VySWQiOiIzOTE1MTM4NzQifQ==</vt:lpwstr>
  </property>
</Properties>
</file>