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91835F">
      <w:pPr>
        <w:pageBreakBefore w:val="0"/>
        <w:kinsoku/>
        <w:wordWrap/>
        <w:overflowPunct/>
        <w:topLinePunct w:val="0"/>
        <w:autoSpaceDE/>
        <w:autoSpaceDN/>
        <w:bidi w:val="0"/>
        <w:adjustRightInd/>
        <w:spacing w:line="360" w:lineRule="auto"/>
        <w:ind w:left="321" w:leftChars="153" w:right="227"/>
        <w:jc w:val="center"/>
        <w:rPr>
          <w:rFonts w:ascii="宋体" w:hAnsi="宋体" w:eastAsia="宋体"/>
          <w:b/>
          <w:bCs/>
          <w:sz w:val="36"/>
          <w:szCs w:val="36"/>
        </w:rPr>
      </w:pPr>
      <w:r>
        <w:rPr>
          <w:rFonts w:hint="eastAsia" w:ascii="宋体" w:hAnsi="宋体"/>
          <w:bCs w:val="0"/>
          <w:color w:val="000000"/>
          <w:sz w:val="32"/>
          <w:u w:val="single"/>
        </w:rPr>
        <w:t xml:space="preserve">  </w:t>
      </w:r>
      <w:r>
        <w:rPr>
          <w:rFonts w:hint="default" w:ascii="Times New Roman" w:hAnsi="Times New Roman" w:eastAsia="黑体"/>
          <w:b/>
          <w:bCs/>
          <w:color w:val="auto"/>
          <w:sz w:val="36"/>
          <w:szCs w:val="36"/>
          <w:u w:val="none"/>
        </w:rPr>
        <w:t>国际商务</w:t>
      </w:r>
      <w:r>
        <w:rPr>
          <w:rFonts w:hint="default" w:ascii="Times New Roman" w:hAnsi="Times New Roman" w:eastAsia="黑体"/>
          <w:b/>
          <w:bCs/>
          <w:sz w:val="36"/>
          <w:szCs w:val="36"/>
        </w:rPr>
        <w:t>全日制专业学位硕士研究生培养方案</w:t>
      </w:r>
    </w:p>
    <w:p w14:paraId="413410A7">
      <w:pPr>
        <w:pageBreakBefore w:val="0"/>
        <w:kinsoku/>
        <w:wordWrap/>
        <w:overflowPunct/>
        <w:topLinePunct w:val="0"/>
        <w:autoSpaceDE/>
        <w:autoSpaceDN/>
        <w:bidi w:val="0"/>
        <w:adjustRightInd/>
        <w:spacing w:line="240" w:lineRule="auto"/>
        <w:ind w:left="321" w:leftChars="153" w:right="227"/>
        <w:jc w:val="center"/>
        <w:rPr>
          <w:rFonts w:ascii="Times New Roman" w:hAnsi="Times New Roman" w:eastAsia="黑体"/>
          <w:b/>
          <w:bCs/>
          <w:color w:val="auto"/>
          <w:sz w:val="28"/>
          <w:szCs w:val="28"/>
        </w:rPr>
      </w:pPr>
      <w:r>
        <w:rPr>
          <w:rFonts w:hint="default" w:ascii="Times New Roman" w:hAnsi="Times New Roman" w:eastAsia="黑体"/>
          <w:b/>
          <w:bCs/>
          <w:sz w:val="28"/>
          <w:szCs w:val="28"/>
        </w:rPr>
        <w:t>（</w:t>
      </w:r>
      <w:r>
        <w:rPr>
          <w:rFonts w:hint="default" w:ascii="Times New Roman" w:hAnsi="Times New Roman" w:eastAsia="黑体"/>
          <w:b/>
          <w:bCs/>
          <w:color w:val="auto"/>
          <w:sz w:val="28"/>
          <w:szCs w:val="28"/>
          <w:lang w:val="en-US" w:eastAsia="zh-CN"/>
        </w:rPr>
        <w:t>经济</w:t>
      </w:r>
      <w:r>
        <w:rPr>
          <w:rFonts w:hint="default" w:ascii="Times New Roman" w:hAnsi="Times New Roman" w:eastAsia="黑体"/>
          <w:b/>
          <w:bCs/>
          <w:sz w:val="28"/>
          <w:szCs w:val="28"/>
        </w:rPr>
        <w:t>学院</w:t>
      </w:r>
      <w:r>
        <w:rPr>
          <w:rFonts w:ascii="Times New Roman" w:hAnsi="Times New Roman" w:eastAsia="黑体"/>
          <w:b/>
          <w:bCs/>
          <w:sz w:val="28"/>
          <w:szCs w:val="28"/>
        </w:rPr>
        <w:t>)</w:t>
      </w:r>
    </w:p>
    <w:p w14:paraId="4667F6DA">
      <w:pPr>
        <w:pageBreakBefore w:val="0"/>
        <w:numPr>
          <w:ilvl w:val="0"/>
          <w:numId w:val="0"/>
        </w:numPr>
        <w:kinsoku/>
        <w:wordWrap/>
        <w:overflowPunct/>
        <w:topLinePunct w:val="0"/>
        <w:autoSpaceDE/>
        <w:autoSpaceDN/>
        <w:bidi w:val="0"/>
        <w:adjustRightInd/>
        <w:spacing w:line="360" w:lineRule="auto"/>
        <w:ind w:firstLine="560" w:firstLineChars="200"/>
        <w:rPr>
          <w:rFonts w:hint="eastAsia" w:ascii="黑体" w:hAnsi="黑体" w:eastAsia="黑体" w:cs="黑体"/>
          <w:b w:val="0"/>
          <w:bCs/>
          <w:sz w:val="28"/>
          <w:szCs w:val="28"/>
          <w:lang w:val="en-US" w:eastAsia="zh-CN"/>
        </w:rPr>
      </w:pPr>
      <w:r>
        <w:rPr>
          <w:rFonts w:hint="eastAsia" w:ascii="黑体" w:hAnsi="黑体" w:eastAsia="黑体" w:cs="黑体"/>
          <w:b w:val="0"/>
          <w:bCs/>
          <w:sz w:val="28"/>
          <w:szCs w:val="28"/>
          <w:lang w:val="en-US" w:eastAsia="zh-CN"/>
        </w:rPr>
        <w:t>一、专业名称、代码</w:t>
      </w:r>
    </w:p>
    <w:p w14:paraId="3E355F34">
      <w:pPr>
        <w:widowControl/>
        <w:spacing w:line="360" w:lineRule="auto"/>
        <w:ind w:firstLine="480" w:firstLineChars="200"/>
        <w:jc w:val="both"/>
        <w:rPr>
          <w:rFonts w:hint="eastAsia" w:eastAsia="宋体"/>
          <w:color w:val="222222"/>
          <w:kern w:val="0"/>
          <w:sz w:val="18"/>
          <w:szCs w:val="18"/>
          <w:lang w:eastAsia="zh-CN"/>
        </w:rPr>
      </w:pPr>
      <w:r>
        <w:rPr>
          <w:color w:val="222222"/>
          <w:kern w:val="0"/>
          <w:sz w:val="24"/>
        </w:rPr>
        <w:t>专业名称：</w:t>
      </w:r>
      <w:r>
        <w:rPr>
          <w:rFonts w:hint="eastAsia"/>
          <w:color w:val="222222"/>
          <w:kern w:val="0"/>
          <w:sz w:val="24"/>
          <w:lang w:val="en-US" w:eastAsia="zh-CN"/>
        </w:rPr>
        <w:t>国际商务</w:t>
      </w:r>
    </w:p>
    <w:p w14:paraId="26340DE9">
      <w:pPr>
        <w:widowControl/>
        <w:spacing w:line="360" w:lineRule="auto"/>
        <w:ind w:firstLine="480" w:firstLineChars="200"/>
        <w:jc w:val="both"/>
        <w:rPr>
          <w:rFonts w:hint="default" w:eastAsia="宋体"/>
          <w:color w:val="222222"/>
          <w:kern w:val="0"/>
          <w:sz w:val="18"/>
          <w:szCs w:val="18"/>
          <w:lang w:val="en-US" w:eastAsia="zh-CN"/>
        </w:rPr>
      </w:pPr>
      <w:r>
        <w:rPr>
          <w:color w:val="222222"/>
          <w:kern w:val="0"/>
          <w:sz w:val="24"/>
        </w:rPr>
        <w:t>专业代码：</w:t>
      </w:r>
      <w:r>
        <w:rPr>
          <w:rFonts w:hint="eastAsia"/>
          <w:color w:val="222222"/>
          <w:kern w:val="0"/>
          <w:sz w:val="24"/>
          <w:lang w:val="en-US" w:eastAsia="zh-CN"/>
        </w:rPr>
        <w:t>0254</w:t>
      </w:r>
    </w:p>
    <w:p w14:paraId="3F5ACD46">
      <w:pPr>
        <w:keepNext w:val="0"/>
        <w:keepLines w:val="0"/>
        <w:pageBreakBefore w:val="0"/>
        <w:widowControl w:val="0"/>
        <w:numPr>
          <w:ilvl w:val="0"/>
          <w:numId w:val="0"/>
        </w:numPr>
        <w:kinsoku/>
        <w:wordWrap/>
        <w:overflowPunct/>
        <w:topLinePunct w:val="0"/>
        <w:autoSpaceDE/>
        <w:autoSpaceDN/>
        <w:bidi w:val="0"/>
        <w:adjustRightInd/>
        <w:spacing w:line="360" w:lineRule="auto"/>
        <w:ind w:firstLine="560" w:firstLineChars="200"/>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lang w:val="en-US" w:eastAsia="zh-CN"/>
        </w:rPr>
        <w:t>二、专业</w:t>
      </w:r>
      <w:r>
        <w:rPr>
          <w:rFonts w:hint="eastAsia" w:ascii="黑体" w:hAnsi="黑体" w:eastAsia="黑体" w:cs="黑体"/>
          <w:b w:val="0"/>
          <w:bCs w:val="0"/>
          <w:sz w:val="28"/>
          <w:szCs w:val="28"/>
        </w:rPr>
        <w:t>简介</w:t>
      </w:r>
    </w:p>
    <w:p w14:paraId="4C6245D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本专业面向服务国家发展战略和全球经济社会发展的需求，培养具有全球视野和家国情怀，熟练掌握国际商务理论和专业技能，掌握跨国沟通能力和现代信息技术,通晓国际商务环境和规则,胜任在涉外企事业单位政府部门和社会组织等从事国际商务经营与管理工作的应用型、复合型、创新型的高层次国际化商务人才。</w:t>
      </w:r>
    </w:p>
    <w:p w14:paraId="6FDC81D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eastAsia="宋体" w:cs="宋体"/>
          <w:spacing w:val="-1"/>
          <w:sz w:val="24"/>
          <w:szCs w:val="24"/>
        </w:rPr>
      </w:pPr>
      <w:r>
        <w:rPr>
          <w:rFonts w:hint="eastAsia" w:ascii="宋体" w:hAnsi="宋体" w:eastAsia="宋体" w:cs="宋体"/>
          <w:sz w:val="24"/>
          <w:szCs w:val="24"/>
          <w:lang w:val="en-US" w:eastAsia="zh-CN"/>
        </w:rPr>
        <w:t>河北大学经济学院国际商务专业硕士为2010年国家首批申报批准的专业硕士学位点，依托学院国际经济与贸易等相关学科，导师规模不断扩大，招生规模也逐年递增。本专业师资力量雄厚，教授占比达到70%，拥有博士学位的导师占比为80%，多数毕业于国内著名大学。有实践经验的导师占比近30%，能够满足和适应本专业招生规模不断扩大的要求。</w:t>
      </w:r>
      <w:r>
        <w:rPr>
          <w:rFonts w:hint="eastAsia" w:ascii="宋体" w:hAnsi="宋体" w:cs="宋体"/>
          <w:sz w:val="24"/>
          <w:szCs w:val="24"/>
          <w:lang w:val="en-US" w:eastAsia="zh-CN"/>
        </w:rPr>
        <w:t>基本形成</w:t>
      </w:r>
      <w:r>
        <w:rPr>
          <w:rFonts w:hint="eastAsia" w:ascii="宋体" w:hAnsi="宋体" w:eastAsia="宋体" w:cs="宋体"/>
          <w:sz w:val="24"/>
          <w:szCs w:val="24"/>
          <w:lang w:val="en-US" w:eastAsia="zh-CN"/>
        </w:rPr>
        <w:t>职称结构、学历结构、学缘结构层次较高、年龄结构合理，教学经验丰富、科研水平较高的师资</w:t>
      </w:r>
      <w:r>
        <w:rPr>
          <w:rFonts w:hint="eastAsia" w:ascii="宋体" w:hAnsi="宋体" w:cs="宋体"/>
          <w:sz w:val="24"/>
          <w:szCs w:val="24"/>
          <w:lang w:val="en-US" w:eastAsia="zh-CN"/>
        </w:rPr>
        <w:t>队伍。本专业落实导师为培养第一责任人的要求，进行专业教育与思想教育的融合，形成知识素质、人文素养</w:t>
      </w:r>
      <w:r>
        <w:rPr>
          <w:rFonts w:ascii="宋体" w:hAnsi="宋体" w:eastAsia="宋体" w:cs="宋体"/>
          <w:sz w:val="24"/>
          <w:szCs w:val="24"/>
        </w:rPr>
        <w:t>、职业道德和伦理、</w:t>
      </w:r>
      <w:r>
        <w:rPr>
          <w:rFonts w:ascii="宋体" w:hAnsi="宋体" w:eastAsia="宋体" w:cs="宋体"/>
          <w:spacing w:val="-1"/>
          <w:sz w:val="24"/>
          <w:szCs w:val="24"/>
        </w:rPr>
        <w:t>就业指导等方面的嵌入式</w:t>
      </w:r>
      <w:r>
        <w:rPr>
          <w:rFonts w:hint="eastAsia" w:ascii="宋体" w:hAnsi="宋体" w:cs="宋体"/>
          <w:spacing w:val="-1"/>
          <w:sz w:val="24"/>
          <w:szCs w:val="24"/>
          <w:lang w:val="en-US" w:eastAsia="zh-CN"/>
        </w:rPr>
        <w:t>培养模式</w:t>
      </w:r>
      <w:r>
        <w:rPr>
          <w:rFonts w:ascii="宋体" w:hAnsi="宋体" w:eastAsia="宋体" w:cs="宋体"/>
          <w:spacing w:val="-1"/>
          <w:sz w:val="24"/>
          <w:szCs w:val="24"/>
        </w:rPr>
        <w:t>。</w:t>
      </w:r>
    </w:p>
    <w:p w14:paraId="78FE6354">
      <w:pPr>
        <w:keepNext w:val="0"/>
        <w:keepLines w:val="0"/>
        <w:pageBreakBefore w:val="0"/>
        <w:widowControl w:val="0"/>
        <w:kinsoku/>
        <w:wordWrap/>
        <w:overflowPunct/>
        <w:topLinePunct w:val="0"/>
        <w:autoSpaceDE/>
        <w:autoSpaceDN/>
        <w:bidi w:val="0"/>
        <w:adjustRightInd/>
        <w:snapToGrid w:val="0"/>
        <w:spacing w:line="360" w:lineRule="auto"/>
        <w:ind w:firstLine="476" w:firstLineChars="200"/>
        <w:textAlignment w:val="auto"/>
        <w:rPr>
          <w:rFonts w:hint="default" w:ascii="宋体" w:hAnsi="宋体" w:eastAsia="宋体" w:cs="宋体"/>
          <w:spacing w:val="-1"/>
          <w:sz w:val="24"/>
          <w:szCs w:val="24"/>
          <w:lang w:val="en-US" w:eastAsia="zh-CN"/>
        </w:rPr>
      </w:pPr>
      <w:r>
        <w:rPr>
          <w:rFonts w:hint="eastAsia" w:ascii="宋体" w:hAnsi="宋体" w:cs="宋体"/>
          <w:spacing w:val="-1"/>
          <w:sz w:val="24"/>
          <w:szCs w:val="24"/>
          <w:lang w:val="en-US" w:eastAsia="zh-CN"/>
        </w:rPr>
        <w:t>本专业培养方案依据学校给定的培养方案的指导意见，以及教职委2024年颁发的《国际商务专业学位研究生指导性培养方案》进行修订。</w:t>
      </w:r>
    </w:p>
    <w:p w14:paraId="479B0D7A">
      <w:pPr>
        <w:pageBreakBefore w:val="0"/>
        <w:kinsoku/>
        <w:wordWrap/>
        <w:overflowPunct/>
        <w:topLinePunct w:val="0"/>
        <w:autoSpaceDE/>
        <w:autoSpaceDN/>
        <w:bidi w:val="0"/>
        <w:adjustRightInd/>
        <w:snapToGrid w:val="0"/>
        <w:spacing w:beforeLines="-2147483648" w:afterLines="-2147483648" w:line="360" w:lineRule="auto"/>
        <w:ind w:firstLine="560" w:firstLineChars="200"/>
        <w:rPr>
          <w:rFonts w:hint="eastAsia" w:ascii="黑体" w:hAnsi="黑体" w:eastAsia="黑体" w:cs="黑体"/>
          <w:b w:val="0"/>
          <w:bCs w:val="0"/>
          <w:color w:val="auto"/>
          <w:sz w:val="28"/>
          <w:szCs w:val="28"/>
        </w:rPr>
      </w:pPr>
      <w:r>
        <w:rPr>
          <w:rFonts w:hint="eastAsia" w:ascii="黑体" w:hAnsi="黑体" w:eastAsia="黑体" w:cs="黑体"/>
          <w:b w:val="0"/>
          <w:bCs w:val="0"/>
          <w:color w:val="auto"/>
          <w:sz w:val="28"/>
          <w:szCs w:val="28"/>
          <w:lang w:val="en-US" w:eastAsia="zh-CN"/>
        </w:rPr>
        <w:t>三</w:t>
      </w:r>
      <w:r>
        <w:rPr>
          <w:rFonts w:hint="eastAsia" w:ascii="黑体" w:hAnsi="黑体" w:eastAsia="黑体" w:cs="黑体"/>
          <w:b w:val="0"/>
          <w:bCs w:val="0"/>
          <w:color w:val="auto"/>
          <w:sz w:val="28"/>
          <w:szCs w:val="28"/>
        </w:rPr>
        <w:t>、研究方向</w:t>
      </w:r>
    </w:p>
    <w:p w14:paraId="40F924C0">
      <w:pPr>
        <w:pageBreakBefore w:val="0"/>
        <w:kinsoku/>
        <w:wordWrap/>
        <w:overflowPunct/>
        <w:topLinePunct w:val="0"/>
        <w:autoSpaceDE/>
        <w:autoSpaceDN/>
        <w:bidi w:val="0"/>
        <w:adjustRightInd/>
        <w:snapToGrid w:val="0"/>
        <w:spacing w:beforeLines="0" w:afterLines="0" w:line="360" w:lineRule="auto"/>
        <w:ind w:firstLine="480" w:firstLineChars="200"/>
        <w:rPr>
          <w:rFonts w:hint="eastAsia" w:ascii="宋体" w:hAnsi="宋体"/>
          <w:sz w:val="24"/>
        </w:rPr>
      </w:pPr>
      <w:r>
        <w:rPr>
          <w:rFonts w:hint="eastAsia" w:ascii="宋体" w:hAnsi="宋体"/>
          <w:sz w:val="24"/>
        </w:rPr>
        <w:t>本专业</w:t>
      </w:r>
      <w:r>
        <w:rPr>
          <w:rFonts w:hint="eastAsia" w:ascii="宋体" w:hAnsi="宋体"/>
          <w:sz w:val="24"/>
          <w:lang w:val="en-US" w:eastAsia="zh-CN"/>
        </w:rPr>
        <w:t>为</w:t>
      </w:r>
      <w:r>
        <w:rPr>
          <w:rFonts w:hint="eastAsia" w:ascii="宋体" w:hAnsi="宋体"/>
          <w:sz w:val="24"/>
        </w:rPr>
        <w:t>满足</w:t>
      </w:r>
      <w:r>
        <w:rPr>
          <w:rFonts w:hint="eastAsia" w:ascii="宋体" w:hAnsi="宋体"/>
          <w:sz w:val="24"/>
          <w:lang w:val="en-US" w:eastAsia="zh-CN"/>
        </w:rPr>
        <w:t>国际</w:t>
      </w:r>
      <w:r>
        <w:rPr>
          <w:rFonts w:hint="eastAsia" w:ascii="宋体" w:hAnsi="宋体"/>
          <w:sz w:val="24"/>
        </w:rPr>
        <w:t>贸易</w:t>
      </w:r>
      <w:r>
        <w:rPr>
          <w:rFonts w:hint="eastAsia" w:ascii="宋体" w:hAnsi="宋体"/>
          <w:sz w:val="24"/>
          <w:lang w:val="en-US" w:eastAsia="zh-CN"/>
        </w:rPr>
        <w:t>以及</w:t>
      </w:r>
      <w:r>
        <w:rPr>
          <w:rFonts w:hint="eastAsia" w:ascii="宋体" w:hAnsi="宋体"/>
          <w:sz w:val="24"/>
        </w:rPr>
        <w:t>服务贸易、跨国直接投资</w:t>
      </w:r>
      <w:r>
        <w:rPr>
          <w:rFonts w:hint="eastAsia" w:ascii="宋体" w:hAnsi="宋体"/>
          <w:sz w:val="24"/>
          <w:lang w:eastAsia="zh-CN"/>
        </w:rPr>
        <w:t>、</w:t>
      </w:r>
      <w:r>
        <w:rPr>
          <w:rFonts w:hint="eastAsia" w:ascii="宋体" w:hAnsi="宋体"/>
          <w:sz w:val="24"/>
          <w:lang w:val="en-US" w:eastAsia="zh-CN"/>
        </w:rPr>
        <w:t>国际商务谈判，以及跨境电商、数字贸易等</w:t>
      </w:r>
      <w:r>
        <w:rPr>
          <w:rFonts w:hint="eastAsia" w:ascii="宋体" w:hAnsi="宋体"/>
          <w:sz w:val="24"/>
        </w:rPr>
        <w:t>新</w:t>
      </w:r>
      <w:r>
        <w:rPr>
          <w:rFonts w:hint="eastAsia" w:ascii="宋体" w:hAnsi="宋体"/>
          <w:sz w:val="24"/>
          <w:lang w:val="en-US" w:eastAsia="zh-CN"/>
        </w:rPr>
        <w:t>贸易发展的国际商务活动的需求，主要设置</w:t>
      </w:r>
      <w:r>
        <w:rPr>
          <w:rFonts w:hint="eastAsia" w:ascii="宋体" w:hAnsi="宋体"/>
          <w:sz w:val="24"/>
        </w:rPr>
        <w:t>三个研究方向</w:t>
      </w:r>
      <w:r>
        <w:rPr>
          <w:rFonts w:hint="eastAsia" w:ascii="宋体" w:hAnsi="宋体"/>
          <w:sz w:val="24"/>
          <w:lang w:eastAsia="zh-CN"/>
        </w:rPr>
        <w:t>，</w:t>
      </w:r>
      <w:r>
        <w:rPr>
          <w:rFonts w:hint="eastAsia" w:ascii="宋体" w:hAnsi="宋体"/>
          <w:sz w:val="24"/>
          <w:lang w:val="en-US" w:eastAsia="zh-CN"/>
        </w:rPr>
        <w:t>即</w:t>
      </w:r>
      <w:r>
        <w:rPr>
          <w:rFonts w:hint="eastAsia" w:ascii="宋体" w:hAnsi="宋体"/>
          <w:sz w:val="24"/>
        </w:rPr>
        <w:t>国际贸易实务、国际投资实务、国际商务管理。</w:t>
      </w:r>
    </w:p>
    <w:p w14:paraId="123CFE89">
      <w:pPr>
        <w:pageBreakBefore w:val="0"/>
        <w:numPr>
          <w:ilvl w:val="0"/>
          <w:numId w:val="1"/>
        </w:numPr>
        <w:kinsoku/>
        <w:wordWrap/>
        <w:overflowPunct/>
        <w:topLinePunct w:val="0"/>
        <w:autoSpaceDE/>
        <w:autoSpaceDN/>
        <w:bidi w:val="0"/>
        <w:adjustRightInd/>
        <w:snapToGrid w:val="0"/>
        <w:spacing w:beforeLines="0" w:afterLines="0" w:line="360" w:lineRule="auto"/>
        <w:ind w:firstLine="480" w:firstLineChars="200"/>
        <w:rPr>
          <w:rFonts w:hint="eastAsia" w:ascii="宋体" w:hAnsi="宋体"/>
          <w:sz w:val="24"/>
          <w:szCs w:val="21"/>
          <w:lang w:val="en-US" w:eastAsia="zh-CN"/>
        </w:rPr>
      </w:pPr>
      <w:r>
        <w:rPr>
          <w:rFonts w:hint="eastAsia" w:ascii="宋体" w:hAnsi="宋体"/>
          <w:sz w:val="24"/>
          <w:szCs w:val="21"/>
        </w:rPr>
        <w:t>国际贸易实务</w:t>
      </w:r>
      <w:r>
        <w:rPr>
          <w:rFonts w:hint="eastAsia" w:ascii="宋体" w:hAnsi="宋体"/>
          <w:sz w:val="24"/>
          <w:szCs w:val="21"/>
          <w:lang w:val="en-US" w:eastAsia="zh-CN"/>
        </w:rPr>
        <w:t xml:space="preserve">方向  </w:t>
      </w:r>
    </w:p>
    <w:p w14:paraId="40B1B604">
      <w:pPr>
        <w:pageBreakBefore w:val="0"/>
        <w:kinsoku/>
        <w:wordWrap/>
        <w:overflowPunct/>
        <w:topLinePunct w:val="0"/>
        <w:autoSpaceDE/>
        <w:autoSpaceDN/>
        <w:bidi w:val="0"/>
        <w:adjustRightInd/>
        <w:snapToGrid w:val="0"/>
        <w:spacing w:beforeLines="0" w:afterLines="0" w:line="360" w:lineRule="auto"/>
        <w:ind w:firstLine="480" w:firstLineChars="200"/>
        <w:rPr>
          <w:rFonts w:hint="default" w:ascii="宋体" w:hAnsi="宋体" w:eastAsia="宋体"/>
          <w:sz w:val="24"/>
          <w:szCs w:val="21"/>
          <w:lang w:val="en-US" w:eastAsia="zh-CN"/>
        </w:rPr>
      </w:pPr>
      <w:r>
        <w:rPr>
          <w:rFonts w:hint="eastAsia" w:ascii="宋体" w:hAnsi="宋体"/>
          <w:sz w:val="24"/>
          <w:szCs w:val="21"/>
          <w:lang w:val="en-US" w:eastAsia="zh-CN"/>
        </w:rPr>
        <w:t>适应</w:t>
      </w:r>
      <w:r>
        <w:rPr>
          <w:rFonts w:hint="eastAsia" w:ascii="宋体" w:hAnsi="宋体"/>
          <w:sz w:val="24"/>
          <w:szCs w:val="21"/>
        </w:rPr>
        <w:t>全球化重构、数字技术革命和可持续发展转型</w:t>
      </w:r>
      <w:r>
        <w:rPr>
          <w:rFonts w:hint="eastAsia" w:ascii="宋体" w:hAnsi="宋体"/>
          <w:sz w:val="24"/>
          <w:szCs w:val="21"/>
          <w:lang w:val="en-US" w:eastAsia="zh-CN"/>
        </w:rPr>
        <w:t>发展</w:t>
      </w:r>
      <w:r>
        <w:rPr>
          <w:rFonts w:hint="eastAsia" w:ascii="宋体" w:hAnsi="宋体"/>
          <w:sz w:val="24"/>
          <w:szCs w:val="21"/>
        </w:rPr>
        <w:t>，</w:t>
      </w:r>
      <w:r>
        <w:rPr>
          <w:rFonts w:hint="eastAsia" w:ascii="宋体" w:hAnsi="宋体"/>
          <w:sz w:val="24"/>
          <w:szCs w:val="21"/>
          <w:lang w:val="en-US" w:eastAsia="zh-CN"/>
        </w:rPr>
        <w:t>使</w:t>
      </w:r>
      <w:r>
        <w:rPr>
          <w:rFonts w:hint="eastAsia" w:ascii="宋体" w:hAnsi="宋体"/>
          <w:sz w:val="24"/>
          <w:szCs w:val="21"/>
        </w:rPr>
        <w:t>国际贸易实务领域经历</w:t>
      </w:r>
      <w:r>
        <w:rPr>
          <w:rFonts w:hint="eastAsia" w:ascii="宋体" w:hAnsi="宋体"/>
          <w:sz w:val="24"/>
          <w:szCs w:val="21"/>
          <w:lang w:val="en-US" w:eastAsia="zh-CN"/>
        </w:rPr>
        <w:t>不确定性的变化和</w:t>
      </w:r>
      <w:r>
        <w:rPr>
          <w:rFonts w:hint="eastAsia" w:ascii="宋体" w:hAnsi="宋体"/>
          <w:sz w:val="24"/>
          <w:szCs w:val="21"/>
        </w:rPr>
        <w:t>变革</w:t>
      </w:r>
      <w:r>
        <w:rPr>
          <w:rFonts w:hint="eastAsia" w:ascii="宋体" w:hAnsi="宋体"/>
          <w:sz w:val="24"/>
          <w:szCs w:val="21"/>
          <w:lang w:eastAsia="zh-CN"/>
        </w:rPr>
        <w:t>，</w:t>
      </w:r>
      <w:r>
        <w:rPr>
          <w:rFonts w:hint="eastAsia" w:ascii="宋体" w:hAnsi="宋体"/>
          <w:sz w:val="24"/>
          <w:szCs w:val="21"/>
        </w:rPr>
        <w:t>本研究方向注重贸易实务方面的贸易规则变动趋势、国际结算问题、国际服务贸易、</w:t>
      </w:r>
      <w:r>
        <w:rPr>
          <w:rFonts w:hint="eastAsia" w:ascii="宋体" w:hAnsi="宋体"/>
          <w:sz w:val="24"/>
          <w:szCs w:val="21"/>
          <w:lang w:val="en-US" w:eastAsia="zh-CN"/>
        </w:rPr>
        <w:t>国际数字贸易发展动向以及发展状况</w:t>
      </w:r>
      <w:r>
        <w:rPr>
          <w:rFonts w:hint="eastAsia" w:ascii="宋体" w:hAnsi="宋体"/>
          <w:sz w:val="24"/>
          <w:szCs w:val="21"/>
          <w:lang w:eastAsia="zh-CN"/>
        </w:rPr>
        <w:t>，</w:t>
      </w:r>
      <w:r>
        <w:rPr>
          <w:rFonts w:hint="eastAsia" w:ascii="宋体" w:hAnsi="宋体"/>
          <w:sz w:val="24"/>
          <w:szCs w:val="21"/>
          <w:lang w:val="en-US" w:eastAsia="zh-CN"/>
        </w:rPr>
        <w:t>以及</w:t>
      </w:r>
      <w:r>
        <w:rPr>
          <w:rFonts w:ascii="宋体" w:hAnsi="宋体" w:cs="宋体"/>
          <w:sz w:val="24"/>
        </w:rPr>
        <w:t>新</w:t>
      </w:r>
      <w:r>
        <w:rPr>
          <w:rFonts w:hint="eastAsia" w:ascii="宋体" w:hAnsi="宋体" w:cs="宋体"/>
          <w:sz w:val="24"/>
          <w:lang w:val="en-US" w:eastAsia="zh-CN"/>
        </w:rPr>
        <w:t>国际环境</w:t>
      </w:r>
      <w:r>
        <w:rPr>
          <w:rFonts w:ascii="宋体" w:hAnsi="宋体" w:cs="宋体"/>
          <w:sz w:val="24"/>
        </w:rPr>
        <w:t>下</w:t>
      </w:r>
      <w:r>
        <w:rPr>
          <w:rFonts w:hint="eastAsia" w:ascii="宋体" w:hAnsi="宋体" w:cs="宋体"/>
          <w:sz w:val="24"/>
          <w:lang w:val="en-US" w:eastAsia="zh-CN"/>
        </w:rPr>
        <w:t>的</w:t>
      </w:r>
      <w:r>
        <w:rPr>
          <w:rFonts w:ascii="宋体" w:hAnsi="宋体" w:cs="宋体"/>
          <w:sz w:val="24"/>
        </w:rPr>
        <w:t>国际贸易</w:t>
      </w:r>
      <w:r>
        <w:rPr>
          <w:rFonts w:hint="eastAsia" w:ascii="宋体" w:hAnsi="宋体" w:cs="宋体"/>
          <w:sz w:val="24"/>
          <w:lang w:val="en-US" w:eastAsia="zh-CN"/>
        </w:rPr>
        <w:t>政策与实务的变化趋势</w:t>
      </w:r>
      <w:r>
        <w:rPr>
          <w:rFonts w:ascii="宋体" w:hAnsi="宋体" w:cs="宋体"/>
          <w:sz w:val="24"/>
        </w:rPr>
        <w:t>及其在我国的适用性。</w:t>
      </w:r>
      <w:r>
        <w:rPr>
          <w:rFonts w:hint="eastAsia" w:ascii="宋体" w:hAnsi="宋体" w:cs="宋体"/>
          <w:sz w:val="24"/>
          <w:lang w:val="en-US" w:eastAsia="zh-CN"/>
        </w:rPr>
        <w:t>与时俱进地跟踪</w:t>
      </w:r>
      <w:r>
        <w:rPr>
          <w:rFonts w:ascii="宋体" w:hAnsi="宋体" w:cs="宋体"/>
          <w:sz w:val="24"/>
        </w:rPr>
        <w:t>“一带一路”</w:t>
      </w:r>
      <w:r>
        <w:rPr>
          <w:rFonts w:hint="eastAsia" w:ascii="宋体" w:hAnsi="宋体" w:cs="宋体"/>
          <w:sz w:val="24"/>
          <w:lang w:val="en-US" w:eastAsia="zh-CN"/>
        </w:rPr>
        <w:t>建设效果及影响效应等方面的</w:t>
      </w:r>
      <w:r>
        <w:rPr>
          <w:rFonts w:hint="eastAsia" w:ascii="宋体" w:hAnsi="宋体"/>
          <w:sz w:val="24"/>
          <w:szCs w:val="21"/>
        </w:rPr>
        <w:t>学习</w:t>
      </w:r>
      <w:r>
        <w:rPr>
          <w:rFonts w:hint="eastAsia" w:ascii="宋体" w:hAnsi="宋体"/>
          <w:sz w:val="24"/>
          <w:szCs w:val="21"/>
          <w:lang w:val="en-US" w:eastAsia="zh-CN"/>
        </w:rPr>
        <w:t>和</w:t>
      </w:r>
      <w:r>
        <w:rPr>
          <w:rFonts w:hint="eastAsia" w:ascii="宋体" w:hAnsi="宋体" w:cs="宋体"/>
          <w:sz w:val="24"/>
          <w:lang w:val="en-US" w:eastAsia="zh-CN"/>
        </w:rPr>
        <w:t>研究</w:t>
      </w:r>
      <w:r>
        <w:rPr>
          <w:rFonts w:hint="eastAsia" w:ascii="宋体" w:hAnsi="宋体"/>
          <w:sz w:val="24"/>
          <w:szCs w:val="21"/>
        </w:rPr>
        <w:t>，</w:t>
      </w:r>
      <w:r>
        <w:rPr>
          <w:rFonts w:hint="eastAsia" w:ascii="宋体" w:hAnsi="宋体"/>
          <w:sz w:val="24"/>
          <w:szCs w:val="21"/>
          <w:lang w:val="en-US" w:eastAsia="zh-CN"/>
        </w:rPr>
        <w:t>以满足</w:t>
      </w:r>
      <w:r>
        <w:rPr>
          <w:rFonts w:ascii="宋体" w:hAnsi="宋体" w:cs="宋体"/>
          <w:sz w:val="24"/>
        </w:rPr>
        <w:t>服务京津冀协同发展</w:t>
      </w:r>
      <w:r>
        <w:rPr>
          <w:rFonts w:hint="eastAsia" w:ascii="宋体" w:hAnsi="宋体" w:cs="宋体"/>
          <w:sz w:val="24"/>
          <w:lang w:eastAsia="zh-CN"/>
        </w:rPr>
        <w:t>、</w:t>
      </w:r>
      <w:r>
        <w:rPr>
          <w:rFonts w:ascii="宋体" w:hAnsi="宋体" w:cs="宋体"/>
          <w:sz w:val="24"/>
        </w:rPr>
        <w:t>雄安新区建设</w:t>
      </w:r>
      <w:r>
        <w:rPr>
          <w:rFonts w:hint="eastAsia" w:ascii="宋体" w:hAnsi="宋体" w:cs="宋体"/>
          <w:sz w:val="24"/>
          <w:lang w:val="en-US" w:eastAsia="zh-CN"/>
        </w:rPr>
        <w:t>以及</w:t>
      </w:r>
      <w:r>
        <w:rPr>
          <w:rFonts w:ascii="宋体" w:hAnsi="宋体" w:cs="宋体"/>
          <w:sz w:val="24"/>
        </w:rPr>
        <w:t>“一带一路”</w:t>
      </w:r>
      <w:r>
        <w:rPr>
          <w:rFonts w:hint="eastAsia" w:ascii="宋体" w:hAnsi="宋体" w:cs="宋体"/>
          <w:sz w:val="24"/>
          <w:lang w:val="en-US" w:eastAsia="zh-CN"/>
        </w:rPr>
        <w:t>建设</w:t>
      </w:r>
      <w:r>
        <w:rPr>
          <w:rFonts w:ascii="宋体" w:hAnsi="宋体" w:cs="宋体"/>
          <w:sz w:val="24"/>
        </w:rPr>
        <w:t>等</w:t>
      </w:r>
      <w:r>
        <w:rPr>
          <w:rFonts w:hint="eastAsia" w:ascii="宋体" w:hAnsi="宋体" w:cs="宋体"/>
          <w:sz w:val="24"/>
          <w:lang w:val="en-US" w:eastAsia="zh-CN"/>
        </w:rPr>
        <w:t>对</w:t>
      </w:r>
      <w:r>
        <w:rPr>
          <w:rFonts w:hint="eastAsia" w:ascii="宋体" w:hAnsi="宋体"/>
          <w:sz w:val="24"/>
          <w:szCs w:val="21"/>
        </w:rPr>
        <w:t>新型外贸</w:t>
      </w:r>
      <w:r>
        <w:rPr>
          <w:rFonts w:hint="eastAsia" w:ascii="宋体" w:hAnsi="宋体"/>
          <w:sz w:val="24"/>
          <w:szCs w:val="21"/>
          <w:lang w:val="en-US" w:eastAsia="zh-CN"/>
        </w:rPr>
        <w:t>应用型</w:t>
      </w:r>
      <w:r>
        <w:rPr>
          <w:rFonts w:hint="eastAsia" w:ascii="宋体" w:hAnsi="宋体"/>
          <w:sz w:val="24"/>
          <w:szCs w:val="21"/>
        </w:rPr>
        <w:t>专业人才</w:t>
      </w:r>
      <w:r>
        <w:rPr>
          <w:rFonts w:hint="eastAsia" w:ascii="宋体" w:hAnsi="宋体"/>
          <w:sz w:val="24"/>
          <w:szCs w:val="21"/>
          <w:lang w:val="en-US" w:eastAsia="zh-CN"/>
        </w:rPr>
        <w:t>的需求。</w:t>
      </w:r>
    </w:p>
    <w:p w14:paraId="504B98BD">
      <w:pPr>
        <w:pageBreakBefore w:val="0"/>
        <w:kinsoku/>
        <w:wordWrap/>
        <w:overflowPunct/>
        <w:topLinePunct w:val="0"/>
        <w:autoSpaceDE/>
        <w:autoSpaceDN/>
        <w:bidi w:val="0"/>
        <w:adjustRightInd/>
        <w:snapToGrid w:val="0"/>
        <w:spacing w:beforeLines="0" w:afterLines="0" w:line="360" w:lineRule="auto"/>
        <w:ind w:firstLine="480" w:firstLineChars="200"/>
        <w:rPr>
          <w:rFonts w:ascii="宋体" w:hAnsi="宋体"/>
          <w:sz w:val="24"/>
          <w:szCs w:val="21"/>
        </w:rPr>
      </w:pPr>
      <w:r>
        <w:rPr>
          <w:rFonts w:hint="eastAsia" w:ascii="宋体" w:hAnsi="宋体"/>
          <w:sz w:val="24"/>
          <w:szCs w:val="21"/>
        </w:rPr>
        <w:t>2.国际投资实务</w:t>
      </w:r>
      <w:r>
        <w:rPr>
          <w:rFonts w:hint="eastAsia" w:ascii="宋体" w:hAnsi="宋体"/>
          <w:sz w:val="24"/>
          <w:szCs w:val="21"/>
          <w:lang w:val="en-US" w:eastAsia="zh-CN"/>
        </w:rPr>
        <w:t xml:space="preserve">方向     </w:t>
      </w:r>
    </w:p>
    <w:p w14:paraId="370AEB49">
      <w:pPr>
        <w:pageBreakBefore w:val="0"/>
        <w:kinsoku/>
        <w:wordWrap/>
        <w:overflowPunct/>
        <w:topLinePunct w:val="0"/>
        <w:autoSpaceDE/>
        <w:autoSpaceDN/>
        <w:bidi w:val="0"/>
        <w:adjustRightInd/>
        <w:snapToGrid w:val="0"/>
        <w:spacing w:beforeLines="0" w:afterLines="0" w:line="360" w:lineRule="auto"/>
        <w:ind w:firstLine="480" w:firstLineChars="200"/>
        <w:rPr>
          <w:rFonts w:ascii="宋体" w:hAnsi="宋体"/>
          <w:sz w:val="24"/>
          <w:szCs w:val="21"/>
        </w:rPr>
      </w:pPr>
      <w:r>
        <w:rPr>
          <w:rFonts w:hint="eastAsia" w:ascii="宋体" w:hAnsi="宋体"/>
          <w:sz w:val="24"/>
          <w:szCs w:val="21"/>
        </w:rPr>
        <w:t>本研究方向注重对跨国投资经济效应的研究</w:t>
      </w:r>
      <w:r>
        <w:rPr>
          <w:rFonts w:hint="eastAsia" w:ascii="宋体" w:hAnsi="宋体"/>
          <w:sz w:val="24"/>
          <w:szCs w:val="21"/>
          <w:lang w:eastAsia="zh-CN"/>
        </w:rPr>
        <w:t>，</w:t>
      </w:r>
      <w:r>
        <w:rPr>
          <w:rFonts w:hint="eastAsia" w:ascii="宋体" w:hAnsi="宋体"/>
          <w:sz w:val="24"/>
          <w:szCs w:val="21"/>
          <w:lang w:val="en-US" w:eastAsia="zh-CN"/>
        </w:rPr>
        <w:t>以及</w:t>
      </w:r>
      <w:r>
        <w:rPr>
          <w:rFonts w:hint="eastAsia" w:ascii="宋体" w:hAnsi="宋体"/>
          <w:sz w:val="24"/>
          <w:szCs w:val="21"/>
        </w:rPr>
        <w:t>现实政策性</w:t>
      </w:r>
      <w:r>
        <w:rPr>
          <w:rFonts w:hint="eastAsia" w:ascii="宋体" w:hAnsi="宋体"/>
          <w:sz w:val="24"/>
          <w:szCs w:val="21"/>
          <w:lang w:val="en-US" w:eastAsia="zh-CN"/>
        </w:rPr>
        <w:t>变化的跟踪</w:t>
      </w:r>
      <w:r>
        <w:rPr>
          <w:rFonts w:hint="eastAsia" w:ascii="宋体" w:hAnsi="宋体"/>
          <w:sz w:val="24"/>
          <w:szCs w:val="21"/>
        </w:rPr>
        <w:t>，</w:t>
      </w:r>
      <w:r>
        <w:rPr>
          <w:rFonts w:hint="eastAsia" w:ascii="宋体" w:hAnsi="宋体"/>
          <w:sz w:val="24"/>
          <w:szCs w:val="21"/>
          <w:lang w:val="en-US" w:eastAsia="zh-CN"/>
        </w:rPr>
        <w:t>增强</w:t>
      </w:r>
      <w:r>
        <w:rPr>
          <w:rFonts w:hint="eastAsia" w:ascii="宋体" w:hAnsi="宋体"/>
          <w:sz w:val="24"/>
          <w:szCs w:val="21"/>
        </w:rPr>
        <w:t>前沿性和现实性</w:t>
      </w:r>
      <w:r>
        <w:rPr>
          <w:rFonts w:hint="eastAsia" w:ascii="宋体" w:hAnsi="宋体"/>
          <w:sz w:val="24"/>
          <w:szCs w:val="21"/>
          <w:lang w:eastAsia="zh-CN"/>
        </w:rPr>
        <w:t>；</w:t>
      </w:r>
      <w:r>
        <w:rPr>
          <w:rFonts w:hint="eastAsia" w:ascii="宋体" w:hAnsi="宋体"/>
          <w:sz w:val="24"/>
          <w:szCs w:val="21"/>
        </w:rPr>
        <w:t>注重研究视角的多元性、综合性和开拓性，探讨跨国公司投资经营战略演变规律</w:t>
      </w:r>
      <w:r>
        <w:rPr>
          <w:rFonts w:hint="eastAsia" w:ascii="宋体" w:hAnsi="宋体"/>
          <w:sz w:val="24"/>
          <w:szCs w:val="21"/>
          <w:lang w:val="en-US" w:eastAsia="zh-CN"/>
        </w:rPr>
        <w:t>和趋势，</w:t>
      </w:r>
      <w:r>
        <w:rPr>
          <w:rFonts w:hint="eastAsia" w:ascii="宋体" w:hAnsi="宋体" w:cs="Times New Roman"/>
          <w:sz w:val="24"/>
          <w:szCs w:val="21"/>
          <w:lang w:val="en-US" w:eastAsia="zh-CN"/>
        </w:rPr>
        <w:t>重点跟踪关注</w:t>
      </w:r>
      <w:r>
        <w:rPr>
          <w:rFonts w:hint="eastAsia" w:ascii="宋体" w:hAnsi="宋体" w:cs="Times New Roman"/>
          <w:sz w:val="24"/>
          <w:szCs w:val="21"/>
        </w:rPr>
        <w:t>地缘政治与投资风险管理</w:t>
      </w:r>
      <w:r>
        <w:rPr>
          <w:rFonts w:hint="eastAsia" w:ascii="宋体" w:hAnsi="宋体" w:cs="Times New Roman"/>
          <w:sz w:val="24"/>
          <w:szCs w:val="21"/>
          <w:lang w:eastAsia="zh-CN"/>
        </w:rPr>
        <w:t>、</w:t>
      </w:r>
      <w:r>
        <w:rPr>
          <w:rFonts w:hint="eastAsia" w:ascii="宋体" w:hAnsi="宋体" w:cs="Times New Roman"/>
          <w:sz w:val="24"/>
          <w:szCs w:val="21"/>
        </w:rPr>
        <w:t>地缘经济智能分析、国际制裁与合规管理等</w:t>
      </w:r>
      <w:r>
        <w:rPr>
          <w:rFonts w:hint="eastAsia" w:ascii="宋体" w:hAnsi="宋体" w:cs="Times New Roman"/>
          <w:sz w:val="24"/>
          <w:szCs w:val="21"/>
          <w:lang w:val="en-US" w:eastAsia="zh-CN"/>
        </w:rPr>
        <w:t>变化</w:t>
      </w:r>
      <w:r>
        <w:rPr>
          <w:rFonts w:hint="eastAsia" w:ascii="宋体" w:hAnsi="宋体" w:cs="Times New Roman"/>
          <w:sz w:val="24"/>
          <w:szCs w:val="21"/>
          <w:lang w:eastAsia="zh-CN"/>
        </w:rPr>
        <w:t>；</w:t>
      </w:r>
      <w:r>
        <w:rPr>
          <w:rFonts w:hint="eastAsia" w:ascii="宋体" w:hAnsi="宋体" w:cs="Times New Roman"/>
          <w:sz w:val="24"/>
          <w:szCs w:val="21"/>
        </w:rPr>
        <w:t>加强个案研究，</w:t>
      </w:r>
      <w:r>
        <w:rPr>
          <w:rFonts w:hint="eastAsia" w:ascii="宋体" w:hAnsi="宋体" w:cs="Times New Roman"/>
          <w:sz w:val="24"/>
          <w:szCs w:val="21"/>
          <w:lang w:val="en-US" w:eastAsia="zh-CN"/>
        </w:rPr>
        <w:t>重点关注</w:t>
      </w:r>
      <w:r>
        <w:rPr>
          <w:rFonts w:hint="eastAsia" w:ascii="宋体" w:hAnsi="宋体" w:cs="Times New Roman"/>
          <w:sz w:val="24"/>
          <w:szCs w:val="21"/>
        </w:rPr>
        <w:t>数字经济与国际投资新形态</w:t>
      </w:r>
      <w:r>
        <w:rPr>
          <w:rFonts w:hint="eastAsia" w:ascii="宋体" w:hAnsi="宋体" w:cs="Times New Roman"/>
          <w:sz w:val="24"/>
          <w:szCs w:val="21"/>
          <w:lang w:eastAsia="zh-CN"/>
        </w:rPr>
        <w:t>、</w:t>
      </w:r>
      <w:r>
        <w:rPr>
          <w:rFonts w:hint="eastAsia" w:ascii="宋体" w:hAnsi="宋体" w:cs="Times New Roman"/>
          <w:sz w:val="24"/>
          <w:szCs w:val="21"/>
        </w:rPr>
        <w:t>数字资产与跨境资本流动监管、人工智能与投资决策</w:t>
      </w:r>
      <w:r>
        <w:rPr>
          <w:rFonts w:hint="eastAsia" w:ascii="宋体" w:hAnsi="宋体" w:cs="Times New Roman"/>
          <w:sz w:val="24"/>
          <w:szCs w:val="21"/>
          <w:lang w:eastAsia="zh-CN"/>
        </w:rPr>
        <w:t>、</w:t>
      </w:r>
      <w:r>
        <w:rPr>
          <w:rFonts w:hint="eastAsia" w:ascii="宋体" w:hAnsi="宋体" w:cs="Times New Roman"/>
          <w:sz w:val="24"/>
          <w:szCs w:val="21"/>
        </w:rPr>
        <w:t>新兴市场投资与创新模式</w:t>
      </w:r>
      <w:r>
        <w:rPr>
          <w:rFonts w:hint="eastAsia" w:ascii="宋体" w:hAnsi="宋体" w:cs="Times New Roman"/>
          <w:sz w:val="24"/>
          <w:szCs w:val="21"/>
          <w:lang w:val="en-US" w:eastAsia="zh-CN"/>
        </w:rPr>
        <w:t>等</w:t>
      </w:r>
      <w:r>
        <w:rPr>
          <w:rFonts w:hint="eastAsia" w:ascii="宋体" w:hAnsi="宋体" w:cs="Times New Roman"/>
          <w:sz w:val="24"/>
          <w:szCs w:val="21"/>
        </w:rPr>
        <w:t>，使跨国公</w:t>
      </w:r>
      <w:r>
        <w:rPr>
          <w:rFonts w:hint="eastAsia" w:ascii="宋体" w:hAnsi="宋体"/>
          <w:sz w:val="24"/>
          <w:szCs w:val="21"/>
        </w:rPr>
        <w:t>司经营战略</w:t>
      </w:r>
      <w:r>
        <w:rPr>
          <w:rFonts w:hint="eastAsia" w:ascii="宋体" w:hAnsi="宋体"/>
          <w:sz w:val="24"/>
          <w:szCs w:val="21"/>
          <w:lang w:val="en-US" w:eastAsia="zh-CN"/>
        </w:rPr>
        <w:t>等</w:t>
      </w:r>
      <w:r>
        <w:rPr>
          <w:rFonts w:hint="eastAsia" w:ascii="宋体" w:hAnsi="宋体"/>
          <w:sz w:val="24"/>
          <w:szCs w:val="21"/>
        </w:rPr>
        <w:t>研究具有实效性，以适应我国实施“走出去”战略开展跨国经营的实际需要。本方向有助于培养具有从事外向型</w:t>
      </w:r>
      <w:r>
        <w:rPr>
          <w:rFonts w:hint="eastAsia" w:ascii="宋体" w:hAnsi="宋体"/>
          <w:sz w:val="24"/>
          <w:szCs w:val="21"/>
          <w:lang w:val="en-US" w:eastAsia="zh-CN"/>
        </w:rPr>
        <w:t>投资</w:t>
      </w:r>
      <w:r>
        <w:rPr>
          <w:rFonts w:hint="eastAsia" w:ascii="宋体" w:hAnsi="宋体"/>
          <w:sz w:val="24"/>
          <w:szCs w:val="21"/>
        </w:rPr>
        <w:t>活动</w:t>
      </w:r>
      <w:r>
        <w:rPr>
          <w:rFonts w:hint="eastAsia" w:ascii="宋体" w:hAnsi="宋体"/>
          <w:sz w:val="24"/>
          <w:szCs w:val="21"/>
          <w:lang w:eastAsia="zh-CN"/>
        </w:rPr>
        <w:t>能力，</w:t>
      </w:r>
      <w:r>
        <w:rPr>
          <w:rFonts w:hint="eastAsia" w:ascii="宋体" w:hAnsi="宋体"/>
          <w:sz w:val="24"/>
          <w:szCs w:val="21"/>
        </w:rPr>
        <w:t>熟悉跨国投资经营方略的“走出去”的外向型人才。</w:t>
      </w:r>
    </w:p>
    <w:p w14:paraId="7D6C5394">
      <w:pPr>
        <w:numPr>
          <w:ilvl w:val="0"/>
          <w:numId w:val="2"/>
        </w:numPr>
        <w:snapToGrid w:val="0"/>
        <w:spacing w:beforeLines="0" w:afterLines="0" w:line="360" w:lineRule="auto"/>
        <w:ind w:firstLine="480" w:firstLineChars="200"/>
        <w:rPr>
          <w:rFonts w:hint="default" w:ascii="宋体" w:hAnsi="宋体"/>
          <w:sz w:val="24"/>
          <w:szCs w:val="21"/>
          <w:lang w:val="en-US" w:eastAsia="zh-CN"/>
        </w:rPr>
      </w:pPr>
      <w:r>
        <w:rPr>
          <w:rFonts w:hint="eastAsia" w:ascii="宋体" w:hAnsi="宋体"/>
          <w:sz w:val="24"/>
        </w:rPr>
        <w:t>国际商务管理</w:t>
      </w:r>
      <w:r>
        <w:rPr>
          <w:rFonts w:hint="eastAsia" w:ascii="宋体" w:hAnsi="宋体"/>
          <w:sz w:val="24"/>
          <w:lang w:val="en-US" w:eastAsia="zh-CN"/>
        </w:rPr>
        <w:t xml:space="preserve">方向   </w:t>
      </w:r>
    </w:p>
    <w:p w14:paraId="29701CFA">
      <w:pPr>
        <w:pageBreakBefore w:val="0"/>
        <w:kinsoku/>
        <w:wordWrap/>
        <w:overflowPunct/>
        <w:topLinePunct w:val="0"/>
        <w:autoSpaceDE/>
        <w:autoSpaceDN/>
        <w:bidi w:val="0"/>
        <w:adjustRightInd/>
        <w:snapToGrid w:val="0"/>
        <w:spacing w:beforeLines="0" w:afterLines="0" w:line="360" w:lineRule="auto"/>
        <w:ind w:firstLine="480" w:firstLineChars="200"/>
        <w:rPr>
          <w:rFonts w:hint="eastAsia" w:ascii="宋体" w:hAnsi="宋体" w:cs="Times New Roman"/>
          <w:sz w:val="24"/>
          <w:szCs w:val="21"/>
        </w:rPr>
      </w:pPr>
      <w:r>
        <w:rPr>
          <w:rFonts w:hint="eastAsia" w:ascii="宋体" w:hAnsi="宋体" w:cs="Times New Roman"/>
          <w:sz w:val="24"/>
          <w:szCs w:val="21"/>
          <w:lang w:val="en-US" w:eastAsia="zh-CN"/>
        </w:rPr>
        <w:t>面对</w:t>
      </w:r>
      <w:r>
        <w:rPr>
          <w:rFonts w:hint="default" w:ascii="宋体" w:hAnsi="宋体" w:cs="Times New Roman"/>
          <w:sz w:val="24"/>
          <w:szCs w:val="21"/>
        </w:rPr>
        <w:t>全球化</w:t>
      </w:r>
      <w:r>
        <w:rPr>
          <w:rFonts w:hint="eastAsia" w:ascii="宋体" w:hAnsi="宋体" w:cs="Times New Roman"/>
          <w:sz w:val="24"/>
          <w:szCs w:val="21"/>
          <w:lang w:val="en-US" w:eastAsia="zh-CN"/>
        </w:rPr>
        <w:t>发展趋势</w:t>
      </w:r>
      <w:r>
        <w:rPr>
          <w:rFonts w:hint="default" w:ascii="宋体" w:hAnsi="宋体" w:cs="Times New Roman"/>
          <w:sz w:val="24"/>
          <w:szCs w:val="21"/>
        </w:rPr>
        <w:t>的演进，</w:t>
      </w:r>
      <w:r>
        <w:rPr>
          <w:rFonts w:hint="eastAsia" w:ascii="宋体" w:hAnsi="宋体" w:cs="Times New Roman"/>
          <w:sz w:val="24"/>
          <w:szCs w:val="21"/>
          <w:lang w:val="en-US" w:eastAsia="zh-CN"/>
        </w:rPr>
        <w:t>本专业</w:t>
      </w:r>
      <w:r>
        <w:rPr>
          <w:rFonts w:hint="default" w:ascii="宋体" w:hAnsi="宋体" w:cs="Times New Roman"/>
          <w:sz w:val="24"/>
          <w:szCs w:val="21"/>
        </w:rPr>
        <w:t>培养</w:t>
      </w:r>
      <w:r>
        <w:rPr>
          <w:rFonts w:hint="eastAsia" w:ascii="宋体" w:hAnsi="宋体" w:cs="Times New Roman"/>
          <w:sz w:val="24"/>
          <w:szCs w:val="21"/>
          <w:lang w:val="en-US" w:eastAsia="zh-CN"/>
        </w:rPr>
        <w:t>要</w:t>
      </w:r>
      <w:r>
        <w:rPr>
          <w:rFonts w:hint="default" w:ascii="宋体" w:hAnsi="宋体" w:cs="Times New Roman"/>
          <w:sz w:val="24"/>
          <w:szCs w:val="21"/>
        </w:rPr>
        <w:t>从传统的贸易与跨国公司管理，转向</w:t>
      </w:r>
      <w:r>
        <w:rPr>
          <w:rFonts w:hint="eastAsia" w:ascii="宋体" w:hAnsi="宋体" w:cs="Times New Roman"/>
          <w:sz w:val="24"/>
          <w:szCs w:val="21"/>
          <w:lang w:val="en-US" w:eastAsia="zh-CN"/>
        </w:rPr>
        <w:t>顺应</w:t>
      </w:r>
      <w:r>
        <w:rPr>
          <w:rFonts w:hint="default" w:ascii="宋体" w:hAnsi="宋体" w:cs="Times New Roman"/>
          <w:sz w:val="24"/>
          <w:szCs w:val="21"/>
        </w:rPr>
        <w:t>数字全球化、韧性供应链、地缘商业策略等前沿领域</w:t>
      </w:r>
      <w:r>
        <w:rPr>
          <w:rFonts w:hint="eastAsia" w:ascii="宋体" w:hAnsi="宋体" w:cs="Times New Roman"/>
          <w:sz w:val="24"/>
          <w:szCs w:val="21"/>
          <w:lang w:val="en-US" w:eastAsia="zh-CN"/>
        </w:rPr>
        <w:t>的变化</w:t>
      </w:r>
      <w:r>
        <w:rPr>
          <w:rFonts w:hint="default" w:ascii="宋体" w:hAnsi="宋体" w:cs="Times New Roman"/>
          <w:sz w:val="24"/>
          <w:szCs w:val="21"/>
        </w:rPr>
        <w:t>。</w:t>
      </w:r>
      <w:r>
        <w:rPr>
          <w:rFonts w:hint="eastAsia" w:ascii="宋体" w:hAnsi="宋体" w:cs="Times New Roman"/>
          <w:sz w:val="24"/>
          <w:szCs w:val="21"/>
        </w:rPr>
        <w:t>本研究方向侧重培养学生运用国际商务的基本理论和方法，应对复杂多变国际商务环境的决策意识与实践技能。</w:t>
      </w:r>
      <w:r>
        <w:rPr>
          <w:rFonts w:hint="eastAsia" w:ascii="宋体" w:hAnsi="宋体" w:cs="Times New Roman"/>
          <w:sz w:val="24"/>
          <w:szCs w:val="21"/>
          <w:lang w:val="en-US" w:eastAsia="zh-CN"/>
        </w:rPr>
        <w:t>重点关注</w:t>
      </w:r>
      <w:r>
        <w:rPr>
          <w:rFonts w:hint="eastAsia" w:ascii="宋体" w:hAnsi="宋体" w:cs="Times New Roman"/>
          <w:sz w:val="24"/>
          <w:szCs w:val="21"/>
        </w:rPr>
        <w:t>数字全球化与跨境商业生态，</w:t>
      </w:r>
      <w:r>
        <w:rPr>
          <w:rFonts w:hint="eastAsia" w:ascii="宋体" w:hAnsi="宋体" w:cs="Times New Roman"/>
          <w:sz w:val="24"/>
          <w:szCs w:val="21"/>
          <w:lang w:val="en-US" w:eastAsia="zh-CN"/>
        </w:rPr>
        <w:t>涉及</w:t>
      </w:r>
      <w:r>
        <w:rPr>
          <w:rFonts w:hint="eastAsia" w:ascii="宋体" w:hAnsi="宋体" w:cs="Times New Roman"/>
          <w:sz w:val="24"/>
          <w:szCs w:val="21"/>
        </w:rPr>
        <w:t>跨境电商与平台化运营、元宇宙与虚拟商务；供应链重构与韧性管理，</w:t>
      </w:r>
      <w:r>
        <w:rPr>
          <w:rFonts w:hint="eastAsia" w:ascii="宋体" w:hAnsi="宋体" w:cs="Times New Roman"/>
          <w:sz w:val="24"/>
          <w:szCs w:val="21"/>
          <w:lang w:val="en-US" w:eastAsia="zh-CN"/>
        </w:rPr>
        <w:t>涉及</w:t>
      </w:r>
      <w:r>
        <w:rPr>
          <w:rFonts w:hint="eastAsia" w:ascii="宋体" w:hAnsi="宋体" w:cs="Times New Roman"/>
          <w:sz w:val="24"/>
          <w:szCs w:val="21"/>
        </w:rPr>
        <w:t>供应链地缘政治化、绿色供应链与循环经济等；地缘商业策略与合规科技，涉及去风险化商业架构、人工智能合规管理等；国际商务谈判与文化智能，涉及跨文化认知计算、高冲突场景谈判等</w:t>
      </w:r>
      <w:r>
        <w:rPr>
          <w:rFonts w:hint="eastAsia" w:ascii="宋体" w:hAnsi="宋体" w:cs="Times New Roman"/>
          <w:sz w:val="24"/>
          <w:szCs w:val="21"/>
          <w:lang w:eastAsia="zh-CN"/>
        </w:rPr>
        <w:t>。</w:t>
      </w:r>
      <w:r>
        <w:rPr>
          <w:rFonts w:hint="eastAsia" w:ascii="宋体" w:hAnsi="宋体" w:cs="Times New Roman"/>
          <w:sz w:val="24"/>
          <w:szCs w:val="21"/>
        </w:rPr>
        <w:t>相应的专业知识涵盖国际商法、国际商务谈判、国际金融理论与实务、跨境电子商务等。因此，本研究方向有助于培养具有较高外语水平、能够进行跨文化交流，熟练掌握现代国际商务实践技能的高层次应用型、复合型国际商务专门人才。</w:t>
      </w:r>
    </w:p>
    <w:p w14:paraId="1AF81EAB">
      <w:pPr>
        <w:pageBreakBefore w:val="0"/>
        <w:numPr>
          <w:ilvl w:val="0"/>
          <w:numId w:val="0"/>
        </w:numPr>
        <w:kinsoku/>
        <w:wordWrap/>
        <w:overflowPunct/>
        <w:topLinePunct w:val="0"/>
        <w:autoSpaceDE/>
        <w:autoSpaceDN/>
        <w:bidi w:val="0"/>
        <w:adjustRightInd/>
        <w:spacing w:beforeLines="-2147483648" w:afterLines="-2147483648" w:line="360" w:lineRule="auto"/>
        <w:ind w:firstLine="560" w:firstLineChars="200"/>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四、</w:t>
      </w:r>
      <w:r>
        <w:rPr>
          <w:rFonts w:hint="eastAsia" w:ascii="黑体" w:hAnsi="黑体" w:eastAsia="黑体" w:cs="黑体"/>
          <w:b w:val="0"/>
          <w:bCs/>
          <w:color w:val="auto"/>
          <w:sz w:val="28"/>
          <w:szCs w:val="28"/>
          <w:lang w:val="en-US" w:eastAsia="zh-CN"/>
        </w:rPr>
        <w:t>学制及</w:t>
      </w:r>
      <w:r>
        <w:rPr>
          <w:rFonts w:hint="eastAsia" w:ascii="黑体" w:hAnsi="黑体" w:eastAsia="黑体" w:cs="黑体"/>
          <w:b w:val="0"/>
          <w:bCs/>
          <w:color w:val="auto"/>
          <w:sz w:val="28"/>
          <w:szCs w:val="28"/>
        </w:rPr>
        <w:t>学习年限</w:t>
      </w:r>
    </w:p>
    <w:p w14:paraId="5E9FDCCC">
      <w:pPr>
        <w:spacing w:beforeLines="-2147483648" w:afterLines="-2147483648" w:line="360" w:lineRule="auto"/>
        <w:ind w:firstLine="480" w:firstLineChars="0"/>
        <w:rPr>
          <w:rFonts w:hint="eastAsia" w:ascii="宋体" w:hAnsi="宋体"/>
          <w:sz w:val="24"/>
        </w:rPr>
      </w:pPr>
      <w:r>
        <w:rPr>
          <w:rFonts w:eastAsiaTheme="minorEastAsia"/>
          <w:color w:val="000000"/>
          <w:sz w:val="24"/>
        </w:rPr>
        <w:t>本专业学制为3年，在校最长学习年限（含休学）不超过6年。</w:t>
      </w:r>
      <w:r>
        <w:rPr>
          <w:rFonts w:hint="eastAsia"/>
          <w:color w:val="000000"/>
          <w:sz w:val="24"/>
        </w:rPr>
        <w:t>实行学分制</w:t>
      </w:r>
      <w:r>
        <w:rPr>
          <w:rFonts w:hint="eastAsia"/>
          <w:color w:val="000000"/>
          <w:sz w:val="24"/>
          <w:lang w:eastAsia="zh-CN"/>
        </w:rPr>
        <w:t>，</w:t>
      </w:r>
      <w:r>
        <w:rPr>
          <w:rFonts w:hint="eastAsia"/>
          <w:color w:val="000000"/>
          <w:sz w:val="24"/>
        </w:rPr>
        <w:t>其中课程学习时间为1年</w:t>
      </w:r>
      <w:r>
        <w:rPr>
          <w:rFonts w:hint="eastAsia"/>
          <w:color w:val="000000"/>
          <w:sz w:val="24"/>
          <w:lang w:val="en-US" w:eastAsia="zh-CN"/>
        </w:rPr>
        <w:t>半</w:t>
      </w:r>
      <w:r>
        <w:rPr>
          <w:rFonts w:hint="eastAsia"/>
          <w:color w:val="000000"/>
          <w:sz w:val="24"/>
        </w:rPr>
        <w:t>，专业实践</w:t>
      </w:r>
      <w:r>
        <w:rPr>
          <w:rFonts w:hint="eastAsia"/>
          <w:color w:val="000000"/>
          <w:sz w:val="24"/>
          <w:lang w:val="en-US" w:eastAsia="zh-CN"/>
        </w:rPr>
        <w:t>活动</w:t>
      </w:r>
      <w:r>
        <w:rPr>
          <w:rFonts w:hint="eastAsia"/>
          <w:color w:val="000000"/>
          <w:sz w:val="24"/>
        </w:rPr>
        <w:t>时间不少于半年。</w:t>
      </w:r>
    </w:p>
    <w:p w14:paraId="769980E6">
      <w:pPr>
        <w:pageBreakBefore w:val="0"/>
        <w:numPr>
          <w:ilvl w:val="0"/>
          <w:numId w:val="3"/>
        </w:numPr>
        <w:kinsoku/>
        <w:wordWrap/>
        <w:overflowPunct/>
        <w:topLinePunct w:val="0"/>
        <w:autoSpaceDE/>
        <w:autoSpaceDN/>
        <w:bidi w:val="0"/>
        <w:adjustRightInd/>
        <w:spacing w:beforeLines="-2147483648" w:afterLines="-2147483648" w:line="360" w:lineRule="auto"/>
        <w:ind w:firstLine="560" w:firstLineChars="200"/>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培养目标</w:t>
      </w:r>
    </w:p>
    <w:p w14:paraId="4B4F69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i w:val="0"/>
          <w:color w:val="auto"/>
          <w:sz w:val="24"/>
          <w:lang w:val="en-US" w:eastAsia="zh-CN"/>
        </w:rPr>
      </w:pPr>
      <w:r>
        <w:rPr>
          <w:rFonts w:hint="eastAsia" w:ascii="宋体" w:hAnsi="宋体" w:eastAsia="宋体"/>
          <w:i w:val="0"/>
          <w:color w:val="auto"/>
          <w:sz w:val="24"/>
        </w:rPr>
        <w:t>1.树立正确的中国特色社会主义核心价值观，具有坚定的理想信念，高尚的道德情操，优良的学术作风，高度的社会责任感。</w:t>
      </w:r>
      <w:r>
        <w:rPr>
          <w:rFonts w:hint="eastAsia" w:ascii="宋体" w:hAnsi="宋体"/>
          <w:i w:val="0"/>
          <w:color w:val="auto"/>
          <w:sz w:val="24"/>
          <w:lang w:val="en-US" w:eastAsia="zh-CN"/>
        </w:rPr>
        <w:t>具有全球视野，家国情怀、法律意识、规则意识和创新意识。</w:t>
      </w:r>
    </w:p>
    <w:p w14:paraId="1B83A3B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i w:val="0"/>
          <w:color w:val="auto"/>
          <w:sz w:val="24"/>
        </w:rPr>
      </w:pPr>
      <w:r>
        <w:rPr>
          <w:rFonts w:hint="eastAsia" w:ascii="宋体" w:hAnsi="宋体"/>
          <w:color w:val="auto"/>
          <w:sz w:val="24"/>
        </w:rPr>
        <w:t>2．</w:t>
      </w:r>
      <w:r>
        <w:rPr>
          <w:rFonts w:hint="eastAsia" w:ascii="宋体" w:hAnsi="宋体" w:eastAsia="宋体"/>
          <w:i w:val="0"/>
          <w:color w:val="auto"/>
          <w:sz w:val="24"/>
        </w:rPr>
        <w:t>培养具有</w:t>
      </w:r>
      <w:r>
        <w:rPr>
          <w:rFonts w:hint="eastAsia" w:ascii="宋体" w:hAnsi="宋体"/>
          <w:color w:val="auto"/>
          <w:sz w:val="24"/>
        </w:rPr>
        <w:t>国际商务专业领域坚实的基础理论和系统的专门知识</w:t>
      </w:r>
      <w:r>
        <w:rPr>
          <w:rFonts w:hint="eastAsia" w:ascii="宋体" w:hAnsi="宋体"/>
          <w:color w:val="auto"/>
          <w:sz w:val="24"/>
          <w:lang w:eastAsia="zh-CN"/>
        </w:rPr>
        <w:t>、</w:t>
      </w:r>
      <w:r>
        <w:rPr>
          <w:rFonts w:hint="eastAsia" w:ascii="宋体" w:hAnsi="宋体" w:eastAsia="宋体"/>
          <w:i w:val="0"/>
          <w:color w:val="auto"/>
          <w:sz w:val="24"/>
        </w:rPr>
        <w:t>扎实的专业技能、突出的实践能力和优秀的综合素质的专业技能型人才</w:t>
      </w:r>
      <w:r>
        <w:rPr>
          <w:rFonts w:hint="eastAsia" w:ascii="宋体" w:hAnsi="宋体"/>
          <w:i w:val="0"/>
          <w:color w:val="auto"/>
          <w:sz w:val="24"/>
          <w:lang w:eastAsia="zh-CN"/>
        </w:rPr>
        <w:t>，</w:t>
      </w:r>
      <w:r>
        <w:rPr>
          <w:rFonts w:hint="eastAsia" w:ascii="宋体" w:hAnsi="宋体"/>
          <w:i w:val="0"/>
          <w:color w:val="auto"/>
          <w:sz w:val="24"/>
          <w:lang w:val="en-US" w:eastAsia="zh-CN"/>
        </w:rPr>
        <w:t>具有对复杂变化的国际商务环境的鉴别、分析能力，较强的国际商务分析与决策能力以及国际风险管控能力</w:t>
      </w:r>
      <w:r>
        <w:rPr>
          <w:rFonts w:hint="eastAsia" w:ascii="宋体" w:hAnsi="宋体" w:eastAsia="宋体"/>
          <w:i w:val="0"/>
          <w:color w:val="auto"/>
          <w:sz w:val="24"/>
        </w:rPr>
        <w:t>。</w:t>
      </w:r>
    </w:p>
    <w:p w14:paraId="369FF88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i w:val="0"/>
          <w:color w:val="auto"/>
          <w:sz w:val="24"/>
        </w:rPr>
      </w:pPr>
      <w:r>
        <w:rPr>
          <w:rFonts w:hint="eastAsia" w:ascii="宋体" w:hAnsi="宋体" w:eastAsia="宋体"/>
          <w:i w:val="0"/>
          <w:color w:val="auto"/>
          <w:sz w:val="24"/>
        </w:rPr>
        <w:t>3.至少掌握一门外国语，能熟练阅读专业外文资料，具有进行</w:t>
      </w:r>
      <w:r>
        <w:rPr>
          <w:rFonts w:hint="eastAsia" w:ascii="宋体" w:hAnsi="宋体"/>
          <w:i w:val="0"/>
          <w:color w:val="auto"/>
          <w:sz w:val="24"/>
          <w:lang w:val="en-US" w:eastAsia="zh-CN"/>
        </w:rPr>
        <w:t>跨文化</w:t>
      </w:r>
      <w:r>
        <w:rPr>
          <w:rFonts w:hint="eastAsia" w:ascii="宋体" w:hAnsi="宋体" w:eastAsia="宋体"/>
          <w:i w:val="0"/>
          <w:color w:val="auto"/>
          <w:sz w:val="24"/>
        </w:rPr>
        <w:t>交流的能力。</w:t>
      </w:r>
    </w:p>
    <w:p w14:paraId="15A8F26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olor w:val="auto"/>
          <w:sz w:val="24"/>
          <w:lang w:val="en-US" w:eastAsia="zh-CN"/>
        </w:rPr>
      </w:pPr>
      <w:r>
        <w:rPr>
          <w:rFonts w:hint="eastAsia" w:ascii="宋体" w:hAnsi="宋体"/>
          <w:color w:val="auto"/>
          <w:sz w:val="24"/>
          <w:lang w:val="en-US" w:eastAsia="zh-CN"/>
        </w:rPr>
        <w:t>4.适应国家高水平对外开放的需要，</w:t>
      </w:r>
      <w:r>
        <w:rPr>
          <w:rFonts w:hint="eastAsia" w:ascii="宋体" w:hAnsi="宋体" w:eastAsia="宋体"/>
          <w:i w:val="0"/>
          <w:color w:val="auto"/>
          <w:sz w:val="24"/>
        </w:rPr>
        <w:t>具有良好的</w:t>
      </w:r>
      <w:r>
        <w:rPr>
          <w:rFonts w:hint="eastAsia" w:ascii="宋体" w:hAnsi="宋体"/>
          <w:i w:val="0"/>
          <w:color w:val="auto"/>
          <w:sz w:val="24"/>
          <w:lang w:val="en-US" w:eastAsia="zh-CN"/>
        </w:rPr>
        <w:t>职业素养和</w:t>
      </w:r>
      <w:r>
        <w:rPr>
          <w:rFonts w:hint="eastAsia" w:ascii="宋体" w:hAnsi="宋体" w:eastAsia="宋体"/>
          <w:i w:val="0"/>
          <w:color w:val="auto"/>
          <w:sz w:val="24"/>
        </w:rPr>
        <w:t>团队</w:t>
      </w:r>
      <w:r>
        <w:rPr>
          <w:rFonts w:hint="eastAsia" w:ascii="宋体" w:hAnsi="宋体"/>
          <w:i w:val="0"/>
          <w:color w:val="auto"/>
          <w:sz w:val="24"/>
          <w:lang w:val="en-US" w:eastAsia="zh-CN"/>
        </w:rPr>
        <w:t>协</w:t>
      </w:r>
      <w:r>
        <w:rPr>
          <w:rFonts w:hint="eastAsia" w:ascii="宋体" w:hAnsi="宋体" w:eastAsia="宋体"/>
          <w:i w:val="0"/>
          <w:color w:val="auto"/>
          <w:sz w:val="24"/>
        </w:rPr>
        <w:t>作</w:t>
      </w:r>
      <w:r>
        <w:rPr>
          <w:rFonts w:hint="eastAsia" w:ascii="宋体" w:hAnsi="宋体"/>
          <w:i w:val="0"/>
          <w:color w:val="auto"/>
          <w:sz w:val="24"/>
          <w:lang w:val="en-US" w:eastAsia="zh-CN"/>
        </w:rPr>
        <w:t>能力</w:t>
      </w:r>
      <w:r>
        <w:rPr>
          <w:rFonts w:hint="eastAsia" w:ascii="宋体" w:hAnsi="宋体"/>
          <w:i w:val="0"/>
          <w:color w:val="auto"/>
          <w:sz w:val="24"/>
          <w:lang w:eastAsia="zh-CN"/>
        </w:rPr>
        <w:t>，</w:t>
      </w:r>
      <w:r>
        <w:rPr>
          <w:rFonts w:hint="eastAsia" w:ascii="宋体" w:hAnsi="宋体"/>
          <w:i w:val="0"/>
          <w:color w:val="auto"/>
          <w:sz w:val="24"/>
          <w:lang w:val="en-US" w:eastAsia="zh-CN"/>
        </w:rPr>
        <w:t>能够综合运用专业知识分析和解决国际商务实际问题。</w:t>
      </w:r>
    </w:p>
    <w:p w14:paraId="554B687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i w:val="0"/>
          <w:color w:val="auto"/>
          <w:sz w:val="24"/>
        </w:rPr>
      </w:pPr>
      <w:r>
        <w:rPr>
          <w:rFonts w:hint="eastAsia" w:ascii="宋体" w:hAnsi="宋体" w:eastAsia="宋体"/>
          <w:i w:val="0"/>
          <w:color w:val="auto"/>
          <w:sz w:val="24"/>
        </w:rPr>
        <w:t>5.</w:t>
      </w:r>
      <w:r>
        <w:rPr>
          <w:rFonts w:hint="eastAsia" w:ascii="宋体" w:hAnsi="宋体"/>
          <w:color w:val="auto"/>
          <w:sz w:val="24"/>
        </w:rPr>
        <w:t>要注重</w:t>
      </w:r>
      <w:r>
        <w:rPr>
          <w:rFonts w:hint="eastAsia" w:ascii="宋体" w:hAnsi="宋体"/>
          <w:color w:val="auto"/>
          <w:sz w:val="24"/>
          <w:lang w:eastAsia="zh-CN"/>
        </w:rPr>
        <w:t>加强</w:t>
      </w:r>
      <w:r>
        <w:rPr>
          <w:rFonts w:hint="eastAsia" w:ascii="宋体" w:hAnsi="宋体"/>
          <w:color w:val="auto"/>
          <w:sz w:val="24"/>
        </w:rPr>
        <w:t>自身身体素质和心理素质的提高和完善，</w:t>
      </w:r>
      <w:r>
        <w:rPr>
          <w:rFonts w:hint="eastAsia" w:ascii="宋体" w:hAnsi="宋体" w:eastAsia="宋体"/>
          <w:i w:val="0"/>
          <w:color w:val="auto"/>
          <w:sz w:val="24"/>
        </w:rPr>
        <w:t>具有健康的身体和良好的心理素质。</w:t>
      </w:r>
    </w:p>
    <w:p w14:paraId="4DD45A6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b/>
          <w:color w:val="auto"/>
          <w:sz w:val="28"/>
          <w:szCs w:val="28"/>
        </w:rPr>
      </w:pPr>
      <w:r>
        <w:rPr>
          <w:rFonts w:hint="eastAsia" w:ascii="宋体" w:hAnsi="宋体" w:eastAsia="宋体"/>
          <w:i w:val="0"/>
          <w:color w:val="auto"/>
          <w:sz w:val="24"/>
        </w:rPr>
        <w:t>6.培养德智体美劳全面发展的社会主义事业接班人。</w:t>
      </w:r>
    </w:p>
    <w:p w14:paraId="63A0DD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hint="eastAsia" w:ascii="黑体" w:hAnsi="黑体" w:eastAsia="黑体" w:cs="黑体"/>
          <w:b w:val="0"/>
          <w:bCs/>
          <w:sz w:val="28"/>
          <w:szCs w:val="28"/>
          <w:lang w:val="en-US" w:eastAsia="zh-CN"/>
        </w:rPr>
      </w:pPr>
      <w:r>
        <w:rPr>
          <w:rFonts w:hint="eastAsia" w:ascii="黑体" w:hAnsi="黑体" w:eastAsia="黑体" w:cs="黑体"/>
          <w:b w:val="0"/>
          <w:bCs/>
          <w:color w:val="auto"/>
          <w:sz w:val="28"/>
          <w:szCs w:val="28"/>
          <w:lang w:val="en-US" w:eastAsia="zh-CN"/>
        </w:rPr>
        <w:t>六、培养方式</w:t>
      </w:r>
      <w:r>
        <w:rPr>
          <w:rFonts w:hint="eastAsia" w:ascii="黑体" w:hAnsi="黑体" w:eastAsia="黑体" w:cs="黑体"/>
          <w:b w:val="0"/>
          <w:bCs/>
          <w:sz w:val="28"/>
          <w:szCs w:val="28"/>
          <w:lang w:val="en-US" w:eastAsia="zh-CN"/>
        </w:rPr>
        <w:t xml:space="preserve">   </w:t>
      </w:r>
    </w:p>
    <w:p w14:paraId="19F9932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i w:val="0"/>
          <w:color w:val="auto"/>
          <w:sz w:val="24"/>
          <w:lang w:val="en-US" w:eastAsia="zh-CN"/>
        </w:rPr>
      </w:pPr>
      <w:r>
        <w:rPr>
          <w:rFonts w:hint="eastAsia" w:ascii="宋体" w:hAnsi="宋体" w:eastAsia="宋体"/>
          <w:i w:val="0"/>
          <w:color w:val="auto"/>
          <w:sz w:val="24"/>
          <w:lang w:val="en-US" w:eastAsia="zh-CN"/>
        </w:rPr>
        <w:t>1.</w:t>
      </w:r>
      <w:r>
        <w:rPr>
          <w:rFonts w:hint="eastAsia" w:ascii="宋体" w:hAnsi="宋体"/>
          <w:i w:val="0"/>
          <w:color w:val="auto"/>
          <w:sz w:val="24"/>
          <w:lang w:val="en-US" w:eastAsia="zh-CN"/>
        </w:rPr>
        <w:t>在课程学习等全过程培养环节，</w:t>
      </w:r>
      <w:r>
        <w:rPr>
          <w:rFonts w:hint="eastAsia" w:ascii="宋体" w:hAnsi="宋体" w:eastAsia="宋体"/>
          <w:i w:val="0"/>
          <w:color w:val="auto"/>
          <w:sz w:val="24"/>
          <w:lang w:val="en-US" w:eastAsia="zh-CN"/>
        </w:rPr>
        <w:t>加强</w:t>
      </w:r>
      <w:r>
        <w:rPr>
          <w:rFonts w:hint="eastAsia" w:ascii="宋体" w:hAnsi="宋体"/>
          <w:i w:val="0"/>
          <w:color w:val="auto"/>
          <w:sz w:val="24"/>
          <w:lang w:val="en-US" w:eastAsia="zh-CN"/>
        </w:rPr>
        <w:t>思想政治素质和职业道德的培养。</w:t>
      </w:r>
    </w:p>
    <w:p w14:paraId="2024ACB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Times New Roman"/>
          <w:color w:val="auto"/>
          <w:sz w:val="24"/>
          <w:lang w:val="en-US" w:eastAsia="zh-CN"/>
        </w:rPr>
      </w:pPr>
      <w:r>
        <w:rPr>
          <w:rFonts w:hint="eastAsia" w:ascii="宋体" w:hAnsi="宋体"/>
          <w:i w:val="0"/>
          <w:color w:val="auto"/>
          <w:sz w:val="24"/>
          <w:lang w:val="en-US" w:eastAsia="zh-CN"/>
        </w:rPr>
        <w:t>2</w:t>
      </w:r>
      <w:r>
        <w:rPr>
          <w:rFonts w:hint="eastAsia" w:ascii="宋体" w:hAnsi="宋体" w:eastAsia="宋体"/>
          <w:i w:val="0"/>
          <w:color w:val="auto"/>
          <w:sz w:val="24"/>
          <w:lang w:val="en-US" w:eastAsia="zh-CN"/>
        </w:rPr>
        <w:t>.采用启发式和研</w:t>
      </w:r>
      <w:r>
        <w:rPr>
          <w:rFonts w:hint="eastAsia" w:ascii="宋体" w:hAnsi="宋体" w:cs="Times New Roman"/>
          <w:color w:val="auto"/>
          <w:sz w:val="24"/>
          <w:lang w:val="en-US" w:eastAsia="zh-CN"/>
        </w:rPr>
        <w:t>讨式教学方法。注重理论联系实际,将课堂讲授、研讨、案例教学、社会实践等多种形式有机结合，培养学生的思维能力及分析问题和解决问题的能力。加强校企合作，聘请实际部门的实践型专家讲课或开设讲座。</w:t>
      </w:r>
    </w:p>
    <w:p w14:paraId="58B4A07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Times New Roman"/>
          <w:color w:val="auto"/>
          <w:sz w:val="24"/>
          <w:lang w:val="en-US" w:eastAsia="zh-CN"/>
        </w:rPr>
      </w:pPr>
      <w:r>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t>3.实行导师负责制。导师是研究生培养的第一责任人，对研究生培养全过程进行全方位针对性指导，注重研究生思想政治素养、创新能力和实践能力的培养，满足其对进一步升学深造的需求。指导研究生制定个性化的培养计划，指导研究生开展文献阅读、学术活动例会等。</w:t>
      </w:r>
    </w:p>
    <w:p w14:paraId="0CAB4EC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Times New Roman"/>
          <w:color w:val="auto"/>
          <w:sz w:val="24"/>
          <w:lang w:val="en-US" w:eastAsia="zh-CN"/>
        </w:rPr>
      </w:pPr>
      <w:r>
        <w:rPr>
          <w:rFonts w:hint="eastAsia" w:ascii="宋体" w:hAnsi="宋体" w:cs="Times New Roman"/>
          <w:color w:val="auto"/>
          <w:sz w:val="24"/>
          <w:lang w:val="en-US" w:eastAsia="zh-CN"/>
        </w:rPr>
        <w:t>4.实行校内外相结合的双导师制。以校内导师指导为主，校外导师参与实践过程、项目研究、课程与论文指导等多个环节的指导工作。吸收本学科领域的专家、学者和实践领域有丰富经验的专业人员，共同承担专业学位研究生的培养工作。</w:t>
      </w:r>
    </w:p>
    <w:p w14:paraId="70B2550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Times New Roman"/>
          <w:color w:val="auto"/>
          <w:sz w:val="24"/>
          <w:lang w:val="en-US" w:eastAsia="zh-CN"/>
        </w:rPr>
      </w:pPr>
      <w:r>
        <w:rPr>
          <w:rFonts w:hint="eastAsia" w:ascii="宋体" w:hAnsi="宋体" w:cs="Times New Roman"/>
          <w:color w:val="auto"/>
          <w:sz w:val="24"/>
          <w:lang w:val="en-US" w:eastAsia="zh-CN"/>
        </w:rPr>
        <w:t>5.加强实践环节，建立实习实践基地。</w:t>
      </w:r>
    </w:p>
    <w:p w14:paraId="7ED6E34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cs="Times New Roman"/>
          <w:color w:val="auto"/>
          <w:sz w:val="24"/>
          <w:lang w:val="en-US" w:eastAsia="zh-CN"/>
        </w:rPr>
      </w:pPr>
      <w:r>
        <w:rPr>
          <w:rFonts w:hint="eastAsia" w:ascii="宋体" w:hAnsi="宋体" w:cs="Times New Roman"/>
          <w:color w:val="auto"/>
          <w:sz w:val="24"/>
          <w:lang w:val="en-US" w:eastAsia="zh-CN"/>
        </w:rPr>
        <w:t>6.采取学分制。完成全部培养计划需要修满36个学分。其中，课程学习30个学分、国际商务实践环节2学分、学位论文4学分。</w:t>
      </w:r>
    </w:p>
    <w:p w14:paraId="629CEA81">
      <w:pPr>
        <w:keepNext w:val="0"/>
        <w:keepLines w:val="0"/>
        <w:pageBreakBefore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hint="eastAsia" w:ascii="黑体" w:hAnsi="黑体" w:eastAsia="黑体" w:cs="黑体"/>
          <w:b w:val="0"/>
          <w:bCs/>
          <w:sz w:val="28"/>
          <w:szCs w:val="28"/>
        </w:rPr>
      </w:pPr>
      <w:r>
        <w:rPr>
          <w:rFonts w:hint="eastAsia" w:ascii="黑体" w:hAnsi="黑体" w:eastAsia="黑体" w:cs="黑体"/>
          <w:b w:val="0"/>
          <w:bCs/>
          <w:sz w:val="28"/>
          <w:szCs w:val="28"/>
          <w:lang w:val="en-US" w:eastAsia="zh-CN"/>
        </w:rPr>
        <w:t>七、</w:t>
      </w:r>
      <w:r>
        <w:rPr>
          <w:rFonts w:hint="eastAsia" w:ascii="黑体" w:hAnsi="黑体" w:eastAsia="黑体" w:cs="黑体"/>
          <w:b w:val="0"/>
          <w:bCs/>
          <w:sz w:val="28"/>
          <w:szCs w:val="28"/>
        </w:rPr>
        <w:t>中期筛选</w:t>
      </w:r>
      <w:bookmarkStart w:id="0" w:name="_Toc59002625"/>
    </w:p>
    <w:p w14:paraId="33029630">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w:t>
      </w:r>
      <w:r>
        <w:rPr>
          <w:rFonts w:hint="eastAsia" w:eastAsiaTheme="minorEastAsia"/>
          <w:bCs/>
          <w:sz w:val="24"/>
          <w:lang w:val="en-US" w:eastAsia="zh-CN"/>
        </w:rPr>
        <w:t>在入学后第3学期末</w:t>
      </w:r>
      <w:r>
        <w:rPr>
          <w:rFonts w:eastAsiaTheme="minorEastAsia"/>
          <w:bCs/>
          <w:sz w:val="24"/>
        </w:rPr>
        <w:t>组织开展中期筛选工作。</w:t>
      </w:r>
      <w:bookmarkEnd w:id="0"/>
    </w:p>
    <w:p w14:paraId="40812D1C">
      <w:pPr>
        <w:keepNext w:val="0"/>
        <w:keepLines w:val="0"/>
        <w:pageBreakBefore w:val="0"/>
        <w:widowControl/>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黑体" w:hAnsi="黑体" w:eastAsia="黑体" w:cs="黑体"/>
          <w:bCs/>
          <w:sz w:val="28"/>
          <w:szCs w:val="28"/>
        </w:rPr>
      </w:pPr>
      <w:r>
        <w:rPr>
          <w:rFonts w:hint="eastAsia" w:ascii="黑体" w:hAnsi="黑体" w:eastAsia="黑体" w:cs="黑体"/>
          <w:b w:val="0"/>
          <w:bCs/>
          <w:sz w:val="28"/>
          <w:szCs w:val="28"/>
          <w:lang w:val="en-US" w:eastAsia="zh-CN"/>
        </w:rPr>
        <w:t>学位（毕业）</w:t>
      </w:r>
      <w:r>
        <w:rPr>
          <w:rFonts w:hint="eastAsia" w:ascii="黑体" w:hAnsi="黑体" w:eastAsia="黑体" w:cs="黑体"/>
          <w:b w:val="0"/>
          <w:bCs/>
          <w:sz w:val="28"/>
          <w:szCs w:val="28"/>
        </w:rPr>
        <w:t>论文</w:t>
      </w:r>
    </w:p>
    <w:p w14:paraId="1EC72BF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i w:val="0"/>
          <w:color w:val="auto"/>
          <w:sz w:val="24"/>
        </w:rPr>
      </w:pPr>
      <w:r>
        <w:rPr>
          <w:rFonts w:hint="eastAsia"/>
          <w:i w:val="0"/>
          <w:color w:val="auto"/>
          <w:sz w:val="24"/>
          <w:lang w:val="en-US" w:eastAsia="zh-CN"/>
        </w:rPr>
        <w:t>学生应</w:t>
      </w:r>
      <w:r>
        <w:rPr>
          <w:rFonts w:hint="eastAsia" w:ascii="Times New Roman" w:hAnsi="Times New Roman" w:eastAsia="宋体"/>
          <w:i w:val="0"/>
          <w:color w:val="auto"/>
          <w:sz w:val="24"/>
        </w:rPr>
        <w:t>在导师指导下</w:t>
      </w:r>
      <w:r>
        <w:rPr>
          <w:rFonts w:hint="eastAsia"/>
          <w:i w:val="0"/>
          <w:color w:val="auto"/>
          <w:sz w:val="24"/>
          <w:lang w:eastAsia="zh-CN"/>
        </w:rPr>
        <w:t>，</w:t>
      </w:r>
      <w:r>
        <w:rPr>
          <w:rFonts w:hint="eastAsia" w:ascii="Times New Roman" w:hAnsi="Times New Roman" w:eastAsia="宋体"/>
          <w:i w:val="0"/>
          <w:color w:val="auto"/>
          <w:sz w:val="24"/>
        </w:rPr>
        <w:t>独立完成学位（毕业）论文。学位（毕业）论文应着眼于解决实际问题，重在反映学生运用所学理论与知识综合解决实践问题的能力。论文形式可以是案例分析、调研报告、</w:t>
      </w:r>
      <w:r>
        <w:rPr>
          <w:rFonts w:hint="eastAsia"/>
          <w:i w:val="0"/>
          <w:color w:val="auto"/>
          <w:sz w:val="24"/>
          <w:lang w:val="en-US" w:eastAsia="zh-CN"/>
        </w:rPr>
        <w:t>专题研究</w:t>
      </w:r>
      <w:r>
        <w:rPr>
          <w:rFonts w:hint="eastAsia" w:ascii="Times New Roman" w:hAnsi="Times New Roman" w:eastAsia="宋体"/>
          <w:i w:val="0"/>
          <w:color w:val="auto"/>
          <w:sz w:val="24"/>
        </w:rPr>
        <w:t>等。</w:t>
      </w:r>
      <w:r>
        <w:rPr>
          <w:rFonts w:hint="eastAsia"/>
          <w:i w:val="0"/>
          <w:color w:val="auto"/>
          <w:sz w:val="24"/>
          <w:lang w:val="en-US" w:eastAsia="zh-CN"/>
        </w:rPr>
        <w:t>取得4个学分。</w:t>
      </w:r>
    </w:p>
    <w:p w14:paraId="46BB54EA">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i w:val="0"/>
          <w:color w:val="auto"/>
          <w:sz w:val="24"/>
        </w:rPr>
      </w:pPr>
      <w:r>
        <w:rPr>
          <w:rFonts w:hint="eastAsia" w:ascii="Times New Roman" w:hAnsi="Times New Roman" w:eastAsia="宋体" w:cs="Times New Roman"/>
          <w:i w:val="0"/>
          <w:color w:val="auto"/>
          <w:sz w:val="24"/>
        </w:rPr>
        <w:t>总体要求：按照《河北大学关于开展2025版研究生培养方案修订工作的指导意见》（校政字〔2025〕9号）规定，硕士研究生论文开题与答辩时间间隔原则上不少于12个月。</w:t>
      </w:r>
      <w:r>
        <w:rPr>
          <w:rFonts w:hint="eastAsia" w:cs="Times New Roman"/>
          <w:i w:val="0"/>
          <w:color w:val="auto"/>
          <w:sz w:val="24"/>
          <w:lang w:val="en-US" w:eastAsia="zh-CN"/>
        </w:rPr>
        <w:t>学位</w:t>
      </w:r>
      <w:r>
        <w:rPr>
          <w:rFonts w:hint="eastAsia" w:ascii="Times New Roman" w:hAnsi="Times New Roman" w:eastAsia="宋体" w:cs="Times New Roman"/>
          <w:i w:val="0"/>
          <w:color w:val="auto"/>
          <w:sz w:val="24"/>
        </w:rPr>
        <w:t>论文选题</w:t>
      </w:r>
      <w:r>
        <w:rPr>
          <w:rFonts w:hint="eastAsia" w:cs="Times New Roman"/>
          <w:i w:val="0"/>
          <w:color w:val="auto"/>
          <w:sz w:val="24"/>
          <w:lang w:val="en-US" w:eastAsia="zh-CN"/>
        </w:rPr>
        <w:t>应体现前瞻性和时代感</w:t>
      </w:r>
      <w:r>
        <w:rPr>
          <w:rFonts w:hint="eastAsia" w:ascii="Times New Roman" w:hAnsi="Times New Roman" w:eastAsia="宋体" w:cs="Times New Roman"/>
          <w:i w:val="0"/>
          <w:color w:val="auto"/>
          <w:sz w:val="24"/>
        </w:rPr>
        <w:t>，</w:t>
      </w:r>
      <w:r>
        <w:rPr>
          <w:rFonts w:hint="eastAsia" w:cs="Times New Roman"/>
          <w:i w:val="0"/>
          <w:color w:val="auto"/>
          <w:sz w:val="24"/>
          <w:lang w:val="en-US" w:eastAsia="zh-CN"/>
        </w:rPr>
        <w:t>评价</w:t>
      </w:r>
      <w:r>
        <w:rPr>
          <w:rFonts w:hint="eastAsia" w:ascii="Times New Roman" w:hAnsi="Times New Roman" w:eastAsia="宋体" w:cs="Times New Roman"/>
          <w:i w:val="0"/>
          <w:color w:val="auto"/>
          <w:sz w:val="24"/>
        </w:rPr>
        <w:t>论文</w:t>
      </w:r>
      <w:r>
        <w:rPr>
          <w:rFonts w:hint="eastAsia" w:cs="Times New Roman"/>
          <w:i w:val="0"/>
          <w:color w:val="auto"/>
          <w:sz w:val="24"/>
          <w:lang w:val="en-US" w:eastAsia="zh-CN"/>
        </w:rPr>
        <w:t>水平主要考核其综合运用所学</w:t>
      </w:r>
      <w:r>
        <w:rPr>
          <w:rFonts w:hint="eastAsia" w:ascii="Times New Roman" w:hAnsi="Times New Roman" w:eastAsia="宋体" w:cs="Times New Roman"/>
          <w:i w:val="0"/>
          <w:color w:val="auto"/>
          <w:sz w:val="24"/>
        </w:rPr>
        <w:t>国际商务理论知识和方法</w:t>
      </w:r>
      <w:r>
        <w:rPr>
          <w:rFonts w:hint="eastAsia" w:cs="Times New Roman"/>
          <w:i w:val="0"/>
          <w:color w:val="auto"/>
          <w:sz w:val="24"/>
          <w:lang w:eastAsia="zh-CN"/>
        </w:rPr>
        <w:t>，</w:t>
      </w:r>
      <w:r>
        <w:rPr>
          <w:rFonts w:hint="eastAsia" w:ascii="Times New Roman" w:hAnsi="Times New Roman" w:eastAsia="宋体" w:cs="Times New Roman"/>
          <w:i w:val="0"/>
          <w:color w:val="auto"/>
          <w:sz w:val="24"/>
        </w:rPr>
        <w:t>解决实际问题的能力</w:t>
      </w:r>
      <w:r>
        <w:rPr>
          <w:rFonts w:hint="eastAsia" w:cs="Times New Roman"/>
          <w:i w:val="0"/>
          <w:color w:val="auto"/>
          <w:sz w:val="24"/>
          <w:lang w:eastAsia="zh-CN"/>
        </w:rPr>
        <w:t>，</w:t>
      </w:r>
      <w:r>
        <w:rPr>
          <w:rFonts w:hint="eastAsia" w:cs="Times New Roman"/>
          <w:i w:val="0"/>
          <w:color w:val="auto"/>
          <w:sz w:val="24"/>
          <w:lang w:val="en-US" w:eastAsia="zh-CN"/>
        </w:rPr>
        <w:t>以及是否有创新</w:t>
      </w:r>
      <w:r>
        <w:rPr>
          <w:rFonts w:hint="eastAsia" w:ascii="Times New Roman" w:hAnsi="Times New Roman" w:eastAsia="宋体" w:cs="Times New Roman"/>
          <w:i w:val="0"/>
          <w:color w:val="auto"/>
          <w:sz w:val="24"/>
        </w:rPr>
        <w:t>，</w:t>
      </w:r>
      <w:r>
        <w:rPr>
          <w:rFonts w:hint="eastAsia" w:cs="Times New Roman"/>
          <w:i w:val="0"/>
          <w:color w:val="auto"/>
          <w:sz w:val="24"/>
          <w:lang w:val="en-US" w:eastAsia="zh-CN"/>
        </w:rPr>
        <w:t>是否有</w:t>
      </w:r>
      <w:r>
        <w:rPr>
          <w:rFonts w:hint="eastAsia" w:ascii="Times New Roman" w:hAnsi="Times New Roman" w:eastAsia="宋体" w:cs="Times New Roman"/>
          <w:i w:val="0"/>
          <w:color w:val="auto"/>
          <w:sz w:val="24"/>
        </w:rPr>
        <w:t>实践价值。</w:t>
      </w:r>
    </w:p>
    <w:p w14:paraId="3E8DC32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i w:val="0"/>
          <w:color w:val="auto"/>
          <w:sz w:val="24"/>
          <w:lang w:val="en-US"/>
        </w:rPr>
      </w:pPr>
      <w:r>
        <w:rPr>
          <w:rFonts w:hint="eastAsia" w:cs="Times New Roman"/>
          <w:i w:val="0"/>
          <w:color w:val="auto"/>
          <w:sz w:val="24"/>
          <w:lang w:val="en-US" w:eastAsia="zh-CN"/>
        </w:rPr>
        <w:t>学位论文可以用中文或者外文撰写，中文论文的正文字数不少于2万字，外文则不少于1.5万词。</w:t>
      </w:r>
    </w:p>
    <w:p w14:paraId="0CD5AA6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rPr>
      </w:pPr>
      <w:r>
        <w:rPr>
          <w:rFonts w:hint="eastAsia" w:ascii="宋体" w:hAnsi="宋体" w:eastAsia="宋体" w:cs="宋体"/>
          <w:b w:val="0"/>
          <w:bCs/>
          <w:color w:val="222222"/>
          <w:kern w:val="0"/>
          <w:sz w:val="24"/>
          <w:szCs w:val="24"/>
          <w:lang w:val="en-US" w:eastAsia="zh-CN"/>
        </w:rPr>
        <w:t>2.开题</w:t>
      </w:r>
      <w:r>
        <w:rPr>
          <w:bCs/>
          <w:color w:val="222222"/>
          <w:kern w:val="0"/>
          <w:sz w:val="24"/>
        </w:rPr>
        <w:t>：</w:t>
      </w:r>
      <w:r>
        <w:rPr>
          <w:rFonts w:hint="default" w:ascii="Times New Roman" w:hAnsi="Times New Roman" w:cs="Times New Roman"/>
          <w:sz w:val="24"/>
          <w:lang w:val="en-US" w:eastAsia="zh-CN"/>
        </w:rPr>
        <w:t>此项工作</w:t>
      </w:r>
      <w:r>
        <w:rPr>
          <w:rFonts w:hint="default" w:ascii="Times New Roman" w:hAnsi="Times New Roman" w:cs="Times New Roman"/>
          <w:sz w:val="24"/>
        </w:rPr>
        <w:t>是研究生培养过程中开展学位（毕业）论文工作的首要环节，要求研究生</w:t>
      </w:r>
      <w:r>
        <w:rPr>
          <w:rFonts w:hint="default" w:ascii="Times New Roman" w:hAnsi="Times New Roman" w:cs="Times New Roman"/>
          <w:sz w:val="24"/>
          <w:lang w:val="en-US" w:eastAsia="zh-CN"/>
        </w:rPr>
        <w:t>在导师指导下在第3学期确定选题，</w:t>
      </w:r>
      <w:r>
        <w:rPr>
          <w:rFonts w:hint="default" w:ascii="Times New Roman" w:hAnsi="Times New Roman" w:cs="Times New Roman"/>
          <w:sz w:val="24"/>
        </w:rPr>
        <w:t>充分阅读国内外相关文献，</w:t>
      </w:r>
      <w:r>
        <w:rPr>
          <w:rFonts w:hint="default" w:ascii="Times New Roman" w:hAnsi="Times New Roman" w:cs="Times New Roman"/>
          <w:sz w:val="24"/>
          <w:lang w:val="en-US" w:eastAsia="zh-CN"/>
        </w:rPr>
        <w:t>在第4学期内</w:t>
      </w:r>
      <w:r>
        <w:rPr>
          <w:rFonts w:hint="default" w:ascii="Times New Roman" w:hAnsi="Times New Roman" w:cs="Times New Roman"/>
          <w:sz w:val="24"/>
        </w:rPr>
        <w:t>撰写开题报告。开题报告应包含论文选题依据、文献综述、研究</w:t>
      </w:r>
      <w:r>
        <w:rPr>
          <w:rFonts w:hint="default" w:ascii="Times New Roman" w:hAnsi="Times New Roman" w:cs="Times New Roman"/>
          <w:sz w:val="24"/>
          <w:lang w:val="en-US" w:eastAsia="zh-CN"/>
        </w:rPr>
        <w:t>框架和主要研究内容</w:t>
      </w:r>
      <w:r>
        <w:rPr>
          <w:rFonts w:hint="default" w:ascii="Times New Roman" w:hAnsi="Times New Roman" w:cs="Times New Roman"/>
          <w:sz w:val="24"/>
        </w:rPr>
        <w:t>、</w:t>
      </w:r>
      <w:r>
        <w:rPr>
          <w:rFonts w:hint="default" w:ascii="Times New Roman" w:hAnsi="Times New Roman" w:cs="Times New Roman"/>
          <w:sz w:val="24"/>
          <w:lang w:val="en-US" w:eastAsia="zh-CN"/>
        </w:rPr>
        <w:t>研究方法与创新点</w:t>
      </w:r>
      <w:r>
        <w:rPr>
          <w:rFonts w:hint="default" w:ascii="Times New Roman" w:hAnsi="Times New Roman" w:cs="Times New Roman"/>
          <w:sz w:val="24"/>
        </w:rPr>
        <w:t>、</w:t>
      </w:r>
      <w:r>
        <w:rPr>
          <w:rFonts w:hint="default" w:ascii="Times New Roman" w:hAnsi="Times New Roman" w:cs="Times New Roman"/>
          <w:sz w:val="24"/>
          <w:lang w:val="en-US" w:eastAsia="zh-CN"/>
        </w:rPr>
        <w:t>研究</w:t>
      </w:r>
      <w:r>
        <w:rPr>
          <w:rFonts w:hint="default" w:ascii="Times New Roman" w:hAnsi="Times New Roman" w:cs="Times New Roman"/>
          <w:sz w:val="24"/>
        </w:rPr>
        <w:t>计划等关键问题。</w:t>
      </w:r>
      <w:r>
        <w:rPr>
          <w:rFonts w:hint="default" w:ascii="Times New Roman" w:hAnsi="Times New Roman" w:cs="Times New Roman"/>
          <w:sz w:val="24"/>
          <w:lang w:val="en-US" w:eastAsia="zh-CN"/>
        </w:rPr>
        <w:t>本学位点确定</w:t>
      </w:r>
      <w:r>
        <w:rPr>
          <w:rFonts w:hint="default" w:ascii="Times New Roman" w:hAnsi="Times New Roman" w:cs="Times New Roman"/>
          <w:sz w:val="24"/>
        </w:rPr>
        <w:t>在入学后第</w:t>
      </w:r>
      <w:r>
        <w:rPr>
          <w:rFonts w:hint="default" w:ascii="Times New Roman" w:hAnsi="Times New Roman" w:cs="Times New Roman"/>
          <w:sz w:val="24"/>
          <w:lang w:eastAsia="zh-CN"/>
        </w:rPr>
        <w:t>4</w:t>
      </w:r>
      <w:r>
        <w:rPr>
          <w:rFonts w:hint="default" w:ascii="Times New Roman" w:hAnsi="Times New Roman" w:cs="Times New Roman"/>
          <w:sz w:val="24"/>
        </w:rPr>
        <w:t>学期</w:t>
      </w:r>
      <w:r>
        <w:rPr>
          <w:rFonts w:hint="default" w:ascii="Times New Roman" w:hAnsi="Times New Roman" w:cs="Times New Roman"/>
          <w:sz w:val="24"/>
          <w:lang w:val="en-US" w:eastAsia="zh-CN"/>
        </w:rPr>
        <w:t>末</w:t>
      </w:r>
      <w:r>
        <w:rPr>
          <w:rFonts w:hint="default" w:ascii="Times New Roman" w:hAnsi="Times New Roman" w:cs="Times New Roman"/>
          <w:sz w:val="24"/>
        </w:rPr>
        <w:t>完成开题。开题由3-5名具有高级专业技术职务</w:t>
      </w:r>
      <w:r>
        <w:rPr>
          <w:rFonts w:hint="default" w:ascii="Times New Roman" w:hAnsi="Times New Roman" w:cs="Times New Roman"/>
          <w:sz w:val="24"/>
          <w:lang w:eastAsia="zh-CN"/>
        </w:rPr>
        <w:t>的人</w:t>
      </w:r>
      <w:r>
        <w:rPr>
          <w:rFonts w:hint="default" w:ascii="Times New Roman" w:hAnsi="Times New Roman" w:cs="Times New Roman"/>
          <w:sz w:val="24"/>
        </w:rPr>
        <w:t>员参加，以学术报告的方式进行。</w:t>
      </w:r>
    </w:p>
    <w:p w14:paraId="2DE9C9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lang w:val="en-US" w:eastAsia="zh-CN"/>
        </w:rPr>
      </w:pPr>
      <w:r>
        <w:rPr>
          <w:rFonts w:hint="default" w:ascii="Times New Roman" w:hAnsi="Times New Roman" w:cs="Times New Roman"/>
          <w:sz w:val="24"/>
          <w:lang w:val="en-US" w:eastAsia="zh-CN"/>
        </w:rPr>
        <w:t>3.中期进展报告：主要</w:t>
      </w:r>
      <w:r>
        <w:rPr>
          <w:rFonts w:hint="default" w:ascii="Times New Roman" w:hAnsi="Times New Roman" w:cs="Times New Roman"/>
          <w:sz w:val="24"/>
        </w:rPr>
        <w:t>检查研究生个人综合能力及学位论文进展、指导研究生把握学位（毕业）论文方向、提高学位（毕业）论文质量的必要环节。中期进展</w:t>
      </w:r>
      <w:r>
        <w:rPr>
          <w:rFonts w:hint="default" w:ascii="Times New Roman" w:hAnsi="Times New Roman" w:cs="Times New Roman"/>
          <w:sz w:val="24"/>
          <w:lang w:val="en-US" w:eastAsia="zh-CN"/>
        </w:rPr>
        <w:t>情况报告</w:t>
      </w:r>
      <w:r>
        <w:rPr>
          <w:rFonts w:hint="default" w:ascii="Times New Roman" w:hAnsi="Times New Roman" w:cs="Times New Roman"/>
          <w:sz w:val="24"/>
        </w:rPr>
        <w:t>在入学后第5学期进行。</w:t>
      </w:r>
    </w:p>
    <w:p w14:paraId="6D1C25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lang w:val="en-US" w:eastAsia="zh-CN"/>
        </w:rPr>
      </w:pPr>
      <w:r>
        <w:rPr>
          <w:rFonts w:hint="default" w:ascii="Times New Roman" w:hAnsi="Times New Roman" w:cs="Times New Roman"/>
          <w:sz w:val="24"/>
          <w:lang w:val="en-US" w:eastAsia="zh-CN"/>
        </w:rPr>
        <w:t>4.学位申请</w:t>
      </w:r>
      <w:r>
        <w:rPr>
          <w:rFonts w:hint="default" w:ascii="Times New Roman" w:hAnsi="Times New Roman" w:cs="Times New Roman"/>
          <w:sz w:val="24"/>
        </w:rPr>
        <w:t>：达到学位授予条件的申请人，经导师同意后，应于答辩前三个月，向所属学位评定分委员会提出学位申请，提交学位申请材料。</w:t>
      </w:r>
    </w:p>
    <w:p w14:paraId="51FC9C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lang w:val="en-US" w:eastAsia="zh-CN"/>
        </w:rPr>
      </w:pPr>
      <w:r>
        <w:rPr>
          <w:rFonts w:hint="default" w:ascii="Times New Roman" w:hAnsi="Times New Roman" w:cs="Times New Roman"/>
          <w:sz w:val="24"/>
          <w:lang w:val="en-US" w:eastAsia="zh-CN"/>
        </w:rPr>
        <w:t>5.预答辩</w:t>
      </w:r>
      <w:r>
        <w:rPr>
          <w:rFonts w:hint="default" w:ascii="Times New Roman" w:hAnsi="Times New Roman" w:cs="Times New Roman"/>
          <w:sz w:val="24"/>
        </w:rPr>
        <w:t>：学位申请人须进行学位论文预答辩。预答辩通过者，方可进入学位论文评阅、学位论文答辩等环节。学位（毕业）论文预答辩在正式答辩前3个月进行。</w:t>
      </w:r>
    </w:p>
    <w:p w14:paraId="40FF3EB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222222"/>
          <w:kern w:val="0"/>
          <w:sz w:val="24"/>
        </w:rPr>
      </w:pPr>
      <w:r>
        <w:rPr>
          <w:rFonts w:hint="default" w:ascii="Times New Roman" w:hAnsi="Times New Roman" w:cs="Times New Roman"/>
          <w:sz w:val="24"/>
          <w:lang w:val="en-US" w:eastAsia="zh-CN"/>
        </w:rPr>
        <w:t>6.论文评阅</w:t>
      </w:r>
      <w:r>
        <w:rPr>
          <w:rFonts w:hint="default" w:ascii="Times New Roman" w:hAnsi="Times New Roman" w:cs="Times New Roman"/>
          <w:sz w:val="24"/>
        </w:rPr>
        <w:t>：学位（毕业）论文在获得</w:t>
      </w:r>
      <w:r>
        <w:rPr>
          <w:rFonts w:hint="default" w:ascii="Times New Roman" w:hAnsi="Times New Roman" w:cs="Times New Roman"/>
          <w:sz w:val="24"/>
          <w:lang w:val="en-US" w:eastAsia="zh-CN"/>
        </w:rPr>
        <w:t>预答辩</w:t>
      </w:r>
      <w:r>
        <w:rPr>
          <w:rFonts w:hint="default" w:ascii="Times New Roman" w:hAnsi="Times New Roman" w:cs="Times New Roman"/>
          <w:sz w:val="24"/>
        </w:rPr>
        <w:t>导师组认可，经培养单位形式审查合格，通过预答辩</w:t>
      </w:r>
      <w:r>
        <w:rPr>
          <w:rFonts w:hint="default" w:ascii="Times New Roman" w:hAnsi="Times New Roman" w:cs="Times New Roman"/>
          <w:sz w:val="24"/>
          <w:lang w:val="en-US" w:eastAsia="zh-CN"/>
        </w:rPr>
        <w:t>后</w:t>
      </w:r>
      <w:r>
        <w:rPr>
          <w:rFonts w:hint="default" w:ascii="Times New Roman" w:hAnsi="Times New Roman" w:cs="Times New Roman"/>
          <w:sz w:val="24"/>
        </w:rPr>
        <w:t>，方可提出进入评阅程序的申请。论文评阅在正式答辩前40天由研究生提出，由培养单位依据相关规定进行匿名评审。</w:t>
      </w:r>
      <w:r>
        <w:rPr>
          <w:color w:val="222222"/>
          <w:kern w:val="0"/>
          <w:sz w:val="24"/>
        </w:rPr>
        <w:t>评阅结果及异议处理按照《河北大学研究生学位论文或者实践成果评审管理办法》（校政字〔2025〕8号）执行。</w:t>
      </w:r>
    </w:p>
    <w:p w14:paraId="2849537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Cs/>
          <w:sz w:val="24"/>
          <w:lang w:val="en-US" w:eastAsia="zh-CN"/>
        </w:rPr>
      </w:pPr>
      <w:r>
        <w:rPr>
          <w:rFonts w:hint="eastAsia" w:ascii="宋体" w:hAnsi="宋体" w:eastAsia="宋体" w:cs="宋体"/>
          <w:b w:val="0"/>
          <w:bCs/>
          <w:color w:val="222222"/>
          <w:kern w:val="0"/>
          <w:sz w:val="24"/>
          <w:szCs w:val="24"/>
          <w:lang w:val="en-US" w:eastAsia="zh-CN"/>
        </w:rPr>
        <w:t>7.答辩</w:t>
      </w:r>
      <w:r>
        <w:rPr>
          <w:b w:val="0"/>
          <w:bCs w:val="0"/>
          <w:color w:val="222222"/>
          <w:kern w:val="0"/>
          <w:sz w:val="24"/>
        </w:rPr>
        <w:t>：</w:t>
      </w:r>
      <w:r>
        <w:rPr>
          <w:bCs/>
          <w:color w:val="222222"/>
          <w:kern w:val="0"/>
          <w:sz w:val="24"/>
        </w:rPr>
        <w:t>学位（毕业）论文答辩按照</w:t>
      </w:r>
      <w:r>
        <w:rPr>
          <w:color w:val="222222"/>
          <w:kern w:val="0"/>
          <w:sz w:val="24"/>
        </w:rPr>
        <w:t>《河北大学博士、硕士学位授予工作实施细则》（校政字〔2025〕7号）执行。</w:t>
      </w:r>
      <w:r>
        <w:rPr>
          <w:rFonts w:hint="eastAsia"/>
          <w:color w:val="222222"/>
          <w:kern w:val="0"/>
          <w:sz w:val="24"/>
          <w:lang w:val="en-US" w:eastAsia="zh-CN"/>
        </w:rPr>
        <w:t>学位论文答辩组成员中，至少有1名实际业务部门的专家。</w:t>
      </w:r>
    </w:p>
    <w:p w14:paraId="7686AF9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黑体" w:hAnsi="黑体" w:eastAsia="黑体" w:cs="黑体"/>
          <w:b w:val="0"/>
          <w:bCs/>
          <w:sz w:val="28"/>
          <w:szCs w:val="28"/>
        </w:rPr>
      </w:pPr>
      <w:r>
        <w:rPr>
          <w:rFonts w:hint="eastAsia" w:ascii="黑体" w:hAnsi="黑体" w:eastAsia="黑体" w:cs="黑体"/>
          <w:b w:val="0"/>
          <w:bCs/>
          <w:sz w:val="28"/>
          <w:szCs w:val="28"/>
          <w:lang w:val="en-US" w:eastAsia="zh-CN"/>
        </w:rPr>
        <w:t>九</w:t>
      </w:r>
      <w:r>
        <w:rPr>
          <w:rFonts w:hint="eastAsia" w:ascii="黑体" w:hAnsi="黑体" w:eastAsia="黑体" w:cs="黑体"/>
          <w:b w:val="0"/>
          <w:bCs/>
          <w:sz w:val="28"/>
          <w:szCs w:val="28"/>
        </w:rPr>
        <w:t>、毕业条件</w:t>
      </w:r>
    </w:p>
    <w:p w14:paraId="1A4B48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eastAsia="宋体"/>
          <w:bCs/>
          <w:sz w:val="24"/>
        </w:rPr>
      </w:pPr>
      <w:r>
        <w:rPr>
          <w:rFonts w:eastAsia="宋体"/>
          <w:bCs/>
          <w:sz w:val="24"/>
        </w:rPr>
        <w:t>1.课程学习。研究生在规定修业年限内完成培养方案规定的课程学习，考核成绩合格，获得规定的学分。</w:t>
      </w:r>
    </w:p>
    <w:p w14:paraId="38BC20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bCs/>
          <w:color w:val="222222"/>
          <w:kern w:val="0"/>
          <w:sz w:val="24"/>
        </w:rPr>
      </w:pPr>
      <w:r>
        <w:rPr>
          <w:rFonts w:hint="eastAsia" w:eastAsia="宋体"/>
          <w:bCs/>
          <w:sz w:val="24"/>
        </w:rPr>
        <w:t>2.</w:t>
      </w:r>
      <w:r>
        <w:rPr>
          <w:rFonts w:hint="eastAsia"/>
          <w:bCs/>
          <w:sz w:val="24"/>
          <w:lang w:val="en-US" w:eastAsia="zh-CN"/>
        </w:rPr>
        <w:t>学术/</w:t>
      </w:r>
      <w:r>
        <w:rPr>
          <w:rFonts w:hint="eastAsia" w:eastAsia="宋体"/>
          <w:bCs/>
          <w:sz w:val="24"/>
        </w:rPr>
        <w:t>实践活动</w:t>
      </w:r>
      <w:r>
        <w:rPr>
          <w:rFonts w:hint="eastAsia"/>
          <w:bCs/>
          <w:sz w:val="24"/>
          <w:lang w:eastAsia="zh-CN"/>
        </w:rPr>
        <w:t>：</w:t>
      </w:r>
      <w:r>
        <w:rPr>
          <w:bCs/>
          <w:sz w:val="24"/>
        </w:rPr>
        <w:t>研究生在读期间至少需要完成两类活动中的一类：</w:t>
      </w:r>
    </w:p>
    <w:p w14:paraId="703EDDB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bCs/>
          <w:sz w:val="24"/>
          <w:lang w:val="en-US" w:eastAsia="zh-CN"/>
        </w:rPr>
      </w:pPr>
      <w:r>
        <w:rPr>
          <w:rFonts w:hint="eastAsia"/>
          <w:bCs/>
          <w:sz w:val="24"/>
          <w:lang w:val="en-US" w:eastAsia="zh-CN"/>
        </w:rPr>
        <w:t>（1）学术活动。</w:t>
      </w:r>
      <w:r>
        <w:rPr>
          <w:rFonts w:eastAsia="宋体"/>
          <w:bCs/>
          <w:color w:val="222222"/>
          <w:kern w:val="0"/>
          <w:sz w:val="24"/>
        </w:rPr>
        <w:t>研究生在读期间参加</w:t>
      </w:r>
      <w:r>
        <w:rPr>
          <w:rFonts w:hint="default" w:eastAsia="宋体"/>
          <w:bCs/>
          <w:color w:val="222222"/>
          <w:kern w:val="0"/>
          <w:sz w:val="24"/>
          <w:lang w:val="en-US" w:eastAsia="zh-CN"/>
        </w:rPr>
        <w:t>学院开设的</w:t>
      </w:r>
      <w:r>
        <w:rPr>
          <w:rFonts w:hint="eastAsia"/>
          <w:bCs/>
          <w:color w:val="222222"/>
          <w:kern w:val="0"/>
          <w:sz w:val="24"/>
          <w:lang w:eastAsia="zh-CN"/>
        </w:rPr>
        <w:t>“</w:t>
      </w:r>
      <w:r>
        <w:rPr>
          <w:rFonts w:eastAsia="宋体"/>
          <w:bCs/>
          <w:color w:val="222222"/>
          <w:kern w:val="0"/>
          <w:sz w:val="24"/>
        </w:rPr>
        <w:t>经济视界</w:t>
      </w:r>
      <w:r>
        <w:rPr>
          <w:rFonts w:hint="eastAsia"/>
          <w:bCs/>
          <w:color w:val="222222"/>
          <w:kern w:val="0"/>
          <w:sz w:val="24"/>
          <w:lang w:eastAsia="zh-CN"/>
        </w:rPr>
        <w:t>”</w:t>
      </w:r>
      <w:r>
        <w:rPr>
          <w:rFonts w:eastAsia="宋体"/>
          <w:bCs/>
          <w:color w:val="222222"/>
          <w:kern w:val="0"/>
          <w:sz w:val="24"/>
        </w:rPr>
        <w:t>论坛、研究生论坛等学术活动不少于</w:t>
      </w:r>
      <w:r>
        <w:rPr>
          <w:rFonts w:eastAsia="宋体"/>
          <w:bCs/>
          <w:iCs w:val="0"/>
          <w:color w:val="222222"/>
          <w:kern w:val="0"/>
          <w:sz w:val="24"/>
        </w:rPr>
        <w:t>10</w:t>
      </w:r>
      <w:r>
        <w:rPr>
          <w:rFonts w:eastAsia="宋体"/>
          <w:bCs/>
          <w:color w:val="222222"/>
          <w:kern w:val="0"/>
          <w:sz w:val="24"/>
        </w:rPr>
        <w:t>次</w:t>
      </w:r>
      <w:r>
        <w:rPr>
          <w:rFonts w:hint="eastAsia"/>
          <w:bCs/>
          <w:color w:val="222222"/>
          <w:kern w:val="0"/>
          <w:sz w:val="24"/>
          <w:lang w:eastAsia="zh-CN"/>
        </w:rPr>
        <w:t>，</w:t>
      </w:r>
      <w:r>
        <w:rPr>
          <w:bCs/>
          <w:kern w:val="0"/>
          <w:sz w:val="24"/>
        </w:rPr>
        <w:t>并撰写学术报告小结；以主讲人或宣讲人身份，参加在校内外举行的学术报告或学术讲座不少于1次。</w:t>
      </w:r>
    </w:p>
    <w:p w14:paraId="5B3C22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eastAsia="宋体"/>
          <w:bCs/>
          <w:sz w:val="24"/>
        </w:rPr>
      </w:pPr>
      <w:r>
        <w:rPr>
          <w:rFonts w:hint="eastAsia"/>
          <w:bCs/>
          <w:sz w:val="24"/>
          <w:lang w:val="en-US" w:eastAsia="zh-CN"/>
        </w:rPr>
        <w:t>（2）实践活动：</w:t>
      </w:r>
      <w:r>
        <w:rPr>
          <w:rFonts w:hint="eastAsia" w:eastAsia="宋体"/>
          <w:bCs/>
          <w:sz w:val="24"/>
        </w:rPr>
        <w:t>研究生</w:t>
      </w:r>
      <w:r>
        <w:rPr>
          <w:rFonts w:hint="eastAsia"/>
          <w:bCs/>
          <w:sz w:val="24"/>
          <w:lang w:val="en-US" w:eastAsia="zh-CN"/>
        </w:rPr>
        <w:t>要</w:t>
      </w:r>
      <w:r>
        <w:rPr>
          <w:rFonts w:hint="eastAsia" w:eastAsia="宋体"/>
          <w:bCs/>
          <w:sz w:val="24"/>
        </w:rPr>
        <w:t>完成培养方案</w:t>
      </w:r>
      <w:r>
        <w:rPr>
          <w:rFonts w:hint="eastAsia"/>
          <w:bCs/>
          <w:sz w:val="24"/>
          <w:lang w:val="en-US" w:eastAsia="zh-CN"/>
        </w:rPr>
        <w:t>中</w:t>
      </w:r>
      <w:r>
        <w:rPr>
          <w:rFonts w:hint="eastAsia" w:eastAsia="宋体"/>
          <w:bCs/>
          <w:sz w:val="24"/>
        </w:rPr>
        <w:t>规定的实践活动</w:t>
      </w:r>
      <w:r>
        <w:rPr>
          <w:rFonts w:hint="eastAsia"/>
          <w:bCs/>
          <w:sz w:val="24"/>
          <w:lang w:eastAsia="zh-CN"/>
        </w:rPr>
        <w:t>，</w:t>
      </w:r>
      <w:r>
        <w:rPr>
          <w:rFonts w:hint="eastAsia"/>
          <w:bCs/>
          <w:color w:val="0D0D0D" w:themeColor="text1" w:themeTint="F2"/>
          <w:kern w:val="0"/>
          <w:sz w:val="24"/>
          <w14:textFill>
            <w14:solidFill>
              <w14:schemeClr w14:val="tx1">
                <w14:lumMod w14:val="95000"/>
                <w14:lumOff w14:val="5000"/>
              </w14:schemeClr>
            </w14:solidFill>
          </w14:textFill>
        </w:rPr>
        <w:t>实习实践时间一般不少于6个月</w:t>
      </w:r>
      <w:r>
        <w:rPr>
          <w:rFonts w:hint="eastAsia"/>
          <w:bCs/>
          <w:color w:val="0D0D0D" w:themeColor="text1" w:themeTint="F2"/>
          <w:kern w:val="0"/>
          <w:sz w:val="24"/>
          <w:lang w:eastAsia="zh-CN"/>
          <w14:textFill>
            <w14:solidFill>
              <w14:schemeClr w14:val="tx1">
                <w14:lumMod w14:val="95000"/>
                <w14:lumOff w14:val="5000"/>
              </w14:schemeClr>
            </w14:solidFill>
          </w14:textFill>
        </w:rPr>
        <w:t>。</w:t>
      </w:r>
      <w:r>
        <w:rPr>
          <w:rFonts w:hint="eastAsia"/>
          <w:bCs/>
          <w:sz w:val="24"/>
          <w:lang w:val="en-US" w:eastAsia="zh-CN"/>
        </w:rPr>
        <w:t>即在规定时间内</w:t>
      </w:r>
      <w:r>
        <w:rPr>
          <w:bCs/>
          <w:kern w:val="0"/>
          <w:sz w:val="24"/>
        </w:rPr>
        <w:t>参与本专业相关的社会实践，由</w:t>
      </w:r>
      <w:r>
        <w:rPr>
          <w:rFonts w:hint="eastAsia"/>
          <w:bCs/>
          <w:kern w:val="0"/>
          <w:sz w:val="24"/>
          <w:lang w:val="en-US" w:eastAsia="zh-CN"/>
        </w:rPr>
        <w:t>实习</w:t>
      </w:r>
      <w:r>
        <w:rPr>
          <w:bCs/>
          <w:kern w:val="0"/>
          <w:sz w:val="24"/>
        </w:rPr>
        <w:t>单位出具相关实践证明材料；或</w:t>
      </w:r>
      <w:r>
        <w:rPr>
          <w:rFonts w:hint="eastAsia"/>
          <w:bCs/>
          <w:kern w:val="0"/>
          <w:sz w:val="24"/>
          <w:lang w:val="en-US" w:eastAsia="zh-CN"/>
        </w:rPr>
        <w:t>参加本专业</w:t>
      </w:r>
      <w:r>
        <w:rPr>
          <w:bCs/>
          <w:kern w:val="0"/>
          <w:sz w:val="24"/>
        </w:rPr>
        <w:t>组织开展</w:t>
      </w:r>
      <w:r>
        <w:rPr>
          <w:rFonts w:hint="eastAsia"/>
          <w:bCs/>
          <w:kern w:val="0"/>
          <w:sz w:val="24"/>
          <w:lang w:val="en-US" w:eastAsia="zh-CN"/>
        </w:rPr>
        <w:t>的</w:t>
      </w:r>
      <w:r>
        <w:rPr>
          <w:bCs/>
          <w:kern w:val="0"/>
          <w:sz w:val="24"/>
        </w:rPr>
        <w:t>与本专业相关的调查、考察等活动，并提交相关报告。</w:t>
      </w:r>
    </w:p>
    <w:p w14:paraId="56A6A6E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eastAsia="宋体"/>
          <w:color w:val="000000"/>
          <w:sz w:val="24"/>
          <w:lang w:eastAsia="zh-CN"/>
        </w:rPr>
      </w:pPr>
      <w:r>
        <w:rPr>
          <w:rFonts w:hint="eastAsia" w:eastAsia="宋体"/>
          <w:bCs/>
          <w:sz w:val="24"/>
        </w:rPr>
        <w:t>3</w:t>
      </w:r>
      <w:r>
        <w:rPr>
          <w:rFonts w:eastAsia="宋体"/>
          <w:bCs/>
          <w:sz w:val="24"/>
        </w:rPr>
        <w:t>.</w:t>
      </w:r>
      <w:r>
        <w:rPr>
          <w:rFonts w:eastAsia="宋体"/>
          <w:color w:val="000000"/>
          <w:sz w:val="24"/>
        </w:rPr>
        <w:t>符合</w:t>
      </w:r>
      <w:r>
        <w:rPr>
          <w:rFonts w:hint="eastAsia"/>
          <w:color w:val="000000"/>
          <w:sz w:val="24"/>
          <w:lang w:val="en-US" w:eastAsia="zh-CN"/>
        </w:rPr>
        <w:t>提前毕业条件的研究生，可按照学校相关规定申请提前毕业</w:t>
      </w:r>
      <w:r>
        <w:rPr>
          <w:rFonts w:hint="eastAsia"/>
          <w:color w:val="000000"/>
          <w:sz w:val="24"/>
          <w:lang w:eastAsia="zh-CN"/>
        </w:rPr>
        <w:t>。</w:t>
      </w:r>
    </w:p>
    <w:p w14:paraId="167D8E3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eastAsia="宋体"/>
          <w:bCs/>
          <w:sz w:val="24"/>
        </w:rPr>
      </w:pPr>
      <w:r>
        <w:rPr>
          <w:rFonts w:hint="eastAsia"/>
          <w:bCs/>
          <w:sz w:val="24"/>
          <w:lang w:val="en-US" w:eastAsia="zh-CN"/>
        </w:rPr>
        <w:t>4.</w:t>
      </w:r>
      <w:r>
        <w:rPr>
          <w:rFonts w:eastAsia="宋体"/>
          <w:bCs/>
          <w:sz w:val="24"/>
        </w:rPr>
        <w:t>论文答辩。学位（毕业）论文经专家评审合格、通过学位（毕业）答辩，符合毕</w:t>
      </w:r>
    </w:p>
    <w:p w14:paraId="68578C7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eastAsia="宋体"/>
          <w:bCs/>
          <w:sz w:val="24"/>
        </w:rPr>
      </w:pPr>
      <w:r>
        <w:rPr>
          <w:rFonts w:eastAsia="宋体"/>
          <w:bCs/>
          <w:sz w:val="24"/>
        </w:rPr>
        <w:t>业资格审查后，准予毕业。</w:t>
      </w:r>
    </w:p>
    <w:p w14:paraId="50ECDD6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黑体" w:hAnsi="黑体" w:eastAsia="黑体" w:cs="黑体"/>
          <w:b w:val="0"/>
          <w:bCs/>
          <w:sz w:val="28"/>
          <w:szCs w:val="28"/>
          <w:lang w:val="en-US" w:eastAsia="zh-CN"/>
        </w:rPr>
      </w:pPr>
      <w:r>
        <w:rPr>
          <w:rFonts w:hint="eastAsia" w:ascii="黑体" w:hAnsi="黑体" w:eastAsia="黑体" w:cs="黑体"/>
          <w:b w:val="0"/>
          <w:bCs/>
          <w:sz w:val="28"/>
          <w:szCs w:val="28"/>
          <w:lang w:val="en-US" w:eastAsia="zh-CN"/>
        </w:rPr>
        <w:t>十、创新性成果</w:t>
      </w:r>
    </w:p>
    <w:p w14:paraId="7601A2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eastAsiaTheme="minorEastAsia"/>
          <w:b w:val="0"/>
          <w:bCs/>
          <w:sz w:val="24"/>
          <w:szCs w:val="24"/>
          <w:lang w:val="en-US" w:eastAsia="zh-CN"/>
        </w:rPr>
      </w:pPr>
      <w:r>
        <w:rPr>
          <w:rFonts w:eastAsiaTheme="minorEastAsia"/>
          <w:bCs/>
          <w:sz w:val="24"/>
        </w:rPr>
        <w:t>详见</w:t>
      </w:r>
      <w:r>
        <w:rPr>
          <w:rFonts w:hint="default" w:ascii="Times New Roman" w:hAnsi="Times New Roman" w:eastAsiaTheme="minorEastAsia"/>
          <w:bCs/>
          <w:sz w:val="24"/>
          <w:szCs w:val="24"/>
        </w:rPr>
        <w:t>经济学院关于研究生申请学位取得创新性成果的规定（2025）</w:t>
      </w:r>
      <w:r>
        <w:rPr>
          <w:rFonts w:hint="eastAsia" w:eastAsiaTheme="minorEastAsia"/>
          <w:bCs/>
          <w:sz w:val="24"/>
          <w:szCs w:val="24"/>
          <w:lang w:eastAsia="zh-CN"/>
        </w:rPr>
        <w:t>。</w:t>
      </w:r>
      <w:bookmarkStart w:id="1" w:name="_GoBack"/>
      <w:bookmarkEnd w:id="1"/>
    </w:p>
    <w:p w14:paraId="4C93459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eastAsia="黑体"/>
          <w:bCs/>
          <w:sz w:val="28"/>
          <w:szCs w:val="28"/>
        </w:rPr>
      </w:pPr>
      <w:r>
        <w:rPr>
          <w:rFonts w:hint="eastAsia" w:ascii="黑体" w:hAnsi="黑体" w:eastAsia="黑体" w:cs="黑体"/>
          <w:b w:val="0"/>
          <w:bCs/>
          <w:sz w:val="28"/>
          <w:szCs w:val="28"/>
          <w:lang w:val="en-US" w:eastAsia="zh-CN"/>
        </w:rPr>
        <w:t>十一、</w:t>
      </w:r>
      <w:r>
        <w:rPr>
          <w:rFonts w:hint="eastAsia" w:ascii="黑体" w:hAnsi="黑体" w:eastAsia="黑体" w:cs="黑体"/>
          <w:b w:val="0"/>
          <w:bCs/>
          <w:sz w:val="28"/>
          <w:szCs w:val="28"/>
        </w:rPr>
        <w:t>学位授予</w:t>
      </w:r>
    </w:p>
    <w:p w14:paraId="5722738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eastAsia="宋体"/>
          <w:bCs/>
          <w:sz w:val="24"/>
        </w:rPr>
      </w:pPr>
      <w:r>
        <w:rPr>
          <w:rFonts w:eastAsia="宋体"/>
          <w:bCs/>
          <w:color w:val="000000"/>
          <w:sz w:val="24"/>
        </w:rPr>
        <w:t>研究生通过</w:t>
      </w:r>
      <w:r>
        <w:rPr>
          <w:rFonts w:hint="eastAsia" w:eastAsia="宋体"/>
          <w:bCs/>
          <w:color w:val="000000"/>
          <w:sz w:val="24"/>
        </w:rPr>
        <w:t>毕业资格审查</w:t>
      </w:r>
      <w:r>
        <w:rPr>
          <w:rFonts w:eastAsia="宋体"/>
          <w:bCs/>
          <w:color w:val="000000"/>
          <w:sz w:val="24"/>
        </w:rPr>
        <w:t>，</w:t>
      </w:r>
      <w:r>
        <w:rPr>
          <w:rFonts w:eastAsia="宋体"/>
          <w:bCs/>
          <w:sz w:val="24"/>
        </w:rPr>
        <w:t>符合《中华人民共和国学位条例》的有关规定，</w:t>
      </w:r>
      <w:r>
        <w:rPr>
          <w:rFonts w:hint="eastAsia" w:eastAsiaTheme="minorEastAsia"/>
          <w:bCs/>
          <w:sz w:val="24"/>
          <w:lang w:val="en-US" w:eastAsia="zh-CN"/>
        </w:rPr>
        <w:t>以及</w:t>
      </w:r>
      <w:r>
        <w:rPr>
          <w:kern w:val="0"/>
          <w:sz w:val="24"/>
        </w:rPr>
        <w:t>《河北大学博士、硕士学位授予工作实施细则》（校政字〔2025〕7号）</w:t>
      </w:r>
      <w:r>
        <w:rPr>
          <w:rFonts w:eastAsiaTheme="minorEastAsia"/>
          <w:bCs/>
          <w:sz w:val="24"/>
        </w:rPr>
        <w:t>的有关规定</w:t>
      </w:r>
      <w:r>
        <w:rPr>
          <w:rFonts w:hint="eastAsia" w:eastAsiaTheme="minorEastAsia"/>
          <w:bCs/>
          <w:sz w:val="24"/>
          <w:lang w:eastAsia="zh-CN"/>
        </w:rPr>
        <w:t>，</w:t>
      </w:r>
      <w:r>
        <w:rPr>
          <w:rFonts w:eastAsia="宋体"/>
          <w:bCs/>
          <w:sz w:val="24"/>
        </w:rPr>
        <w:t>达到学校学位授予标准，经学校学位评定委员会审核，授予硕士学位。</w:t>
      </w:r>
    </w:p>
    <w:p w14:paraId="4CE87B9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十</w:t>
      </w:r>
      <w:r>
        <w:rPr>
          <w:rFonts w:hint="eastAsia" w:ascii="黑体" w:hAnsi="黑体" w:eastAsia="黑体" w:cs="黑体"/>
          <w:b w:val="0"/>
          <w:bCs/>
          <w:sz w:val="28"/>
          <w:szCs w:val="28"/>
          <w:lang w:val="en-US" w:eastAsia="zh-CN"/>
        </w:rPr>
        <w:t>二</w:t>
      </w:r>
      <w:r>
        <w:rPr>
          <w:rFonts w:hint="eastAsia" w:ascii="黑体" w:hAnsi="黑体" w:eastAsia="黑体" w:cs="黑体"/>
          <w:b w:val="0"/>
          <w:bCs/>
          <w:sz w:val="28"/>
          <w:szCs w:val="28"/>
        </w:rPr>
        <w:t>、学分及课程设置</w:t>
      </w:r>
    </w:p>
    <w:p w14:paraId="0E56F2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FF0000"/>
          <w:sz w:val="24"/>
        </w:rPr>
      </w:pPr>
      <w:r>
        <w:rPr>
          <w:rFonts w:hint="eastAsia"/>
          <w:i w:val="0"/>
          <w:iCs w:val="0"/>
          <w:color w:val="000000"/>
          <w:sz w:val="24"/>
          <w:u w:val="none"/>
          <w:lang w:val="en-US" w:eastAsia="zh-CN"/>
        </w:rPr>
        <w:t>本专业</w:t>
      </w:r>
      <w:r>
        <w:rPr>
          <w:rFonts w:eastAsia="宋体"/>
          <w:color w:val="000000"/>
          <w:sz w:val="24"/>
        </w:rPr>
        <w:t>最低修读学分为</w:t>
      </w:r>
      <w:r>
        <w:rPr>
          <w:rFonts w:hint="eastAsia"/>
          <w:color w:val="000000"/>
          <w:sz w:val="24"/>
          <w:lang w:val="en-US" w:eastAsia="zh-CN"/>
        </w:rPr>
        <w:t>36</w:t>
      </w:r>
      <w:r>
        <w:rPr>
          <w:rFonts w:eastAsia="宋体"/>
          <w:color w:val="000000"/>
          <w:sz w:val="24"/>
        </w:rPr>
        <w:t>分，其中学位课</w:t>
      </w:r>
      <w:r>
        <w:rPr>
          <w:rFonts w:hint="eastAsia"/>
          <w:color w:val="000000"/>
          <w:sz w:val="24"/>
          <w:lang w:val="en-US" w:eastAsia="zh-CN"/>
        </w:rPr>
        <w:t>18</w:t>
      </w:r>
      <w:r>
        <w:rPr>
          <w:rFonts w:eastAsia="宋体"/>
          <w:color w:val="000000"/>
          <w:sz w:val="24"/>
        </w:rPr>
        <w:t>学分</w:t>
      </w:r>
      <w:r>
        <w:rPr>
          <w:rFonts w:hint="eastAsia" w:eastAsia="宋体"/>
          <w:color w:val="000000"/>
          <w:sz w:val="24"/>
        </w:rPr>
        <w:t>，</w:t>
      </w:r>
      <w:r>
        <w:rPr>
          <w:rFonts w:eastAsia="宋体"/>
          <w:color w:val="000000"/>
          <w:sz w:val="24"/>
        </w:rPr>
        <w:t>非学位课</w:t>
      </w:r>
      <w:r>
        <w:rPr>
          <w:rFonts w:hint="eastAsia"/>
          <w:color w:val="000000"/>
          <w:sz w:val="24"/>
          <w:lang w:val="en-US" w:eastAsia="zh-CN"/>
        </w:rPr>
        <w:t>12</w:t>
      </w:r>
      <w:r>
        <w:rPr>
          <w:rFonts w:eastAsia="宋体"/>
          <w:color w:val="000000"/>
          <w:sz w:val="24"/>
        </w:rPr>
        <w:t>学分</w:t>
      </w:r>
      <w:r>
        <w:rPr>
          <w:rFonts w:hint="eastAsia"/>
          <w:color w:val="000000"/>
          <w:sz w:val="24"/>
          <w:lang w:eastAsia="zh-CN"/>
        </w:rPr>
        <w:t>，</w:t>
      </w:r>
      <w:r>
        <w:rPr>
          <w:rFonts w:hint="eastAsia"/>
          <w:sz w:val="24"/>
        </w:rPr>
        <w:t>必修环节为</w:t>
      </w:r>
      <w:r>
        <w:rPr>
          <w:rFonts w:hint="eastAsia"/>
          <w:sz w:val="24"/>
          <w:lang w:val="en-US" w:eastAsia="zh-CN"/>
        </w:rPr>
        <w:t>6</w:t>
      </w:r>
      <w:r>
        <w:rPr>
          <w:rFonts w:hint="eastAsia"/>
          <w:sz w:val="24"/>
        </w:rPr>
        <w:t>学分。</w:t>
      </w:r>
      <w:r>
        <w:rPr>
          <w:rFonts w:eastAsiaTheme="minorEastAsia"/>
          <w:color w:val="000000"/>
          <w:sz w:val="24"/>
        </w:rPr>
        <w:t>课程考试不设补考环节，</w:t>
      </w:r>
      <w:r>
        <w:rPr>
          <w:color w:val="000000"/>
          <w:sz w:val="24"/>
        </w:rPr>
        <w:t>考试成绩低于60分的需重修。</w:t>
      </w:r>
      <w:r>
        <w:rPr>
          <w:rFonts w:hint="eastAsia" w:ascii="宋体" w:hAnsi="宋体"/>
          <w:color w:val="0D0D0D" w:themeColor="text1" w:themeTint="F2"/>
          <w:kern w:val="0"/>
          <w:sz w:val="24"/>
          <w14:textFill>
            <w14:solidFill>
              <w14:schemeClr w14:val="tx1">
                <w14:lumMod w14:val="95000"/>
                <w14:lumOff w14:val="5000"/>
              </w14:schemeClr>
            </w14:solidFill>
          </w14:textFill>
        </w:rPr>
        <w:t>鼓励采用案例教学方法</w:t>
      </w:r>
      <w:r>
        <w:rPr>
          <w:rFonts w:hint="eastAsia" w:ascii="宋体" w:hAnsi="宋体"/>
          <w:color w:val="0D0D0D" w:themeColor="text1" w:themeTint="F2"/>
          <w:kern w:val="0"/>
          <w:sz w:val="24"/>
          <w:lang w:eastAsia="zh-CN"/>
          <w14:textFill>
            <w14:solidFill>
              <w14:schemeClr w14:val="tx1">
                <w14:lumMod w14:val="95000"/>
                <w14:lumOff w14:val="5000"/>
              </w14:schemeClr>
            </w14:solidFill>
          </w14:textFill>
        </w:rPr>
        <w:t>，</w:t>
      </w:r>
      <w:r>
        <w:rPr>
          <w:rFonts w:hint="eastAsia" w:ascii="宋体" w:hAnsi="宋体"/>
          <w:color w:val="0D0D0D" w:themeColor="text1" w:themeTint="F2"/>
          <w:kern w:val="0"/>
          <w:sz w:val="24"/>
          <w14:textFill>
            <w14:solidFill>
              <w14:schemeClr w14:val="tx1">
                <w14:lumMod w14:val="95000"/>
                <w14:lumOff w14:val="5000"/>
              </w14:schemeClr>
            </w14:solidFill>
          </w14:textFill>
        </w:rPr>
        <w:t>增加在教学中使用案例的比例，注重理论联系实际，强调培养学生分析和解决实际问题的能力。</w:t>
      </w:r>
    </w:p>
    <w:p w14:paraId="14C228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olor w:val="000000"/>
          <w:sz w:val="24"/>
          <w:u w:val="none"/>
        </w:rPr>
      </w:pPr>
      <w:r>
        <w:rPr>
          <w:rFonts w:hint="eastAsia"/>
          <w:i w:val="0"/>
          <w:color w:val="000000"/>
          <w:sz w:val="24"/>
          <w:u w:val="none"/>
        </w:rPr>
        <w:t>课程考核方式包括考试和考查，</w:t>
      </w:r>
      <w:r>
        <w:rPr>
          <w:rFonts w:hint="eastAsia" w:eastAsia="宋体"/>
          <w:i w:val="0"/>
          <w:color w:val="000000"/>
          <w:sz w:val="24"/>
          <w:u w:val="none"/>
        </w:rPr>
        <w:t>可以采用口试、笔试或写读书报告、论文的形式，但应有—定数量的笔试（各专业根据实际情况填写）。无论采取何种考核方式，均应能真实反映学生对所学课程掌握的程度及运用知识的能力。</w:t>
      </w:r>
    </w:p>
    <w:p w14:paraId="59EA7F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auto"/>
          <w:sz w:val="24"/>
        </w:rPr>
      </w:pPr>
      <w:r>
        <w:rPr>
          <w:rFonts w:hint="eastAsia"/>
          <w:i w:val="0"/>
          <w:color w:val="auto"/>
          <w:sz w:val="24"/>
        </w:rPr>
        <w:t>课程考核方式包括考试和考查，</w:t>
      </w:r>
      <w:r>
        <w:rPr>
          <w:rFonts w:hint="eastAsia" w:eastAsia="宋体"/>
          <w:i w:val="0"/>
          <w:color w:val="auto"/>
          <w:sz w:val="24"/>
        </w:rPr>
        <w:t>可以采用口试、笔试或写读书报告、论文的形式，但应有—定数量的笔试。无论采取何种考核方式，均应能真实反映学生对所学课程掌握的程度及运用知识的能力，成绩均按百分制成绩评定。</w:t>
      </w:r>
    </w:p>
    <w:p w14:paraId="5872D123">
      <w:pPr>
        <w:spacing w:after="156" w:afterLines="50" w:line="440" w:lineRule="exact"/>
        <w:ind w:firstLine="482" w:firstLineChars="200"/>
        <w:jc w:val="center"/>
        <w:rPr>
          <w:rFonts w:ascii="宋体" w:hAnsi="宋体" w:eastAsia="宋体"/>
          <w:b/>
          <w:bCs/>
          <w:sz w:val="24"/>
        </w:rPr>
      </w:pPr>
      <w:r>
        <w:rPr>
          <w:rFonts w:hint="eastAsia" w:ascii="宋体" w:hAnsi="宋体"/>
          <w:b/>
          <w:bCs/>
          <w:color w:val="auto"/>
          <w:sz w:val="24"/>
          <w:lang w:val="en-US" w:eastAsia="zh-CN"/>
        </w:rPr>
        <w:t>国际商务</w:t>
      </w:r>
      <w:r>
        <w:rPr>
          <w:rFonts w:hint="eastAsia" w:ascii="宋体" w:hAnsi="宋体" w:eastAsia="宋体"/>
          <w:b/>
          <w:bCs/>
          <w:sz w:val="24"/>
        </w:rPr>
        <w:t>全日制专业学位硕士研究生课程设置一览表</w:t>
      </w:r>
    </w:p>
    <w:tbl>
      <w:tblPr>
        <w:tblStyle w:val="6"/>
        <w:tblW w:w="954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091"/>
        <w:gridCol w:w="1460"/>
        <w:gridCol w:w="3207"/>
        <w:gridCol w:w="1219"/>
        <w:gridCol w:w="709"/>
        <w:gridCol w:w="766"/>
        <w:gridCol w:w="1089"/>
      </w:tblGrid>
      <w:tr w14:paraId="0E09DCD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551" w:type="dxa"/>
            <w:gridSpan w:val="2"/>
            <w:vAlign w:val="center"/>
          </w:tcPr>
          <w:p w14:paraId="34B63693">
            <w:pPr>
              <w:keepNext w:val="0"/>
              <w:keepLines w:val="0"/>
              <w:suppressLineNumbers w:val="0"/>
              <w:spacing w:before="0" w:beforeAutospacing="0" w:after="0" w:afterAutospacing="0"/>
              <w:ind w:left="0" w:right="0"/>
              <w:jc w:val="center"/>
              <w:rPr>
                <w:rFonts w:hint="default"/>
                <w:b/>
                <w:color w:val="000000"/>
                <w:szCs w:val="21"/>
              </w:rPr>
            </w:pPr>
            <w:r>
              <w:rPr>
                <w:rFonts w:hint="default"/>
                <w:b/>
                <w:color w:val="000000"/>
                <w:szCs w:val="21"/>
              </w:rPr>
              <w:t>课程类别</w:t>
            </w:r>
          </w:p>
        </w:tc>
        <w:tc>
          <w:tcPr>
            <w:tcW w:w="3207" w:type="dxa"/>
            <w:vAlign w:val="center"/>
          </w:tcPr>
          <w:p w14:paraId="75BF1442">
            <w:pPr>
              <w:keepNext w:val="0"/>
              <w:keepLines w:val="0"/>
              <w:suppressLineNumbers w:val="0"/>
              <w:spacing w:before="0" w:beforeAutospacing="0" w:after="0" w:afterAutospacing="0"/>
              <w:ind w:left="0" w:right="0"/>
              <w:jc w:val="center"/>
              <w:rPr>
                <w:rFonts w:hint="default"/>
                <w:b/>
                <w:color w:val="000000"/>
                <w:szCs w:val="21"/>
              </w:rPr>
            </w:pPr>
            <w:r>
              <w:rPr>
                <w:rFonts w:hint="default"/>
                <w:b/>
                <w:color w:val="000000"/>
                <w:szCs w:val="21"/>
              </w:rPr>
              <w:t>课程说明</w:t>
            </w:r>
          </w:p>
        </w:tc>
        <w:tc>
          <w:tcPr>
            <w:tcW w:w="1219" w:type="dxa"/>
            <w:vAlign w:val="center"/>
          </w:tcPr>
          <w:p w14:paraId="6085D638">
            <w:pPr>
              <w:keepNext w:val="0"/>
              <w:keepLines w:val="0"/>
              <w:suppressLineNumbers w:val="0"/>
              <w:spacing w:before="0" w:beforeAutospacing="0" w:after="0" w:afterAutospacing="0"/>
              <w:ind w:left="0" w:right="0"/>
              <w:jc w:val="center"/>
              <w:rPr>
                <w:rFonts w:hint="default"/>
                <w:b/>
                <w:color w:val="000000"/>
                <w:szCs w:val="21"/>
              </w:rPr>
            </w:pPr>
            <w:r>
              <w:rPr>
                <w:rFonts w:hint="default"/>
                <w:b/>
                <w:color w:val="000000"/>
                <w:szCs w:val="21"/>
              </w:rPr>
              <w:t>课程号</w:t>
            </w:r>
          </w:p>
        </w:tc>
        <w:tc>
          <w:tcPr>
            <w:tcW w:w="709" w:type="dxa"/>
            <w:vAlign w:val="center"/>
          </w:tcPr>
          <w:p w14:paraId="487FD523">
            <w:pPr>
              <w:keepNext w:val="0"/>
              <w:keepLines w:val="0"/>
              <w:suppressLineNumbers w:val="0"/>
              <w:spacing w:before="0" w:beforeAutospacing="0" w:after="0" w:afterAutospacing="0"/>
              <w:ind w:left="0" w:right="0"/>
              <w:jc w:val="center"/>
              <w:rPr>
                <w:rFonts w:hint="default"/>
                <w:b/>
                <w:color w:val="000000"/>
                <w:szCs w:val="21"/>
              </w:rPr>
            </w:pPr>
            <w:r>
              <w:rPr>
                <w:rFonts w:hint="default"/>
                <w:b/>
                <w:color w:val="000000"/>
                <w:szCs w:val="21"/>
              </w:rPr>
              <w:t>学分</w:t>
            </w:r>
          </w:p>
        </w:tc>
        <w:tc>
          <w:tcPr>
            <w:tcW w:w="766" w:type="dxa"/>
            <w:vAlign w:val="center"/>
          </w:tcPr>
          <w:p w14:paraId="58A4F8B8">
            <w:pPr>
              <w:keepNext w:val="0"/>
              <w:keepLines w:val="0"/>
              <w:suppressLineNumbers w:val="0"/>
              <w:spacing w:before="0" w:beforeAutospacing="0" w:after="0" w:afterAutospacing="0"/>
              <w:ind w:left="0" w:right="0"/>
              <w:jc w:val="center"/>
              <w:rPr>
                <w:rFonts w:hint="default"/>
                <w:b/>
                <w:color w:val="000000"/>
                <w:szCs w:val="21"/>
              </w:rPr>
            </w:pPr>
            <w:r>
              <w:rPr>
                <w:rFonts w:hint="default"/>
                <w:b/>
                <w:color w:val="000000"/>
                <w:szCs w:val="21"/>
              </w:rPr>
              <w:t>学期</w:t>
            </w:r>
          </w:p>
        </w:tc>
        <w:tc>
          <w:tcPr>
            <w:tcW w:w="1089" w:type="dxa"/>
            <w:vAlign w:val="center"/>
          </w:tcPr>
          <w:p w14:paraId="0C624D77">
            <w:pPr>
              <w:keepNext w:val="0"/>
              <w:keepLines w:val="0"/>
              <w:suppressLineNumbers w:val="0"/>
              <w:spacing w:before="0" w:beforeAutospacing="0" w:after="0" w:afterAutospacing="0"/>
              <w:ind w:left="0" w:right="0"/>
              <w:jc w:val="center"/>
              <w:rPr>
                <w:rFonts w:hint="default"/>
                <w:b/>
                <w:color w:val="000000"/>
                <w:szCs w:val="21"/>
              </w:rPr>
            </w:pPr>
            <w:r>
              <w:rPr>
                <w:rFonts w:hint="eastAsia"/>
                <w:b/>
                <w:color w:val="000000"/>
                <w:szCs w:val="21"/>
              </w:rPr>
              <w:t>备注</w:t>
            </w:r>
          </w:p>
        </w:tc>
      </w:tr>
      <w:tr w14:paraId="5F545A5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1091" w:type="dxa"/>
            <w:vMerge w:val="restart"/>
            <w:vAlign w:val="center"/>
          </w:tcPr>
          <w:p w14:paraId="66410502">
            <w:pPr>
              <w:keepNext w:val="0"/>
              <w:keepLines w:val="0"/>
              <w:suppressLineNumbers w:val="0"/>
              <w:spacing w:before="0" w:beforeAutospacing="0" w:after="0" w:afterAutospacing="0"/>
              <w:ind w:left="0" w:right="0"/>
              <w:jc w:val="center"/>
              <w:rPr>
                <w:rFonts w:hint="default"/>
                <w:b/>
                <w:color w:val="000000"/>
                <w:sz w:val="18"/>
                <w:szCs w:val="18"/>
              </w:rPr>
            </w:pPr>
            <w:r>
              <w:rPr>
                <w:rFonts w:hint="default"/>
                <w:b/>
                <w:color w:val="000000"/>
                <w:sz w:val="18"/>
                <w:szCs w:val="18"/>
              </w:rPr>
              <w:t>学</w:t>
            </w:r>
          </w:p>
          <w:p w14:paraId="3FD27A67">
            <w:pPr>
              <w:keepNext w:val="0"/>
              <w:keepLines w:val="0"/>
              <w:suppressLineNumbers w:val="0"/>
              <w:spacing w:before="0" w:beforeAutospacing="0" w:after="0" w:afterAutospacing="0"/>
              <w:ind w:left="0" w:right="0"/>
              <w:jc w:val="center"/>
              <w:rPr>
                <w:rFonts w:hint="default"/>
                <w:b/>
                <w:color w:val="000000"/>
                <w:sz w:val="18"/>
                <w:szCs w:val="18"/>
              </w:rPr>
            </w:pPr>
            <w:r>
              <w:rPr>
                <w:rFonts w:hint="default"/>
                <w:b/>
                <w:color w:val="000000"/>
                <w:sz w:val="18"/>
                <w:szCs w:val="18"/>
              </w:rPr>
              <w:t>位</w:t>
            </w:r>
          </w:p>
          <w:p w14:paraId="34A2EF46">
            <w:pPr>
              <w:keepNext w:val="0"/>
              <w:keepLines w:val="0"/>
              <w:suppressLineNumbers w:val="0"/>
              <w:spacing w:before="0" w:beforeAutospacing="0" w:after="0" w:afterAutospacing="0"/>
              <w:ind w:left="0" w:right="0"/>
              <w:jc w:val="center"/>
              <w:rPr>
                <w:rFonts w:hint="default"/>
                <w:b/>
                <w:color w:val="000000"/>
                <w:sz w:val="18"/>
                <w:szCs w:val="18"/>
              </w:rPr>
            </w:pPr>
            <w:r>
              <w:rPr>
                <w:rFonts w:hint="default"/>
                <w:b/>
                <w:color w:val="000000"/>
                <w:sz w:val="18"/>
                <w:szCs w:val="18"/>
              </w:rPr>
              <w:t>课</w:t>
            </w:r>
          </w:p>
          <w:p w14:paraId="52C57857">
            <w:pPr>
              <w:keepNext w:val="0"/>
              <w:keepLines w:val="0"/>
              <w:suppressLineNumbers w:val="0"/>
              <w:spacing w:before="0" w:beforeAutospacing="0" w:after="0" w:afterAutospacing="0"/>
              <w:ind w:left="0" w:right="0"/>
              <w:jc w:val="center"/>
              <w:rPr>
                <w:rFonts w:hint="eastAsia" w:eastAsia="宋体"/>
                <w:b/>
                <w:color w:val="000000"/>
                <w:sz w:val="18"/>
                <w:szCs w:val="18"/>
                <w:lang w:eastAsia="zh-CN"/>
              </w:rPr>
            </w:pPr>
            <w:r>
              <w:rPr>
                <w:rFonts w:hint="eastAsia"/>
                <w:b/>
                <w:color w:val="000000"/>
                <w:sz w:val="18"/>
                <w:szCs w:val="18"/>
                <w:lang w:eastAsia="zh-CN"/>
              </w:rPr>
              <w:t>（</w:t>
            </w:r>
            <w:r>
              <w:rPr>
                <w:rFonts w:hint="eastAsia"/>
                <w:b/>
                <w:color w:val="000000"/>
                <w:sz w:val="18"/>
                <w:szCs w:val="18"/>
                <w:lang w:val="en-US" w:eastAsia="zh-CN"/>
              </w:rPr>
              <w:t>18学分</w:t>
            </w:r>
            <w:r>
              <w:rPr>
                <w:rFonts w:hint="eastAsia"/>
                <w:b/>
                <w:color w:val="000000"/>
                <w:sz w:val="18"/>
                <w:szCs w:val="18"/>
                <w:lang w:eastAsia="zh-CN"/>
              </w:rPr>
              <w:t>）</w:t>
            </w:r>
          </w:p>
        </w:tc>
        <w:tc>
          <w:tcPr>
            <w:tcW w:w="1460" w:type="dxa"/>
            <w:vMerge w:val="restart"/>
            <w:vAlign w:val="center"/>
          </w:tcPr>
          <w:p w14:paraId="41931465">
            <w:pPr>
              <w:keepNext w:val="0"/>
              <w:keepLines w:val="0"/>
              <w:suppressLineNumbers w:val="0"/>
              <w:spacing w:before="0" w:beforeAutospacing="0" w:after="0" w:afterAutospacing="0"/>
              <w:ind w:left="0" w:right="0"/>
              <w:jc w:val="center"/>
              <w:rPr>
                <w:rFonts w:hint="default"/>
                <w:b/>
                <w:color w:val="000000"/>
                <w:sz w:val="18"/>
                <w:szCs w:val="18"/>
              </w:rPr>
            </w:pPr>
            <w:r>
              <w:rPr>
                <w:rFonts w:hint="default"/>
                <w:b/>
                <w:color w:val="000000"/>
                <w:sz w:val="18"/>
                <w:szCs w:val="18"/>
              </w:rPr>
              <w:t>公共必修课</w:t>
            </w:r>
          </w:p>
          <w:p w14:paraId="38603776">
            <w:pPr>
              <w:keepNext w:val="0"/>
              <w:keepLines w:val="0"/>
              <w:suppressLineNumbers w:val="0"/>
              <w:spacing w:before="0" w:beforeAutospacing="0" w:after="0" w:afterAutospacing="0"/>
              <w:ind w:left="0" w:right="0"/>
              <w:jc w:val="center"/>
              <w:rPr>
                <w:rFonts w:hint="default" w:eastAsia="宋体"/>
                <w:b/>
                <w:color w:val="000000"/>
                <w:sz w:val="18"/>
                <w:szCs w:val="18"/>
                <w:lang w:val="en-US" w:eastAsia="zh-CN"/>
              </w:rPr>
            </w:pPr>
            <w:r>
              <w:rPr>
                <w:rFonts w:hint="eastAsia"/>
                <w:b/>
                <w:color w:val="000000"/>
                <w:sz w:val="18"/>
                <w:szCs w:val="18"/>
                <w:lang w:val="en-US" w:eastAsia="zh-CN"/>
              </w:rPr>
              <w:t>4学分</w:t>
            </w:r>
          </w:p>
        </w:tc>
        <w:tc>
          <w:tcPr>
            <w:tcW w:w="3207" w:type="dxa"/>
            <w:vAlign w:val="center"/>
          </w:tcPr>
          <w:p w14:paraId="658B57F6">
            <w:pPr>
              <w:keepNext w:val="0"/>
              <w:keepLines w:val="0"/>
              <w:widowControl w:val="0"/>
              <w:suppressLineNumbers w:val="0"/>
              <w:spacing w:before="0" w:beforeAutospacing="0" w:after="0" w:afterAutospacing="0"/>
              <w:ind w:left="0" w:leftChars="0" w:right="0" w:rightChars="0"/>
              <w:jc w:val="left"/>
              <w:rPr>
                <w:rFonts w:hint="default"/>
                <w:color w:val="auto"/>
                <w:sz w:val="18"/>
                <w:szCs w:val="18"/>
              </w:rPr>
            </w:pPr>
            <w:r>
              <w:rPr>
                <w:rFonts w:hint="eastAsia"/>
                <w:color w:val="auto"/>
                <w:sz w:val="18"/>
                <w:szCs w:val="18"/>
              </w:rPr>
              <w:t>新时代</w:t>
            </w:r>
            <w:r>
              <w:rPr>
                <w:rFonts w:hint="default"/>
                <w:color w:val="auto"/>
                <w:sz w:val="18"/>
                <w:szCs w:val="18"/>
              </w:rPr>
              <w:t>中国特色社会主义理论与实践</w:t>
            </w:r>
          </w:p>
        </w:tc>
        <w:tc>
          <w:tcPr>
            <w:tcW w:w="1219" w:type="dxa"/>
            <w:vAlign w:val="center"/>
          </w:tcPr>
          <w:p w14:paraId="536EE7EF">
            <w:pPr>
              <w:keepNext w:val="0"/>
              <w:keepLines w:val="0"/>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T</w:t>
            </w:r>
            <w:r>
              <w:rPr>
                <w:rFonts w:hint="eastAsia"/>
                <w:color w:val="000000"/>
                <w:sz w:val="18"/>
                <w:szCs w:val="18"/>
              </w:rPr>
              <w:t>S</w:t>
            </w:r>
            <w:r>
              <w:rPr>
                <w:rFonts w:hint="default"/>
                <w:color w:val="000000"/>
                <w:sz w:val="18"/>
                <w:szCs w:val="18"/>
              </w:rPr>
              <w:t>0000001</w:t>
            </w:r>
          </w:p>
        </w:tc>
        <w:tc>
          <w:tcPr>
            <w:tcW w:w="709" w:type="dxa"/>
            <w:vAlign w:val="center"/>
          </w:tcPr>
          <w:p w14:paraId="3228431F">
            <w:pPr>
              <w:keepNext w:val="0"/>
              <w:keepLines w:val="0"/>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2</w:t>
            </w:r>
          </w:p>
        </w:tc>
        <w:tc>
          <w:tcPr>
            <w:tcW w:w="766" w:type="dxa"/>
            <w:vAlign w:val="center"/>
          </w:tcPr>
          <w:p w14:paraId="30C17531">
            <w:pPr>
              <w:keepNext w:val="0"/>
              <w:keepLines w:val="0"/>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1</w:t>
            </w:r>
          </w:p>
        </w:tc>
        <w:tc>
          <w:tcPr>
            <w:tcW w:w="1089" w:type="dxa"/>
            <w:vAlign w:val="center"/>
          </w:tcPr>
          <w:p w14:paraId="4D5BD069">
            <w:pPr>
              <w:keepNext w:val="0"/>
              <w:keepLines w:val="0"/>
              <w:suppressLineNumbers w:val="0"/>
              <w:spacing w:before="0" w:beforeAutospacing="0" w:after="0" w:afterAutospacing="0"/>
              <w:ind w:left="0" w:right="0"/>
              <w:jc w:val="center"/>
              <w:rPr>
                <w:rFonts w:hint="default"/>
                <w:color w:val="000000"/>
                <w:sz w:val="18"/>
                <w:szCs w:val="18"/>
              </w:rPr>
            </w:pPr>
            <w:r>
              <w:rPr>
                <w:rFonts w:hint="eastAsia"/>
                <w:sz w:val="18"/>
                <w:szCs w:val="18"/>
              </w:rPr>
              <w:t>考查</w:t>
            </w:r>
          </w:p>
        </w:tc>
      </w:tr>
      <w:tr w14:paraId="3FE2568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1091" w:type="dxa"/>
            <w:vMerge w:val="continue"/>
            <w:vAlign w:val="center"/>
          </w:tcPr>
          <w:p w14:paraId="22895393">
            <w:pPr>
              <w:keepNext w:val="0"/>
              <w:keepLines w:val="0"/>
              <w:suppressLineNumbers w:val="0"/>
              <w:spacing w:before="0" w:beforeAutospacing="0" w:after="0" w:afterAutospacing="0"/>
              <w:ind w:left="0" w:right="0"/>
              <w:jc w:val="center"/>
              <w:rPr>
                <w:rFonts w:hint="default"/>
                <w:b/>
                <w:color w:val="000000"/>
                <w:sz w:val="18"/>
                <w:szCs w:val="18"/>
              </w:rPr>
            </w:pPr>
          </w:p>
        </w:tc>
        <w:tc>
          <w:tcPr>
            <w:tcW w:w="1460" w:type="dxa"/>
            <w:vMerge w:val="continue"/>
            <w:vAlign w:val="center"/>
          </w:tcPr>
          <w:p w14:paraId="512B188D">
            <w:pPr>
              <w:keepNext w:val="0"/>
              <w:keepLines w:val="0"/>
              <w:suppressLineNumbers w:val="0"/>
              <w:spacing w:before="0" w:beforeAutospacing="0" w:after="0" w:afterAutospacing="0"/>
              <w:ind w:left="0" w:right="0"/>
              <w:jc w:val="center"/>
              <w:rPr>
                <w:rFonts w:hint="default"/>
                <w:b/>
                <w:color w:val="000000"/>
                <w:sz w:val="18"/>
                <w:szCs w:val="18"/>
              </w:rPr>
            </w:pPr>
          </w:p>
        </w:tc>
        <w:tc>
          <w:tcPr>
            <w:tcW w:w="3207" w:type="dxa"/>
            <w:vAlign w:val="center"/>
          </w:tcPr>
          <w:p w14:paraId="453294DB">
            <w:pPr>
              <w:keepNext w:val="0"/>
              <w:keepLines w:val="0"/>
              <w:widowControl w:val="0"/>
              <w:suppressLineNumbers w:val="0"/>
              <w:spacing w:before="0" w:beforeAutospacing="0" w:after="0" w:afterAutospacing="0"/>
              <w:ind w:left="0" w:leftChars="0" w:right="0" w:rightChars="0"/>
              <w:jc w:val="left"/>
              <w:rPr>
                <w:rFonts w:hint="default"/>
                <w:color w:val="auto"/>
                <w:sz w:val="18"/>
                <w:szCs w:val="18"/>
              </w:rPr>
            </w:pPr>
            <w:r>
              <w:rPr>
                <w:rFonts w:hint="eastAsia"/>
                <w:color w:val="auto"/>
                <w:sz w:val="18"/>
                <w:szCs w:val="18"/>
              </w:rPr>
              <w:t>通用学术英语</w:t>
            </w:r>
          </w:p>
        </w:tc>
        <w:tc>
          <w:tcPr>
            <w:tcW w:w="1219" w:type="dxa"/>
            <w:vAlign w:val="center"/>
          </w:tcPr>
          <w:p w14:paraId="69DCDAC0">
            <w:pPr>
              <w:keepNext w:val="0"/>
              <w:keepLines w:val="0"/>
              <w:suppressLineNumbers w:val="0"/>
              <w:spacing w:before="0" w:beforeAutospacing="0" w:after="0" w:afterAutospacing="0"/>
              <w:ind w:left="0" w:right="0"/>
              <w:jc w:val="center"/>
              <w:rPr>
                <w:rFonts w:hint="default"/>
                <w:color w:val="FF0000"/>
                <w:sz w:val="18"/>
                <w:szCs w:val="18"/>
              </w:rPr>
            </w:pPr>
            <w:r>
              <w:rPr>
                <w:rFonts w:hint="default"/>
                <w:color w:val="000000"/>
                <w:sz w:val="18"/>
                <w:szCs w:val="18"/>
              </w:rPr>
              <w:t>T</w:t>
            </w:r>
            <w:r>
              <w:rPr>
                <w:rFonts w:hint="eastAsia"/>
                <w:color w:val="000000"/>
                <w:sz w:val="18"/>
                <w:szCs w:val="18"/>
              </w:rPr>
              <w:t>S</w:t>
            </w:r>
            <w:r>
              <w:rPr>
                <w:rFonts w:hint="default"/>
                <w:color w:val="000000"/>
                <w:sz w:val="18"/>
                <w:szCs w:val="18"/>
              </w:rPr>
              <w:t>00000</w:t>
            </w:r>
            <w:r>
              <w:rPr>
                <w:rFonts w:hint="eastAsia"/>
                <w:color w:val="000000"/>
                <w:sz w:val="18"/>
                <w:szCs w:val="18"/>
              </w:rPr>
              <w:t>02</w:t>
            </w:r>
          </w:p>
        </w:tc>
        <w:tc>
          <w:tcPr>
            <w:tcW w:w="709" w:type="dxa"/>
            <w:vAlign w:val="center"/>
          </w:tcPr>
          <w:p w14:paraId="5A4572A2">
            <w:pPr>
              <w:keepNext w:val="0"/>
              <w:keepLines w:val="0"/>
              <w:suppressLineNumbers w:val="0"/>
              <w:spacing w:before="0" w:beforeAutospacing="0" w:after="0" w:afterAutospacing="0"/>
              <w:ind w:left="0" w:right="0"/>
              <w:jc w:val="center"/>
              <w:rPr>
                <w:rFonts w:hint="default"/>
                <w:color w:val="000000"/>
                <w:sz w:val="18"/>
                <w:szCs w:val="18"/>
              </w:rPr>
            </w:pPr>
            <w:r>
              <w:rPr>
                <w:rFonts w:hint="eastAsia"/>
                <w:color w:val="000000"/>
                <w:sz w:val="18"/>
                <w:szCs w:val="18"/>
              </w:rPr>
              <w:t>2</w:t>
            </w:r>
          </w:p>
        </w:tc>
        <w:tc>
          <w:tcPr>
            <w:tcW w:w="766" w:type="dxa"/>
            <w:vAlign w:val="center"/>
          </w:tcPr>
          <w:p w14:paraId="30BD4ACB">
            <w:pPr>
              <w:keepNext w:val="0"/>
              <w:keepLines w:val="0"/>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1</w:t>
            </w:r>
          </w:p>
        </w:tc>
        <w:tc>
          <w:tcPr>
            <w:tcW w:w="1089" w:type="dxa"/>
            <w:vAlign w:val="center"/>
          </w:tcPr>
          <w:p w14:paraId="5688542F">
            <w:pPr>
              <w:keepNext w:val="0"/>
              <w:keepLines w:val="0"/>
              <w:suppressLineNumbers w:val="0"/>
              <w:spacing w:before="0" w:beforeAutospacing="0" w:after="0" w:afterAutospacing="0"/>
              <w:ind w:left="0" w:right="0"/>
              <w:jc w:val="center"/>
              <w:rPr>
                <w:rFonts w:hint="default"/>
                <w:color w:val="000000"/>
                <w:sz w:val="18"/>
                <w:szCs w:val="18"/>
              </w:rPr>
            </w:pPr>
            <w:r>
              <w:rPr>
                <w:rFonts w:hint="eastAsia"/>
                <w:sz w:val="18"/>
                <w:szCs w:val="18"/>
              </w:rPr>
              <w:t>考查</w:t>
            </w:r>
          </w:p>
        </w:tc>
      </w:tr>
      <w:tr w14:paraId="5501DE0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1091" w:type="dxa"/>
            <w:vMerge w:val="continue"/>
            <w:vAlign w:val="center"/>
          </w:tcPr>
          <w:p w14:paraId="610F5970">
            <w:pPr>
              <w:keepNext w:val="0"/>
              <w:keepLines w:val="0"/>
              <w:suppressLineNumbers w:val="0"/>
              <w:spacing w:before="0" w:beforeAutospacing="0" w:after="0" w:afterAutospacing="0"/>
              <w:ind w:left="0" w:right="0"/>
              <w:jc w:val="center"/>
              <w:rPr>
                <w:rFonts w:hint="default"/>
                <w:b/>
                <w:color w:val="000000"/>
                <w:sz w:val="18"/>
                <w:szCs w:val="18"/>
              </w:rPr>
            </w:pPr>
          </w:p>
        </w:tc>
        <w:tc>
          <w:tcPr>
            <w:tcW w:w="1460" w:type="dxa"/>
            <w:vMerge w:val="restart"/>
            <w:vAlign w:val="center"/>
          </w:tcPr>
          <w:p w14:paraId="5C525DB9">
            <w:pPr>
              <w:keepNext w:val="0"/>
              <w:keepLines w:val="0"/>
              <w:suppressLineNumbers w:val="0"/>
              <w:spacing w:before="0" w:beforeAutospacing="0" w:after="0" w:afterAutospacing="0"/>
              <w:ind w:left="0" w:right="0"/>
              <w:jc w:val="center"/>
              <w:rPr>
                <w:rFonts w:hint="eastAsia"/>
                <w:b/>
                <w:color w:val="000000"/>
                <w:sz w:val="18"/>
                <w:szCs w:val="18"/>
                <w:lang w:val="en-US" w:eastAsia="zh-CN"/>
              </w:rPr>
            </w:pPr>
            <w:r>
              <w:rPr>
                <w:rFonts w:hint="eastAsia"/>
                <w:b/>
                <w:color w:val="000000"/>
                <w:sz w:val="18"/>
                <w:szCs w:val="18"/>
                <w:lang w:val="en-US" w:eastAsia="zh-CN"/>
              </w:rPr>
              <w:t>学科基础课</w:t>
            </w:r>
          </w:p>
          <w:p w14:paraId="68A66871">
            <w:pPr>
              <w:keepNext w:val="0"/>
              <w:keepLines w:val="0"/>
              <w:suppressLineNumbers w:val="0"/>
              <w:spacing w:before="0" w:beforeAutospacing="0" w:after="0" w:afterAutospacing="0"/>
              <w:ind w:left="0" w:right="0"/>
              <w:jc w:val="center"/>
              <w:rPr>
                <w:rFonts w:hint="default"/>
                <w:b/>
                <w:color w:val="000000"/>
                <w:sz w:val="18"/>
                <w:szCs w:val="18"/>
                <w:lang w:val="en-US" w:eastAsia="zh-CN"/>
              </w:rPr>
            </w:pPr>
            <w:r>
              <w:rPr>
                <w:rFonts w:hint="eastAsia"/>
                <w:b/>
                <w:color w:val="000000"/>
                <w:sz w:val="18"/>
                <w:szCs w:val="18"/>
                <w:lang w:val="en-US" w:eastAsia="zh-CN"/>
              </w:rPr>
              <w:t>4学分</w:t>
            </w:r>
          </w:p>
        </w:tc>
        <w:tc>
          <w:tcPr>
            <w:tcW w:w="3207" w:type="dxa"/>
            <w:vAlign w:val="center"/>
          </w:tcPr>
          <w:p w14:paraId="7EED1A9C">
            <w:pPr>
              <w:keepNext w:val="0"/>
              <w:keepLines w:val="0"/>
              <w:widowControl w:val="0"/>
              <w:suppressLineNumbers w:val="0"/>
              <w:spacing w:before="0" w:beforeAutospacing="0" w:after="0" w:afterAutospacing="0"/>
              <w:ind w:left="0" w:leftChars="0" w:right="0" w:rightChars="0"/>
              <w:jc w:val="left"/>
              <w:rPr>
                <w:rFonts w:hint="eastAsia"/>
                <w:color w:val="auto"/>
                <w:sz w:val="18"/>
                <w:szCs w:val="18"/>
              </w:rPr>
            </w:pPr>
            <w:r>
              <w:rPr>
                <w:rFonts w:hint="default"/>
                <w:color w:val="auto"/>
                <w:sz w:val="18"/>
                <w:szCs w:val="18"/>
              </w:rPr>
              <w:t>学术道德与论文写作</w:t>
            </w:r>
          </w:p>
        </w:tc>
        <w:tc>
          <w:tcPr>
            <w:tcW w:w="1219" w:type="dxa"/>
            <w:vAlign w:val="center"/>
          </w:tcPr>
          <w:p w14:paraId="7FF9F910">
            <w:pPr>
              <w:keepNext w:val="0"/>
              <w:keepLines w:val="0"/>
              <w:suppressLineNumbers w:val="0"/>
              <w:spacing w:before="0" w:beforeAutospacing="0" w:after="0" w:afterAutospacing="0"/>
              <w:ind w:left="0" w:right="0"/>
              <w:jc w:val="center"/>
              <w:rPr>
                <w:rFonts w:hint="default"/>
                <w:color w:val="000000"/>
                <w:sz w:val="18"/>
                <w:szCs w:val="18"/>
              </w:rPr>
            </w:pPr>
            <w:r>
              <w:rPr>
                <w:rFonts w:hint="default"/>
                <w:sz w:val="18"/>
                <w:szCs w:val="18"/>
              </w:rPr>
              <w:t>XS03</w:t>
            </w:r>
            <w:r>
              <w:rPr>
                <w:rFonts w:hint="eastAsia"/>
                <w:sz w:val="18"/>
                <w:szCs w:val="18"/>
              </w:rPr>
              <w:t>02001</w:t>
            </w:r>
          </w:p>
        </w:tc>
        <w:tc>
          <w:tcPr>
            <w:tcW w:w="709" w:type="dxa"/>
            <w:vAlign w:val="center"/>
          </w:tcPr>
          <w:p w14:paraId="55FB384A">
            <w:pPr>
              <w:keepNext w:val="0"/>
              <w:keepLines w:val="0"/>
              <w:suppressLineNumbers w:val="0"/>
              <w:spacing w:before="0" w:beforeAutospacing="0" w:after="0" w:afterAutospacing="0"/>
              <w:ind w:left="0" w:leftChars="0" w:right="0" w:rightChars="0"/>
              <w:jc w:val="center"/>
              <w:rPr>
                <w:rFonts w:hint="eastAsia"/>
                <w:color w:val="000000"/>
                <w:sz w:val="18"/>
                <w:szCs w:val="18"/>
              </w:rPr>
            </w:pPr>
            <w:r>
              <w:rPr>
                <w:rFonts w:hint="eastAsia"/>
                <w:color w:val="000000"/>
                <w:sz w:val="18"/>
                <w:szCs w:val="18"/>
                <w:lang w:val="en-US" w:eastAsia="zh-CN"/>
              </w:rPr>
              <w:t>1</w:t>
            </w:r>
          </w:p>
        </w:tc>
        <w:tc>
          <w:tcPr>
            <w:tcW w:w="766" w:type="dxa"/>
            <w:vAlign w:val="center"/>
          </w:tcPr>
          <w:p w14:paraId="67E48EA9">
            <w:pPr>
              <w:keepNext w:val="0"/>
              <w:keepLines w:val="0"/>
              <w:suppressLineNumbers w:val="0"/>
              <w:spacing w:before="0" w:beforeAutospacing="0" w:after="0" w:afterAutospacing="0"/>
              <w:ind w:left="0" w:leftChars="0" w:right="0" w:rightChars="0"/>
              <w:jc w:val="center"/>
              <w:rPr>
                <w:rFonts w:hint="default"/>
                <w:color w:val="000000"/>
                <w:sz w:val="18"/>
                <w:szCs w:val="18"/>
              </w:rPr>
            </w:pPr>
            <w:r>
              <w:rPr>
                <w:rFonts w:hint="eastAsia"/>
                <w:color w:val="000000"/>
                <w:sz w:val="18"/>
                <w:szCs w:val="18"/>
                <w:lang w:val="en-US" w:eastAsia="zh-CN"/>
              </w:rPr>
              <w:t>1</w:t>
            </w:r>
          </w:p>
        </w:tc>
        <w:tc>
          <w:tcPr>
            <w:tcW w:w="1089" w:type="dxa"/>
            <w:vAlign w:val="center"/>
          </w:tcPr>
          <w:p w14:paraId="77CDDBB4">
            <w:pPr>
              <w:keepNext w:val="0"/>
              <w:keepLines w:val="0"/>
              <w:suppressLineNumbers w:val="0"/>
              <w:spacing w:before="0" w:beforeAutospacing="0" w:after="0" w:afterAutospacing="0"/>
              <w:ind w:left="0" w:leftChars="0" w:right="0" w:rightChars="0"/>
              <w:jc w:val="center"/>
              <w:rPr>
                <w:rFonts w:hint="eastAsia"/>
                <w:sz w:val="18"/>
                <w:szCs w:val="18"/>
              </w:rPr>
            </w:pPr>
            <w:r>
              <w:rPr>
                <w:rFonts w:hint="default"/>
                <w:color w:val="000000"/>
                <w:sz w:val="18"/>
                <w:szCs w:val="18"/>
              </w:rPr>
              <w:t>考查</w:t>
            </w:r>
          </w:p>
        </w:tc>
      </w:tr>
      <w:tr w14:paraId="317735F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1091" w:type="dxa"/>
            <w:vMerge w:val="continue"/>
            <w:vAlign w:val="center"/>
          </w:tcPr>
          <w:p w14:paraId="2791CA4A">
            <w:pPr>
              <w:keepNext w:val="0"/>
              <w:keepLines w:val="0"/>
              <w:suppressLineNumbers w:val="0"/>
              <w:spacing w:before="0" w:beforeAutospacing="0" w:after="0" w:afterAutospacing="0"/>
              <w:ind w:left="0" w:right="0"/>
              <w:jc w:val="center"/>
              <w:rPr>
                <w:rFonts w:hint="default"/>
                <w:b/>
                <w:color w:val="000000"/>
                <w:sz w:val="18"/>
                <w:szCs w:val="18"/>
              </w:rPr>
            </w:pPr>
          </w:p>
        </w:tc>
        <w:tc>
          <w:tcPr>
            <w:tcW w:w="1460" w:type="dxa"/>
            <w:vMerge w:val="continue"/>
            <w:vAlign w:val="center"/>
          </w:tcPr>
          <w:p w14:paraId="43C3558C">
            <w:pPr>
              <w:keepNext w:val="0"/>
              <w:keepLines w:val="0"/>
              <w:suppressLineNumbers w:val="0"/>
              <w:spacing w:before="0" w:beforeAutospacing="0" w:after="0" w:afterAutospacing="0"/>
              <w:ind w:left="0" w:right="0"/>
              <w:jc w:val="center"/>
              <w:rPr>
                <w:rFonts w:hint="eastAsia"/>
                <w:b/>
                <w:color w:val="000000"/>
                <w:sz w:val="18"/>
                <w:szCs w:val="18"/>
                <w:lang w:val="en-US" w:eastAsia="zh-CN"/>
              </w:rPr>
            </w:pPr>
          </w:p>
        </w:tc>
        <w:tc>
          <w:tcPr>
            <w:tcW w:w="3207" w:type="dxa"/>
            <w:vAlign w:val="center"/>
          </w:tcPr>
          <w:p w14:paraId="13A39FCA">
            <w:pPr>
              <w:keepNext w:val="0"/>
              <w:keepLines w:val="0"/>
              <w:widowControl w:val="0"/>
              <w:suppressLineNumbers w:val="0"/>
              <w:spacing w:before="0" w:beforeAutospacing="0" w:after="0" w:afterAutospacing="0"/>
              <w:ind w:left="0" w:leftChars="0" w:right="0" w:rightChars="0"/>
              <w:jc w:val="left"/>
              <w:rPr>
                <w:rFonts w:hint="default"/>
                <w:color w:val="auto"/>
                <w:sz w:val="18"/>
                <w:szCs w:val="18"/>
              </w:rPr>
            </w:pPr>
            <w:r>
              <w:rPr>
                <w:rFonts w:hint="eastAsia"/>
                <w:color w:val="auto"/>
                <w:sz w:val="18"/>
                <w:szCs w:val="18"/>
              </w:rPr>
              <w:t>经济学</w:t>
            </w:r>
            <w:r>
              <w:rPr>
                <w:rFonts w:hint="eastAsia"/>
                <w:color w:val="auto"/>
                <w:sz w:val="18"/>
                <w:szCs w:val="18"/>
                <w:lang w:val="en-US" w:eastAsia="zh-CN"/>
              </w:rPr>
              <w:t>理论与实践</w:t>
            </w:r>
          </w:p>
        </w:tc>
        <w:tc>
          <w:tcPr>
            <w:tcW w:w="1219" w:type="dxa"/>
            <w:vAlign w:val="center"/>
          </w:tcPr>
          <w:p w14:paraId="39B4B373">
            <w:pPr>
              <w:keepNext w:val="0"/>
              <w:keepLines w:val="0"/>
              <w:suppressLineNumbers w:val="0"/>
              <w:spacing w:before="0" w:beforeAutospacing="0" w:after="0" w:afterAutospacing="0"/>
              <w:ind w:left="0" w:right="0"/>
              <w:jc w:val="center"/>
              <w:rPr>
                <w:rFonts w:hint="default"/>
                <w:sz w:val="18"/>
                <w:szCs w:val="18"/>
              </w:rPr>
            </w:pPr>
            <w:r>
              <w:rPr>
                <w:rFonts w:hint="eastAsia"/>
                <w:i w:val="0"/>
                <w:iCs/>
                <w:color w:val="auto"/>
                <w:sz w:val="18"/>
                <w:szCs w:val="18"/>
                <w:lang w:val="en-US" w:eastAsia="zh-CN"/>
              </w:rPr>
              <w:t>ZS0316001</w:t>
            </w:r>
          </w:p>
        </w:tc>
        <w:tc>
          <w:tcPr>
            <w:tcW w:w="709" w:type="dxa"/>
            <w:vAlign w:val="center"/>
          </w:tcPr>
          <w:p w14:paraId="333878BD">
            <w:pPr>
              <w:keepNext w:val="0"/>
              <w:keepLines w:val="0"/>
              <w:suppressLineNumbers w:val="0"/>
              <w:spacing w:before="0" w:beforeAutospacing="0" w:after="0" w:afterAutospacing="0"/>
              <w:ind w:left="0" w:leftChars="0" w:right="0" w:rightChars="0"/>
              <w:jc w:val="center"/>
              <w:rPr>
                <w:rFonts w:hint="default"/>
                <w:color w:val="000000"/>
                <w:sz w:val="18"/>
                <w:szCs w:val="18"/>
                <w:lang w:val="en-US" w:eastAsia="zh-CN"/>
              </w:rPr>
            </w:pPr>
            <w:r>
              <w:rPr>
                <w:rFonts w:hint="eastAsia"/>
                <w:color w:val="000000"/>
                <w:sz w:val="18"/>
                <w:szCs w:val="18"/>
                <w:lang w:val="en-US" w:eastAsia="zh-CN"/>
              </w:rPr>
              <w:t>2</w:t>
            </w:r>
          </w:p>
        </w:tc>
        <w:tc>
          <w:tcPr>
            <w:tcW w:w="766" w:type="dxa"/>
            <w:vAlign w:val="center"/>
          </w:tcPr>
          <w:p w14:paraId="7BF4D950">
            <w:pPr>
              <w:keepNext w:val="0"/>
              <w:keepLines w:val="0"/>
              <w:suppressLineNumbers w:val="0"/>
              <w:spacing w:before="0" w:beforeAutospacing="0" w:after="0" w:afterAutospacing="0"/>
              <w:ind w:left="0" w:leftChars="0" w:right="0" w:rightChars="0"/>
              <w:jc w:val="center"/>
              <w:rPr>
                <w:rFonts w:hint="default"/>
                <w:color w:val="000000"/>
                <w:sz w:val="18"/>
                <w:szCs w:val="18"/>
                <w:lang w:val="en-US" w:eastAsia="zh-CN"/>
              </w:rPr>
            </w:pPr>
            <w:r>
              <w:rPr>
                <w:rFonts w:hint="eastAsia"/>
                <w:color w:val="000000"/>
                <w:sz w:val="18"/>
                <w:szCs w:val="18"/>
                <w:lang w:val="en-US" w:eastAsia="zh-CN"/>
              </w:rPr>
              <w:t>1</w:t>
            </w:r>
          </w:p>
        </w:tc>
        <w:tc>
          <w:tcPr>
            <w:tcW w:w="1089" w:type="dxa"/>
            <w:vAlign w:val="center"/>
          </w:tcPr>
          <w:p w14:paraId="0296C9D4">
            <w:pPr>
              <w:keepNext w:val="0"/>
              <w:keepLines w:val="0"/>
              <w:suppressLineNumbers w:val="0"/>
              <w:spacing w:before="0" w:beforeAutospacing="0" w:after="0" w:afterAutospacing="0"/>
              <w:ind w:left="0" w:leftChars="0" w:right="0" w:rightChars="0"/>
              <w:jc w:val="center"/>
              <w:rPr>
                <w:rFonts w:hint="default"/>
                <w:color w:val="000000"/>
                <w:sz w:val="18"/>
                <w:szCs w:val="18"/>
              </w:rPr>
            </w:pPr>
            <w:r>
              <w:rPr>
                <w:rFonts w:hint="eastAsia"/>
                <w:color w:val="000000"/>
                <w:sz w:val="18"/>
                <w:szCs w:val="18"/>
                <w:lang w:val="en-US" w:eastAsia="zh-CN"/>
              </w:rPr>
              <w:t>考试</w:t>
            </w:r>
          </w:p>
        </w:tc>
      </w:tr>
      <w:tr w14:paraId="37DBCF7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60" w:hRule="atLeast"/>
          <w:jc w:val="center"/>
        </w:trPr>
        <w:tc>
          <w:tcPr>
            <w:tcW w:w="1091" w:type="dxa"/>
            <w:vMerge w:val="continue"/>
            <w:vAlign w:val="center"/>
          </w:tcPr>
          <w:p w14:paraId="786E6DC5">
            <w:pPr>
              <w:keepNext w:val="0"/>
              <w:keepLines w:val="0"/>
              <w:suppressLineNumbers w:val="0"/>
              <w:spacing w:before="0" w:beforeAutospacing="0" w:after="0" w:afterAutospacing="0"/>
              <w:ind w:left="0" w:right="0"/>
              <w:jc w:val="center"/>
              <w:rPr>
                <w:rFonts w:hint="default"/>
                <w:b/>
                <w:color w:val="000000"/>
                <w:sz w:val="18"/>
                <w:szCs w:val="18"/>
              </w:rPr>
            </w:pPr>
          </w:p>
        </w:tc>
        <w:tc>
          <w:tcPr>
            <w:tcW w:w="1460" w:type="dxa"/>
            <w:vMerge w:val="continue"/>
            <w:vAlign w:val="center"/>
          </w:tcPr>
          <w:p w14:paraId="02E802D0">
            <w:pPr>
              <w:keepNext w:val="0"/>
              <w:keepLines w:val="0"/>
              <w:suppressLineNumbers w:val="0"/>
              <w:spacing w:before="0" w:beforeAutospacing="0" w:after="0" w:afterAutospacing="0"/>
              <w:ind w:left="0" w:right="0"/>
              <w:jc w:val="center"/>
              <w:rPr>
                <w:rFonts w:hint="default"/>
                <w:b/>
                <w:color w:val="000000"/>
                <w:sz w:val="18"/>
                <w:szCs w:val="18"/>
                <w:lang w:val="en-US" w:eastAsia="zh-CN"/>
              </w:rPr>
            </w:pPr>
          </w:p>
        </w:tc>
        <w:tc>
          <w:tcPr>
            <w:tcW w:w="3207" w:type="dxa"/>
            <w:vAlign w:val="center"/>
          </w:tcPr>
          <w:p w14:paraId="1CEA3F57">
            <w:pPr>
              <w:keepNext w:val="0"/>
              <w:keepLines w:val="0"/>
              <w:widowControl w:val="0"/>
              <w:suppressLineNumbers w:val="0"/>
              <w:spacing w:before="0" w:beforeAutospacing="0" w:after="0" w:afterAutospacing="0"/>
              <w:ind w:left="0" w:leftChars="0" w:right="0" w:rightChars="0"/>
              <w:jc w:val="left"/>
              <w:rPr>
                <w:rFonts w:hint="default"/>
                <w:color w:val="auto"/>
                <w:sz w:val="18"/>
                <w:szCs w:val="18"/>
              </w:rPr>
            </w:pPr>
            <w:r>
              <w:rPr>
                <w:rFonts w:hint="eastAsia"/>
                <w:color w:val="auto"/>
                <w:sz w:val="18"/>
                <w:szCs w:val="18"/>
                <w:lang w:val="en-US" w:eastAsia="zh-CN"/>
              </w:rPr>
              <w:t>中高级计量经济分析</w:t>
            </w:r>
          </w:p>
        </w:tc>
        <w:tc>
          <w:tcPr>
            <w:tcW w:w="1219" w:type="dxa"/>
            <w:vAlign w:val="center"/>
          </w:tcPr>
          <w:p w14:paraId="741CA033">
            <w:pPr>
              <w:keepNext w:val="0"/>
              <w:keepLines w:val="0"/>
              <w:suppressLineNumbers w:val="0"/>
              <w:spacing w:before="0" w:beforeAutospacing="0" w:after="0" w:afterAutospacing="0"/>
              <w:ind w:left="0" w:right="0"/>
              <w:jc w:val="center"/>
              <w:rPr>
                <w:rFonts w:hint="default"/>
                <w:i/>
                <w:color w:val="FF0000"/>
                <w:sz w:val="18"/>
                <w:szCs w:val="18"/>
              </w:rPr>
            </w:pPr>
            <w:r>
              <w:rPr>
                <w:rFonts w:hint="eastAsia"/>
                <w:i w:val="0"/>
                <w:iCs/>
                <w:color w:val="auto"/>
                <w:sz w:val="18"/>
                <w:szCs w:val="18"/>
                <w:lang w:val="en-US" w:eastAsia="zh-CN"/>
              </w:rPr>
              <w:t>ZS0316002</w:t>
            </w:r>
          </w:p>
        </w:tc>
        <w:tc>
          <w:tcPr>
            <w:tcW w:w="709" w:type="dxa"/>
            <w:vAlign w:val="center"/>
          </w:tcPr>
          <w:p w14:paraId="1BF23FB6">
            <w:pPr>
              <w:keepNext w:val="0"/>
              <w:keepLines w:val="0"/>
              <w:suppressLineNumbers w:val="0"/>
              <w:spacing w:before="0" w:beforeAutospacing="0" w:after="0" w:afterAutospacing="0"/>
              <w:ind w:left="0" w:right="0"/>
              <w:jc w:val="center"/>
              <w:rPr>
                <w:rFonts w:hint="eastAsia" w:eastAsia="宋体"/>
                <w:i w:val="0"/>
                <w:iCs/>
                <w:color w:val="auto"/>
                <w:sz w:val="18"/>
                <w:szCs w:val="18"/>
                <w:lang w:val="en-US" w:eastAsia="zh-CN"/>
              </w:rPr>
            </w:pPr>
            <w:r>
              <w:rPr>
                <w:rFonts w:hint="eastAsia"/>
                <w:i w:val="0"/>
                <w:iCs/>
                <w:color w:val="auto"/>
                <w:sz w:val="18"/>
                <w:szCs w:val="18"/>
                <w:lang w:val="en-US" w:eastAsia="zh-CN"/>
              </w:rPr>
              <w:t>1</w:t>
            </w:r>
          </w:p>
        </w:tc>
        <w:tc>
          <w:tcPr>
            <w:tcW w:w="766" w:type="dxa"/>
            <w:vAlign w:val="center"/>
          </w:tcPr>
          <w:p w14:paraId="1CA6413B">
            <w:pPr>
              <w:keepNext w:val="0"/>
              <w:keepLines w:val="0"/>
              <w:suppressLineNumbers w:val="0"/>
              <w:spacing w:before="0" w:beforeAutospacing="0" w:after="0" w:afterAutospacing="0"/>
              <w:ind w:left="0" w:right="0"/>
              <w:jc w:val="center"/>
              <w:rPr>
                <w:rFonts w:hint="eastAsia" w:eastAsia="宋体"/>
                <w:i w:val="0"/>
                <w:iCs/>
                <w:color w:val="auto"/>
                <w:sz w:val="18"/>
                <w:szCs w:val="18"/>
                <w:lang w:val="en-US" w:eastAsia="zh-CN"/>
              </w:rPr>
            </w:pPr>
            <w:r>
              <w:rPr>
                <w:rFonts w:hint="eastAsia"/>
                <w:i w:val="0"/>
                <w:iCs/>
                <w:color w:val="auto"/>
                <w:sz w:val="18"/>
                <w:szCs w:val="18"/>
                <w:lang w:val="en-US" w:eastAsia="zh-CN"/>
              </w:rPr>
              <w:t>1</w:t>
            </w:r>
          </w:p>
        </w:tc>
        <w:tc>
          <w:tcPr>
            <w:tcW w:w="1089" w:type="dxa"/>
            <w:vAlign w:val="center"/>
          </w:tcPr>
          <w:p w14:paraId="05AE786E">
            <w:pPr>
              <w:keepNext w:val="0"/>
              <w:keepLines w:val="0"/>
              <w:suppressLineNumbers w:val="0"/>
              <w:spacing w:before="0" w:beforeAutospacing="0" w:after="0" w:afterAutospacing="0"/>
              <w:ind w:left="0" w:right="0"/>
              <w:jc w:val="center"/>
              <w:rPr>
                <w:rFonts w:hint="eastAsia" w:eastAsia="宋体"/>
                <w:i/>
                <w:color w:val="auto"/>
                <w:sz w:val="18"/>
                <w:szCs w:val="18"/>
                <w:lang w:val="en-US" w:eastAsia="zh-CN"/>
              </w:rPr>
            </w:pPr>
            <w:r>
              <w:rPr>
                <w:rFonts w:hint="eastAsia"/>
                <w:i w:val="0"/>
                <w:iCs/>
                <w:color w:val="auto"/>
                <w:sz w:val="18"/>
                <w:szCs w:val="18"/>
                <w:lang w:val="en-US" w:eastAsia="zh-CN"/>
              </w:rPr>
              <w:t>考查</w:t>
            </w:r>
          </w:p>
        </w:tc>
      </w:tr>
      <w:tr w14:paraId="19218AE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4" w:hRule="atLeast"/>
          <w:jc w:val="center"/>
        </w:trPr>
        <w:tc>
          <w:tcPr>
            <w:tcW w:w="1091" w:type="dxa"/>
            <w:vMerge w:val="continue"/>
            <w:vAlign w:val="center"/>
          </w:tcPr>
          <w:p w14:paraId="7FFC91FF">
            <w:pPr>
              <w:keepNext w:val="0"/>
              <w:keepLines w:val="0"/>
              <w:suppressLineNumbers w:val="0"/>
              <w:spacing w:before="0" w:beforeAutospacing="0" w:after="0" w:afterAutospacing="0"/>
              <w:ind w:left="0" w:right="0"/>
              <w:jc w:val="center"/>
              <w:rPr>
                <w:rFonts w:hint="default"/>
                <w:b/>
                <w:color w:val="000000"/>
                <w:sz w:val="18"/>
                <w:szCs w:val="18"/>
              </w:rPr>
            </w:pPr>
          </w:p>
        </w:tc>
        <w:tc>
          <w:tcPr>
            <w:tcW w:w="1460" w:type="dxa"/>
            <w:vMerge w:val="restart"/>
            <w:vAlign w:val="center"/>
          </w:tcPr>
          <w:p w14:paraId="38B2BEF7">
            <w:pPr>
              <w:keepNext w:val="0"/>
              <w:keepLines w:val="0"/>
              <w:suppressLineNumbers w:val="0"/>
              <w:spacing w:before="0" w:beforeAutospacing="0" w:after="0" w:afterAutospacing="0"/>
              <w:ind w:left="0" w:right="0"/>
              <w:jc w:val="center"/>
              <w:rPr>
                <w:rFonts w:hint="default"/>
                <w:b/>
                <w:color w:val="000000"/>
                <w:sz w:val="18"/>
                <w:szCs w:val="18"/>
              </w:rPr>
            </w:pPr>
            <w:r>
              <w:rPr>
                <w:rFonts w:hint="default"/>
                <w:b/>
                <w:color w:val="000000"/>
                <w:sz w:val="18"/>
                <w:szCs w:val="18"/>
              </w:rPr>
              <w:t>专业必修课</w:t>
            </w:r>
          </w:p>
          <w:p w14:paraId="0A63E77D">
            <w:pPr>
              <w:keepNext w:val="0"/>
              <w:keepLines w:val="0"/>
              <w:suppressLineNumbers w:val="0"/>
              <w:spacing w:before="0" w:beforeAutospacing="0" w:after="0" w:afterAutospacing="0"/>
              <w:ind w:left="0" w:right="0"/>
              <w:jc w:val="center"/>
              <w:rPr>
                <w:rFonts w:hint="default" w:eastAsia="宋体"/>
                <w:b/>
                <w:color w:val="000000"/>
                <w:sz w:val="18"/>
                <w:szCs w:val="18"/>
                <w:lang w:val="en-US" w:eastAsia="zh-CN"/>
              </w:rPr>
            </w:pPr>
            <w:r>
              <w:rPr>
                <w:rFonts w:hint="eastAsia"/>
                <w:b/>
                <w:color w:val="000000"/>
                <w:sz w:val="18"/>
                <w:szCs w:val="18"/>
                <w:lang w:val="en-US" w:eastAsia="zh-CN"/>
              </w:rPr>
              <w:t>10学分</w:t>
            </w:r>
          </w:p>
        </w:tc>
        <w:tc>
          <w:tcPr>
            <w:tcW w:w="3207" w:type="dxa"/>
            <w:vAlign w:val="center"/>
          </w:tcPr>
          <w:p w14:paraId="59FB949A">
            <w:pPr>
              <w:keepNext w:val="0"/>
              <w:keepLines w:val="0"/>
              <w:widowControl w:val="0"/>
              <w:suppressLineNumbers w:val="0"/>
              <w:spacing w:before="0" w:beforeAutospacing="0" w:after="0" w:afterAutospacing="0"/>
              <w:ind w:left="0" w:leftChars="0" w:right="0" w:rightChars="0"/>
              <w:jc w:val="left"/>
              <w:rPr>
                <w:rFonts w:hint="eastAsia"/>
                <w:color w:val="auto"/>
                <w:sz w:val="18"/>
                <w:szCs w:val="18"/>
                <w:lang w:val="en-US" w:eastAsia="zh-CN"/>
              </w:rPr>
            </w:pPr>
            <w:r>
              <w:rPr>
                <w:rFonts w:hint="eastAsia"/>
                <w:color w:val="auto"/>
                <w:sz w:val="18"/>
                <w:szCs w:val="18"/>
              </w:rPr>
              <w:t>商务英语</w:t>
            </w:r>
          </w:p>
        </w:tc>
        <w:tc>
          <w:tcPr>
            <w:tcW w:w="1219" w:type="dxa"/>
            <w:vAlign w:val="center"/>
          </w:tcPr>
          <w:p w14:paraId="74267BB5">
            <w:pPr>
              <w:keepNext w:val="0"/>
              <w:keepLines w:val="0"/>
              <w:suppressLineNumbers w:val="0"/>
              <w:spacing w:before="0" w:beforeAutospacing="0" w:after="0" w:afterAutospacing="0"/>
              <w:ind w:left="0" w:right="0"/>
              <w:jc w:val="center"/>
              <w:rPr>
                <w:rFonts w:hint="default"/>
                <w:color w:val="000000"/>
                <w:sz w:val="18"/>
                <w:szCs w:val="18"/>
                <w:lang w:val="en-US" w:eastAsia="zh-CN"/>
              </w:rPr>
            </w:pPr>
            <w:r>
              <w:rPr>
                <w:rFonts w:hint="eastAsia"/>
                <w:i w:val="0"/>
                <w:iCs/>
                <w:color w:val="auto"/>
                <w:sz w:val="18"/>
                <w:szCs w:val="18"/>
                <w:lang w:val="en-US" w:eastAsia="zh-CN"/>
              </w:rPr>
              <w:t>ZS0316003</w:t>
            </w:r>
          </w:p>
        </w:tc>
        <w:tc>
          <w:tcPr>
            <w:tcW w:w="709" w:type="dxa"/>
            <w:vAlign w:val="center"/>
          </w:tcPr>
          <w:p w14:paraId="1228FD1E">
            <w:pPr>
              <w:keepNext w:val="0"/>
              <w:keepLines w:val="0"/>
              <w:suppressLineNumbers w:val="0"/>
              <w:spacing w:before="0" w:beforeAutospacing="0" w:after="0" w:afterAutospacing="0"/>
              <w:ind w:left="0" w:right="0"/>
              <w:jc w:val="center"/>
              <w:rPr>
                <w:rFonts w:hint="eastAsia"/>
                <w:color w:val="000000"/>
                <w:sz w:val="18"/>
                <w:szCs w:val="18"/>
                <w:lang w:val="en-US" w:eastAsia="zh-CN"/>
              </w:rPr>
            </w:pPr>
            <w:r>
              <w:rPr>
                <w:rFonts w:hint="eastAsia"/>
                <w:color w:val="000000"/>
                <w:sz w:val="18"/>
                <w:szCs w:val="18"/>
              </w:rPr>
              <w:t>2</w:t>
            </w:r>
          </w:p>
        </w:tc>
        <w:tc>
          <w:tcPr>
            <w:tcW w:w="766" w:type="dxa"/>
            <w:vAlign w:val="center"/>
          </w:tcPr>
          <w:p w14:paraId="49B059DE">
            <w:pPr>
              <w:keepNext w:val="0"/>
              <w:keepLines w:val="0"/>
              <w:suppressLineNumbers w:val="0"/>
              <w:spacing w:before="0" w:beforeAutospacing="0" w:after="0" w:afterAutospacing="0"/>
              <w:ind w:left="0" w:right="0"/>
              <w:jc w:val="center"/>
              <w:rPr>
                <w:rFonts w:hint="eastAsia"/>
                <w:color w:val="000000"/>
                <w:sz w:val="18"/>
                <w:szCs w:val="18"/>
                <w:lang w:val="en-US" w:eastAsia="zh-CN"/>
              </w:rPr>
            </w:pPr>
            <w:r>
              <w:rPr>
                <w:rFonts w:hint="eastAsia"/>
                <w:color w:val="000000"/>
                <w:sz w:val="18"/>
                <w:szCs w:val="18"/>
              </w:rPr>
              <w:t>1</w:t>
            </w:r>
          </w:p>
        </w:tc>
        <w:tc>
          <w:tcPr>
            <w:tcW w:w="1089" w:type="dxa"/>
            <w:vAlign w:val="center"/>
          </w:tcPr>
          <w:p w14:paraId="1945BD99">
            <w:pPr>
              <w:keepNext w:val="0"/>
              <w:keepLines w:val="0"/>
              <w:suppressLineNumbers w:val="0"/>
              <w:spacing w:before="0" w:beforeAutospacing="0" w:after="0" w:afterAutospacing="0"/>
              <w:ind w:left="0" w:right="0"/>
              <w:jc w:val="center"/>
              <w:rPr>
                <w:rFonts w:hint="eastAsia"/>
                <w:color w:val="000000"/>
                <w:sz w:val="18"/>
                <w:szCs w:val="18"/>
                <w:lang w:val="en-US" w:eastAsia="zh-CN"/>
              </w:rPr>
            </w:pPr>
            <w:r>
              <w:rPr>
                <w:rFonts w:hint="eastAsia"/>
                <w:color w:val="000000"/>
                <w:sz w:val="18"/>
                <w:szCs w:val="18"/>
                <w:lang w:val="en-US" w:eastAsia="zh-CN"/>
              </w:rPr>
              <w:t>考试</w:t>
            </w:r>
          </w:p>
        </w:tc>
      </w:tr>
      <w:tr w14:paraId="446C0B9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91" w:type="dxa"/>
            <w:vMerge w:val="continue"/>
            <w:vAlign w:val="center"/>
          </w:tcPr>
          <w:p w14:paraId="55D193A8">
            <w:pPr>
              <w:keepNext w:val="0"/>
              <w:keepLines w:val="0"/>
              <w:suppressLineNumbers w:val="0"/>
              <w:spacing w:before="0" w:beforeAutospacing="0" w:after="0" w:afterAutospacing="0"/>
              <w:ind w:left="0" w:right="0"/>
              <w:jc w:val="center"/>
              <w:rPr>
                <w:rFonts w:hint="default"/>
                <w:b/>
                <w:color w:val="000000"/>
                <w:sz w:val="18"/>
                <w:szCs w:val="18"/>
              </w:rPr>
            </w:pPr>
          </w:p>
        </w:tc>
        <w:tc>
          <w:tcPr>
            <w:tcW w:w="1460" w:type="dxa"/>
            <w:vMerge w:val="continue"/>
            <w:vAlign w:val="center"/>
          </w:tcPr>
          <w:p w14:paraId="55797DB7">
            <w:pPr>
              <w:keepNext w:val="0"/>
              <w:keepLines w:val="0"/>
              <w:suppressLineNumbers w:val="0"/>
              <w:spacing w:before="0" w:beforeAutospacing="0" w:after="0" w:afterAutospacing="0"/>
              <w:ind w:left="0" w:right="0"/>
              <w:jc w:val="center"/>
              <w:rPr>
                <w:rFonts w:hint="default"/>
                <w:b/>
                <w:color w:val="000000"/>
                <w:sz w:val="18"/>
                <w:szCs w:val="18"/>
              </w:rPr>
            </w:pPr>
          </w:p>
        </w:tc>
        <w:tc>
          <w:tcPr>
            <w:tcW w:w="3207" w:type="dxa"/>
            <w:vAlign w:val="center"/>
          </w:tcPr>
          <w:p w14:paraId="1A7CF100">
            <w:pPr>
              <w:keepNext w:val="0"/>
              <w:keepLines w:val="0"/>
              <w:widowControl w:val="0"/>
              <w:suppressLineNumbers w:val="0"/>
              <w:spacing w:before="0" w:beforeAutospacing="0" w:after="0" w:afterAutospacing="0"/>
              <w:ind w:left="0" w:leftChars="0" w:right="0" w:rightChars="0"/>
              <w:jc w:val="left"/>
              <w:rPr>
                <w:rFonts w:hint="default"/>
                <w:color w:val="auto"/>
                <w:sz w:val="18"/>
                <w:szCs w:val="18"/>
                <w:lang w:val="en-US" w:eastAsia="zh-CN"/>
              </w:rPr>
            </w:pPr>
            <w:r>
              <w:rPr>
                <w:rFonts w:hint="eastAsia"/>
                <w:color w:val="auto"/>
                <w:sz w:val="18"/>
                <w:szCs w:val="18"/>
                <w:lang w:val="en-US" w:eastAsia="zh-CN"/>
              </w:rPr>
              <w:t>中级</w:t>
            </w:r>
            <w:r>
              <w:rPr>
                <w:rFonts w:hint="eastAsia"/>
                <w:color w:val="auto"/>
                <w:sz w:val="18"/>
                <w:szCs w:val="18"/>
              </w:rPr>
              <w:t>国际商务</w:t>
            </w:r>
          </w:p>
        </w:tc>
        <w:tc>
          <w:tcPr>
            <w:tcW w:w="1219" w:type="dxa"/>
            <w:vAlign w:val="center"/>
          </w:tcPr>
          <w:p w14:paraId="27BA87A1">
            <w:pPr>
              <w:keepNext w:val="0"/>
              <w:keepLines w:val="0"/>
              <w:suppressLineNumbers w:val="0"/>
              <w:spacing w:before="0" w:beforeAutospacing="0" w:after="0" w:afterAutospacing="0"/>
              <w:ind w:left="0" w:right="0"/>
              <w:jc w:val="center"/>
              <w:rPr>
                <w:rFonts w:hint="default"/>
                <w:color w:val="000000"/>
                <w:sz w:val="18"/>
                <w:szCs w:val="18"/>
                <w:lang w:val="en-US" w:eastAsia="zh-CN"/>
              </w:rPr>
            </w:pPr>
            <w:r>
              <w:rPr>
                <w:rFonts w:hint="eastAsia"/>
                <w:i w:val="0"/>
                <w:iCs/>
                <w:color w:val="auto"/>
                <w:sz w:val="18"/>
                <w:szCs w:val="18"/>
                <w:lang w:val="en-US" w:eastAsia="zh-CN"/>
              </w:rPr>
              <w:t>ZS0316004</w:t>
            </w:r>
          </w:p>
        </w:tc>
        <w:tc>
          <w:tcPr>
            <w:tcW w:w="709" w:type="dxa"/>
            <w:vAlign w:val="center"/>
          </w:tcPr>
          <w:p w14:paraId="072F77A5">
            <w:pPr>
              <w:keepNext w:val="0"/>
              <w:keepLines w:val="0"/>
              <w:suppressLineNumbers w:val="0"/>
              <w:spacing w:before="0" w:beforeAutospacing="0" w:after="0" w:afterAutospacing="0"/>
              <w:ind w:left="0" w:right="0"/>
              <w:jc w:val="center"/>
              <w:rPr>
                <w:rFonts w:hint="eastAsia" w:eastAsia="宋体"/>
                <w:color w:val="000000"/>
                <w:sz w:val="18"/>
                <w:szCs w:val="18"/>
                <w:lang w:val="en-US" w:eastAsia="zh-CN"/>
              </w:rPr>
            </w:pPr>
            <w:r>
              <w:rPr>
                <w:rFonts w:hint="eastAsia"/>
                <w:color w:val="000000"/>
                <w:sz w:val="18"/>
                <w:szCs w:val="18"/>
                <w:lang w:val="en-US" w:eastAsia="zh-CN"/>
              </w:rPr>
              <w:t>2</w:t>
            </w:r>
          </w:p>
        </w:tc>
        <w:tc>
          <w:tcPr>
            <w:tcW w:w="766" w:type="dxa"/>
            <w:vAlign w:val="center"/>
          </w:tcPr>
          <w:p w14:paraId="08780534">
            <w:pPr>
              <w:keepNext w:val="0"/>
              <w:keepLines w:val="0"/>
              <w:suppressLineNumbers w:val="0"/>
              <w:spacing w:before="0" w:beforeAutospacing="0" w:after="0" w:afterAutospacing="0"/>
              <w:ind w:left="0" w:right="0"/>
              <w:jc w:val="center"/>
              <w:rPr>
                <w:rFonts w:hint="eastAsia"/>
                <w:color w:val="000000"/>
                <w:sz w:val="18"/>
                <w:szCs w:val="18"/>
                <w:lang w:val="en-US" w:eastAsia="zh-CN"/>
              </w:rPr>
            </w:pPr>
            <w:r>
              <w:rPr>
                <w:rFonts w:hint="eastAsia"/>
                <w:color w:val="000000"/>
                <w:sz w:val="18"/>
                <w:szCs w:val="18"/>
              </w:rPr>
              <w:t>1</w:t>
            </w:r>
          </w:p>
        </w:tc>
        <w:tc>
          <w:tcPr>
            <w:tcW w:w="1089" w:type="dxa"/>
            <w:vAlign w:val="center"/>
          </w:tcPr>
          <w:p w14:paraId="6C6E2A3E">
            <w:pPr>
              <w:keepNext w:val="0"/>
              <w:keepLines w:val="0"/>
              <w:suppressLineNumbers w:val="0"/>
              <w:spacing w:before="0" w:beforeAutospacing="0" w:after="0" w:afterAutospacing="0"/>
              <w:ind w:left="0" w:right="0"/>
              <w:jc w:val="center"/>
              <w:rPr>
                <w:rFonts w:hint="eastAsia"/>
                <w:color w:val="000000"/>
                <w:sz w:val="18"/>
                <w:szCs w:val="18"/>
                <w:lang w:val="en-US" w:eastAsia="zh-CN"/>
              </w:rPr>
            </w:pPr>
            <w:r>
              <w:rPr>
                <w:rFonts w:hint="eastAsia"/>
                <w:color w:val="000000"/>
                <w:sz w:val="18"/>
                <w:szCs w:val="18"/>
                <w:lang w:val="en-US" w:eastAsia="zh-CN"/>
              </w:rPr>
              <w:t>考试</w:t>
            </w:r>
          </w:p>
        </w:tc>
      </w:tr>
      <w:tr w14:paraId="0FD0B78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91" w:type="dxa"/>
            <w:vMerge w:val="continue"/>
            <w:vAlign w:val="center"/>
          </w:tcPr>
          <w:p w14:paraId="15FDA04E">
            <w:pPr>
              <w:keepNext w:val="0"/>
              <w:keepLines w:val="0"/>
              <w:suppressLineNumbers w:val="0"/>
              <w:spacing w:before="0" w:beforeAutospacing="0" w:after="0" w:afterAutospacing="0"/>
              <w:ind w:left="0" w:right="0"/>
              <w:jc w:val="center"/>
              <w:rPr>
                <w:rFonts w:hint="default"/>
                <w:b/>
                <w:color w:val="000000"/>
                <w:sz w:val="18"/>
                <w:szCs w:val="18"/>
              </w:rPr>
            </w:pPr>
          </w:p>
        </w:tc>
        <w:tc>
          <w:tcPr>
            <w:tcW w:w="1460" w:type="dxa"/>
            <w:vMerge w:val="continue"/>
            <w:vAlign w:val="center"/>
          </w:tcPr>
          <w:p w14:paraId="37AC4FBA">
            <w:pPr>
              <w:keepNext w:val="0"/>
              <w:keepLines w:val="0"/>
              <w:suppressLineNumbers w:val="0"/>
              <w:spacing w:before="0" w:beforeAutospacing="0" w:after="0" w:afterAutospacing="0"/>
              <w:ind w:left="0" w:right="0"/>
              <w:jc w:val="center"/>
              <w:rPr>
                <w:rFonts w:hint="default"/>
                <w:b/>
                <w:color w:val="000000"/>
                <w:sz w:val="18"/>
                <w:szCs w:val="18"/>
              </w:rPr>
            </w:pPr>
          </w:p>
        </w:tc>
        <w:tc>
          <w:tcPr>
            <w:tcW w:w="3207" w:type="dxa"/>
            <w:vAlign w:val="center"/>
          </w:tcPr>
          <w:p w14:paraId="5BCFA4F7">
            <w:pPr>
              <w:keepNext w:val="0"/>
              <w:keepLines w:val="0"/>
              <w:widowControl w:val="0"/>
              <w:suppressLineNumbers w:val="0"/>
              <w:spacing w:before="0" w:beforeAutospacing="0" w:after="0" w:afterAutospacing="0"/>
              <w:ind w:left="0" w:leftChars="0" w:right="0" w:rightChars="0"/>
              <w:jc w:val="left"/>
              <w:rPr>
                <w:rFonts w:hint="eastAsia"/>
                <w:color w:val="auto"/>
                <w:sz w:val="18"/>
                <w:szCs w:val="18"/>
                <w:lang w:val="en-US" w:eastAsia="zh-CN"/>
              </w:rPr>
            </w:pPr>
            <w:r>
              <w:rPr>
                <w:rFonts w:hint="eastAsia"/>
                <w:color w:val="auto"/>
                <w:sz w:val="18"/>
                <w:szCs w:val="18"/>
              </w:rPr>
              <w:t>国际</w:t>
            </w:r>
            <w:r>
              <w:rPr>
                <w:rFonts w:hint="eastAsia"/>
                <w:color w:val="auto"/>
                <w:sz w:val="18"/>
                <w:szCs w:val="18"/>
                <w:lang w:val="en-US" w:eastAsia="zh-CN"/>
              </w:rPr>
              <w:t>经济政策</w:t>
            </w:r>
          </w:p>
        </w:tc>
        <w:tc>
          <w:tcPr>
            <w:tcW w:w="1219" w:type="dxa"/>
            <w:vAlign w:val="center"/>
          </w:tcPr>
          <w:p w14:paraId="6E4189B4">
            <w:pPr>
              <w:keepNext w:val="0"/>
              <w:keepLines w:val="0"/>
              <w:suppressLineNumbers w:val="0"/>
              <w:spacing w:before="0" w:beforeAutospacing="0" w:after="0" w:afterAutospacing="0"/>
              <w:ind w:left="0" w:right="0"/>
              <w:jc w:val="center"/>
              <w:rPr>
                <w:rFonts w:hint="default"/>
                <w:color w:val="000000"/>
                <w:sz w:val="18"/>
                <w:szCs w:val="18"/>
                <w:lang w:val="en-US" w:eastAsia="zh-CN"/>
              </w:rPr>
            </w:pPr>
            <w:r>
              <w:rPr>
                <w:rFonts w:hint="eastAsia"/>
                <w:i w:val="0"/>
                <w:iCs/>
                <w:color w:val="auto"/>
                <w:sz w:val="18"/>
                <w:szCs w:val="18"/>
                <w:lang w:val="en-US" w:eastAsia="zh-CN"/>
              </w:rPr>
              <w:t>ZS0316205</w:t>
            </w:r>
          </w:p>
        </w:tc>
        <w:tc>
          <w:tcPr>
            <w:tcW w:w="709" w:type="dxa"/>
            <w:vAlign w:val="center"/>
          </w:tcPr>
          <w:p w14:paraId="65282D01">
            <w:pPr>
              <w:keepNext w:val="0"/>
              <w:keepLines w:val="0"/>
              <w:suppressLineNumbers w:val="0"/>
              <w:spacing w:before="0" w:beforeAutospacing="0" w:after="0" w:afterAutospacing="0"/>
              <w:ind w:left="0" w:right="0"/>
              <w:jc w:val="center"/>
              <w:rPr>
                <w:rFonts w:hint="default"/>
                <w:color w:val="000000"/>
                <w:sz w:val="18"/>
                <w:szCs w:val="18"/>
                <w:lang w:val="en-US" w:eastAsia="zh-CN"/>
              </w:rPr>
            </w:pPr>
            <w:r>
              <w:rPr>
                <w:rFonts w:hint="eastAsia"/>
                <w:color w:val="000000"/>
                <w:sz w:val="18"/>
                <w:szCs w:val="18"/>
                <w:lang w:val="en-US" w:eastAsia="zh-CN"/>
              </w:rPr>
              <w:t>2</w:t>
            </w:r>
          </w:p>
        </w:tc>
        <w:tc>
          <w:tcPr>
            <w:tcW w:w="766" w:type="dxa"/>
            <w:vAlign w:val="center"/>
          </w:tcPr>
          <w:p w14:paraId="40F191FE">
            <w:pPr>
              <w:keepNext w:val="0"/>
              <w:keepLines w:val="0"/>
              <w:suppressLineNumbers w:val="0"/>
              <w:spacing w:before="0" w:beforeAutospacing="0" w:after="0" w:afterAutospacing="0"/>
              <w:ind w:left="0" w:right="0"/>
              <w:jc w:val="center"/>
              <w:rPr>
                <w:rFonts w:hint="eastAsia" w:eastAsia="宋体"/>
                <w:color w:val="000000"/>
                <w:sz w:val="18"/>
                <w:szCs w:val="18"/>
                <w:lang w:val="en-US" w:eastAsia="zh-CN"/>
              </w:rPr>
            </w:pPr>
            <w:r>
              <w:rPr>
                <w:rFonts w:hint="eastAsia"/>
                <w:color w:val="000000"/>
                <w:sz w:val="18"/>
                <w:szCs w:val="18"/>
                <w:lang w:val="en-US" w:eastAsia="zh-CN"/>
              </w:rPr>
              <w:t>1</w:t>
            </w:r>
          </w:p>
        </w:tc>
        <w:tc>
          <w:tcPr>
            <w:tcW w:w="1089" w:type="dxa"/>
            <w:vAlign w:val="center"/>
          </w:tcPr>
          <w:p w14:paraId="0D43E71E">
            <w:pPr>
              <w:keepNext w:val="0"/>
              <w:keepLines w:val="0"/>
              <w:suppressLineNumbers w:val="0"/>
              <w:spacing w:before="0" w:beforeAutospacing="0" w:after="0" w:afterAutospacing="0"/>
              <w:ind w:left="0" w:right="0"/>
              <w:jc w:val="center"/>
              <w:rPr>
                <w:rFonts w:hint="eastAsia"/>
                <w:color w:val="000000"/>
                <w:sz w:val="18"/>
                <w:szCs w:val="18"/>
                <w:lang w:val="en-US" w:eastAsia="zh-CN"/>
              </w:rPr>
            </w:pPr>
            <w:r>
              <w:rPr>
                <w:rFonts w:hint="eastAsia"/>
                <w:color w:val="000000"/>
                <w:sz w:val="18"/>
                <w:szCs w:val="18"/>
                <w:lang w:val="en-US" w:eastAsia="zh-CN"/>
              </w:rPr>
              <w:t>考试</w:t>
            </w:r>
          </w:p>
        </w:tc>
      </w:tr>
      <w:tr w14:paraId="1EC64A6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91" w:type="dxa"/>
            <w:vMerge w:val="continue"/>
            <w:vAlign w:val="center"/>
          </w:tcPr>
          <w:p w14:paraId="3115C40E">
            <w:pPr>
              <w:keepNext w:val="0"/>
              <w:keepLines w:val="0"/>
              <w:suppressLineNumbers w:val="0"/>
              <w:spacing w:before="0" w:beforeAutospacing="0" w:after="0" w:afterAutospacing="0"/>
              <w:ind w:left="0" w:right="0"/>
              <w:jc w:val="center"/>
              <w:rPr>
                <w:rFonts w:hint="default"/>
                <w:b/>
                <w:color w:val="000000"/>
                <w:sz w:val="18"/>
                <w:szCs w:val="18"/>
              </w:rPr>
            </w:pPr>
          </w:p>
        </w:tc>
        <w:tc>
          <w:tcPr>
            <w:tcW w:w="1460" w:type="dxa"/>
            <w:vMerge w:val="continue"/>
            <w:vAlign w:val="center"/>
          </w:tcPr>
          <w:p w14:paraId="198E430A">
            <w:pPr>
              <w:keepNext w:val="0"/>
              <w:keepLines w:val="0"/>
              <w:suppressLineNumbers w:val="0"/>
              <w:spacing w:before="0" w:beforeAutospacing="0" w:after="0" w:afterAutospacing="0"/>
              <w:ind w:left="0" w:right="0"/>
              <w:jc w:val="center"/>
              <w:rPr>
                <w:rFonts w:hint="default"/>
                <w:b/>
                <w:color w:val="000000"/>
                <w:sz w:val="18"/>
                <w:szCs w:val="18"/>
              </w:rPr>
            </w:pPr>
          </w:p>
        </w:tc>
        <w:tc>
          <w:tcPr>
            <w:tcW w:w="3207" w:type="dxa"/>
            <w:vAlign w:val="center"/>
          </w:tcPr>
          <w:p w14:paraId="6623A041">
            <w:pPr>
              <w:keepNext w:val="0"/>
              <w:keepLines w:val="0"/>
              <w:widowControl w:val="0"/>
              <w:suppressLineNumbers w:val="0"/>
              <w:spacing w:before="0" w:beforeAutospacing="0" w:after="0" w:afterAutospacing="0"/>
              <w:ind w:left="0" w:leftChars="0" w:right="0" w:rightChars="0"/>
              <w:jc w:val="left"/>
              <w:rPr>
                <w:rFonts w:hint="eastAsia"/>
                <w:color w:val="auto"/>
                <w:sz w:val="18"/>
                <w:szCs w:val="18"/>
                <w:lang w:val="en-US" w:eastAsia="zh-CN"/>
              </w:rPr>
            </w:pPr>
            <w:r>
              <w:rPr>
                <w:rFonts w:hint="eastAsia"/>
                <w:color w:val="auto"/>
                <w:sz w:val="18"/>
                <w:szCs w:val="18"/>
                <w:lang w:val="en-US" w:eastAsia="zh-CN"/>
              </w:rPr>
              <w:t>国际投资与跨国企业管理</w:t>
            </w:r>
          </w:p>
        </w:tc>
        <w:tc>
          <w:tcPr>
            <w:tcW w:w="1219" w:type="dxa"/>
            <w:vAlign w:val="center"/>
          </w:tcPr>
          <w:p w14:paraId="0F1ADB29">
            <w:pPr>
              <w:keepNext w:val="0"/>
              <w:keepLines w:val="0"/>
              <w:suppressLineNumbers w:val="0"/>
              <w:spacing w:before="0" w:beforeAutospacing="0" w:after="0" w:afterAutospacing="0"/>
              <w:ind w:left="0" w:right="0"/>
              <w:jc w:val="center"/>
              <w:rPr>
                <w:rFonts w:hint="eastAsia"/>
                <w:i w:val="0"/>
                <w:iCs/>
                <w:color w:val="auto"/>
                <w:sz w:val="18"/>
                <w:szCs w:val="18"/>
                <w:lang w:val="en-US" w:eastAsia="zh-CN"/>
              </w:rPr>
            </w:pPr>
            <w:r>
              <w:rPr>
                <w:rFonts w:hint="eastAsia"/>
                <w:i w:val="0"/>
                <w:iCs/>
                <w:color w:val="auto"/>
                <w:sz w:val="18"/>
                <w:szCs w:val="18"/>
                <w:lang w:val="en-US" w:eastAsia="zh-CN"/>
              </w:rPr>
              <w:t>ZS0316206</w:t>
            </w:r>
          </w:p>
        </w:tc>
        <w:tc>
          <w:tcPr>
            <w:tcW w:w="709" w:type="dxa"/>
            <w:vAlign w:val="center"/>
          </w:tcPr>
          <w:p w14:paraId="0BAB381C">
            <w:pPr>
              <w:keepNext w:val="0"/>
              <w:keepLines w:val="0"/>
              <w:suppressLineNumbers w:val="0"/>
              <w:spacing w:before="0" w:beforeAutospacing="0" w:after="0" w:afterAutospacing="0"/>
              <w:ind w:left="0" w:right="0"/>
              <w:jc w:val="center"/>
              <w:rPr>
                <w:rFonts w:hint="default"/>
                <w:color w:val="000000"/>
                <w:sz w:val="18"/>
                <w:szCs w:val="18"/>
                <w:lang w:val="en-US" w:eastAsia="zh-CN"/>
              </w:rPr>
            </w:pPr>
            <w:r>
              <w:rPr>
                <w:rFonts w:hint="eastAsia"/>
                <w:color w:val="000000"/>
                <w:sz w:val="18"/>
                <w:szCs w:val="18"/>
                <w:lang w:val="en-US" w:eastAsia="zh-CN"/>
              </w:rPr>
              <w:t>2</w:t>
            </w:r>
          </w:p>
        </w:tc>
        <w:tc>
          <w:tcPr>
            <w:tcW w:w="766" w:type="dxa"/>
            <w:vAlign w:val="center"/>
          </w:tcPr>
          <w:p w14:paraId="49E3FB9F">
            <w:pPr>
              <w:keepNext w:val="0"/>
              <w:keepLines w:val="0"/>
              <w:suppressLineNumbers w:val="0"/>
              <w:spacing w:before="0" w:beforeAutospacing="0" w:after="0" w:afterAutospacing="0"/>
              <w:ind w:left="0" w:right="0"/>
              <w:jc w:val="center"/>
              <w:rPr>
                <w:rFonts w:hint="default"/>
                <w:color w:val="000000"/>
                <w:sz w:val="18"/>
                <w:szCs w:val="18"/>
                <w:lang w:val="en-US" w:eastAsia="zh-CN"/>
              </w:rPr>
            </w:pPr>
            <w:r>
              <w:rPr>
                <w:rFonts w:hint="eastAsia"/>
                <w:color w:val="000000"/>
                <w:sz w:val="18"/>
                <w:szCs w:val="18"/>
                <w:lang w:val="en-US" w:eastAsia="zh-CN"/>
              </w:rPr>
              <w:t>1</w:t>
            </w:r>
          </w:p>
        </w:tc>
        <w:tc>
          <w:tcPr>
            <w:tcW w:w="1089" w:type="dxa"/>
            <w:vAlign w:val="center"/>
          </w:tcPr>
          <w:p w14:paraId="2F2FC196">
            <w:pPr>
              <w:keepNext w:val="0"/>
              <w:keepLines w:val="0"/>
              <w:suppressLineNumbers w:val="0"/>
              <w:spacing w:before="0" w:beforeAutospacing="0" w:after="0" w:afterAutospacing="0"/>
              <w:ind w:left="0" w:right="0"/>
              <w:jc w:val="center"/>
              <w:rPr>
                <w:rFonts w:hint="eastAsia"/>
                <w:color w:val="000000"/>
                <w:sz w:val="18"/>
                <w:szCs w:val="18"/>
                <w:lang w:val="en-US" w:eastAsia="zh-CN"/>
              </w:rPr>
            </w:pPr>
            <w:r>
              <w:rPr>
                <w:rFonts w:hint="eastAsia"/>
                <w:color w:val="000000"/>
                <w:sz w:val="18"/>
                <w:szCs w:val="18"/>
                <w:lang w:val="en-US" w:eastAsia="zh-CN"/>
              </w:rPr>
              <w:t>考试</w:t>
            </w:r>
          </w:p>
        </w:tc>
      </w:tr>
      <w:tr w14:paraId="7DD876D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91" w:type="dxa"/>
            <w:vMerge w:val="continue"/>
            <w:vAlign w:val="center"/>
          </w:tcPr>
          <w:p w14:paraId="7E06F57E">
            <w:pPr>
              <w:keepNext w:val="0"/>
              <w:keepLines w:val="0"/>
              <w:suppressLineNumbers w:val="0"/>
              <w:spacing w:before="0" w:beforeAutospacing="0" w:after="0" w:afterAutospacing="0"/>
              <w:ind w:left="0" w:right="0"/>
              <w:jc w:val="center"/>
              <w:rPr>
                <w:rFonts w:hint="default"/>
                <w:b/>
                <w:color w:val="000000"/>
                <w:sz w:val="18"/>
                <w:szCs w:val="18"/>
              </w:rPr>
            </w:pPr>
          </w:p>
        </w:tc>
        <w:tc>
          <w:tcPr>
            <w:tcW w:w="1460" w:type="dxa"/>
            <w:vMerge w:val="continue"/>
            <w:vAlign w:val="center"/>
          </w:tcPr>
          <w:p w14:paraId="40209866">
            <w:pPr>
              <w:keepNext w:val="0"/>
              <w:keepLines w:val="0"/>
              <w:suppressLineNumbers w:val="0"/>
              <w:spacing w:before="0" w:beforeAutospacing="0" w:after="0" w:afterAutospacing="0"/>
              <w:ind w:left="0" w:right="0"/>
              <w:jc w:val="center"/>
              <w:rPr>
                <w:rFonts w:hint="default"/>
                <w:b/>
                <w:color w:val="000000"/>
                <w:sz w:val="18"/>
                <w:szCs w:val="18"/>
              </w:rPr>
            </w:pPr>
          </w:p>
        </w:tc>
        <w:tc>
          <w:tcPr>
            <w:tcW w:w="3207" w:type="dxa"/>
            <w:vAlign w:val="center"/>
          </w:tcPr>
          <w:p w14:paraId="2BBDA1B6">
            <w:pPr>
              <w:keepNext w:val="0"/>
              <w:keepLines w:val="0"/>
              <w:widowControl w:val="0"/>
              <w:suppressLineNumbers w:val="0"/>
              <w:spacing w:before="0" w:beforeAutospacing="0" w:after="0" w:afterAutospacing="0"/>
              <w:ind w:left="0" w:leftChars="0" w:right="0" w:rightChars="0"/>
              <w:jc w:val="left"/>
              <w:rPr>
                <w:rFonts w:hint="eastAsia"/>
                <w:color w:val="auto"/>
                <w:sz w:val="18"/>
                <w:szCs w:val="18"/>
                <w:lang w:val="en-US" w:eastAsia="zh-CN"/>
              </w:rPr>
            </w:pPr>
            <w:r>
              <w:rPr>
                <w:rFonts w:hint="eastAsia"/>
                <w:color w:val="auto"/>
                <w:sz w:val="18"/>
                <w:szCs w:val="18"/>
              </w:rPr>
              <w:t>国际商务谈判</w:t>
            </w:r>
          </w:p>
        </w:tc>
        <w:tc>
          <w:tcPr>
            <w:tcW w:w="1219" w:type="dxa"/>
            <w:vAlign w:val="center"/>
          </w:tcPr>
          <w:p w14:paraId="4BC9DC16">
            <w:pPr>
              <w:keepNext w:val="0"/>
              <w:keepLines w:val="0"/>
              <w:suppressLineNumbers w:val="0"/>
              <w:spacing w:before="0" w:beforeAutospacing="0" w:after="0" w:afterAutospacing="0"/>
              <w:ind w:left="0" w:right="0"/>
              <w:jc w:val="center"/>
              <w:rPr>
                <w:rFonts w:hint="eastAsia"/>
                <w:i w:val="0"/>
                <w:iCs/>
                <w:color w:val="auto"/>
                <w:sz w:val="18"/>
                <w:szCs w:val="18"/>
                <w:lang w:val="en-US" w:eastAsia="zh-CN"/>
              </w:rPr>
            </w:pPr>
            <w:r>
              <w:rPr>
                <w:rFonts w:hint="eastAsia"/>
                <w:i w:val="0"/>
                <w:iCs/>
                <w:color w:val="auto"/>
                <w:sz w:val="18"/>
                <w:szCs w:val="18"/>
                <w:lang w:val="en-US" w:eastAsia="zh-CN"/>
              </w:rPr>
              <w:t>ZS0316207</w:t>
            </w:r>
          </w:p>
        </w:tc>
        <w:tc>
          <w:tcPr>
            <w:tcW w:w="709" w:type="dxa"/>
            <w:vAlign w:val="center"/>
          </w:tcPr>
          <w:p w14:paraId="6354A844">
            <w:pPr>
              <w:keepNext w:val="0"/>
              <w:keepLines w:val="0"/>
              <w:suppressLineNumbers w:val="0"/>
              <w:spacing w:before="0" w:beforeAutospacing="0" w:after="0" w:afterAutospacing="0"/>
              <w:ind w:left="0" w:right="0"/>
              <w:jc w:val="center"/>
              <w:rPr>
                <w:rFonts w:hint="default"/>
                <w:color w:val="000000"/>
                <w:sz w:val="18"/>
                <w:szCs w:val="18"/>
                <w:lang w:val="en-US" w:eastAsia="zh-CN"/>
              </w:rPr>
            </w:pPr>
            <w:r>
              <w:rPr>
                <w:rFonts w:hint="eastAsia"/>
                <w:color w:val="000000"/>
                <w:sz w:val="18"/>
                <w:szCs w:val="18"/>
                <w:lang w:val="en-US" w:eastAsia="zh-CN"/>
              </w:rPr>
              <w:t>2</w:t>
            </w:r>
          </w:p>
        </w:tc>
        <w:tc>
          <w:tcPr>
            <w:tcW w:w="766" w:type="dxa"/>
            <w:vAlign w:val="center"/>
          </w:tcPr>
          <w:p w14:paraId="58BB1BE2">
            <w:pPr>
              <w:keepNext w:val="0"/>
              <w:keepLines w:val="0"/>
              <w:suppressLineNumbers w:val="0"/>
              <w:spacing w:before="0" w:beforeAutospacing="0" w:after="0" w:afterAutospacing="0"/>
              <w:ind w:left="0" w:right="0"/>
              <w:jc w:val="center"/>
              <w:rPr>
                <w:rFonts w:hint="default"/>
                <w:color w:val="000000"/>
                <w:sz w:val="18"/>
                <w:szCs w:val="18"/>
                <w:lang w:val="en-US" w:eastAsia="zh-CN"/>
              </w:rPr>
            </w:pPr>
            <w:r>
              <w:rPr>
                <w:rFonts w:hint="eastAsia"/>
                <w:color w:val="000000"/>
                <w:sz w:val="18"/>
                <w:szCs w:val="18"/>
                <w:lang w:val="en-US" w:eastAsia="zh-CN"/>
              </w:rPr>
              <w:t>2</w:t>
            </w:r>
          </w:p>
        </w:tc>
        <w:tc>
          <w:tcPr>
            <w:tcW w:w="1089" w:type="dxa"/>
            <w:vAlign w:val="center"/>
          </w:tcPr>
          <w:p w14:paraId="0B5BB137">
            <w:pPr>
              <w:keepNext w:val="0"/>
              <w:keepLines w:val="0"/>
              <w:suppressLineNumbers w:val="0"/>
              <w:spacing w:before="0" w:beforeAutospacing="0" w:after="0" w:afterAutospacing="0"/>
              <w:ind w:left="0" w:right="0"/>
              <w:jc w:val="center"/>
              <w:rPr>
                <w:rFonts w:hint="eastAsia"/>
                <w:color w:val="000000"/>
                <w:sz w:val="18"/>
                <w:szCs w:val="18"/>
                <w:lang w:val="en-US" w:eastAsia="zh-CN"/>
              </w:rPr>
            </w:pPr>
            <w:r>
              <w:rPr>
                <w:rFonts w:hint="eastAsia"/>
                <w:color w:val="000000"/>
                <w:sz w:val="18"/>
                <w:szCs w:val="18"/>
                <w:lang w:val="en-US" w:eastAsia="zh-CN"/>
              </w:rPr>
              <w:t>考试</w:t>
            </w:r>
          </w:p>
        </w:tc>
      </w:tr>
      <w:tr w14:paraId="4FE8790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61" w:hRule="atLeast"/>
          <w:jc w:val="center"/>
        </w:trPr>
        <w:tc>
          <w:tcPr>
            <w:tcW w:w="1091" w:type="dxa"/>
            <w:vMerge w:val="restart"/>
            <w:vAlign w:val="center"/>
          </w:tcPr>
          <w:p w14:paraId="04583DBA">
            <w:pPr>
              <w:keepNext w:val="0"/>
              <w:keepLines w:val="0"/>
              <w:suppressLineNumbers w:val="0"/>
              <w:spacing w:before="0" w:beforeAutospacing="0" w:after="0" w:afterAutospacing="0"/>
              <w:ind w:left="0" w:right="0"/>
              <w:jc w:val="center"/>
              <w:rPr>
                <w:rFonts w:hint="default"/>
                <w:b/>
                <w:color w:val="000000"/>
                <w:sz w:val="18"/>
                <w:szCs w:val="18"/>
              </w:rPr>
            </w:pPr>
            <w:r>
              <w:rPr>
                <w:rFonts w:hint="default"/>
                <w:b/>
                <w:color w:val="000000"/>
                <w:sz w:val="18"/>
                <w:szCs w:val="18"/>
              </w:rPr>
              <w:t>非学位课</w:t>
            </w:r>
          </w:p>
          <w:p w14:paraId="308EECCA">
            <w:pPr>
              <w:keepNext w:val="0"/>
              <w:keepLines w:val="0"/>
              <w:suppressLineNumbers w:val="0"/>
              <w:spacing w:before="0" w:beforeAutospacing="0" w:after="0" w:afterAutospacing="0"/>
              <w:ind w:left="0" w:right="0"/>
              <w:jc w:val="center"/>
              <w:rPr>
                <w:rFonts w:hint="eastAsia" w:eastAsia="宋体"/>
                <w:b/>
                <w:color w:val="000000"/>
                <w:sz w:val="18"/>
                <w:szCs w:val="18"/>
                <w:lang w:eastAsia="zh-CN"/>
              </w:rPr>
            </w:pPr>
            <w:r>
              <w:rPr>
                <w:rFonts w:hint="eastAsia"/>
                <w:b/>
                <w:color w:val="000000"/>
                <w:sz w:val="18"/>
                <w:szCs w:val="18"/>
                <w:lang w:eastAsia="zh-CN"/>
              </w:rPr>
              <w:t>（</w:t>
            </w:r>
            <w:r>
              <w:rPr>
                <w:rFonts w:hint="eastAsia"/>
                <w:b/>
                <w:color w:val="000000"/>
                <w:sz w:val="18"/>
                <w:szCs w:val="18"/>
                <w:lang w:val="en-US" w:eastAsia="zh-CN"/>
              </w:rPr>
              <w:t>12学分</w:t>
            </w:r>
            <w:r>
              <w:rPr>
                <w:rFonts w:hint="eastAsia"/>
                <w:b/>
                <w:color w:val="000000"/>
                <w:sz w:val="18"/>
                <w:szCs w:val="18"/>
                <w:lang w:eastAsia="zh-CN"/>
              </w:rPr>
              <w:t>）</w:t>
            </w:r>
          </w:p>
        </w:tc>
        <w:tc>
          <w:tcPr>
            <w:tcW w:w="1460" w:type="dxa"/>
            <w:vMerge w:val="restart"/>
            <w:vAlign w:val="center"/>
          </w:tcPr>
          <w:p w14:paraId="494AAE91">
            <w:pPr>
              <w:keepNext w:val="0"/>
              <w:keepLines w:val="0"/>
              <w:suppressLineNumbers w:val="0"/>
              <w:spacing w:before="0" w:beforeAutospacing="0" w:after="0" w:afterAutospacing="0"/>
              <w:ind w:left="0" w:right="0"/>
              <w:jc w:val="center"/>
              <w:rPr>
                <w:rFonts w:hint="default"/>
                <w:b/>
                <w:color w:val="000000"/>
                <w:sz w:val="18"/>
                <w:szCs w:val="18"/>
              </w:rPr>
            </w:pPr>
            <w:r>
              <w:rPr>
                <w:rFonts w:hint="default"/>
                <w:b/>
                <w:color w:val="000000"/>
                <w:sz w:val="18"/>
                <w:szCs w:val="18"/>
              </w:rPr>
              <w:t>公共</w:t>
            </w:r>
            <w:r>
              <w:rPr>
                <w:rFonts w:hint="eastAsia"/>
                <w:b/>
                <w:color w:val="000000"/>
                <w:sz w:val="18"/>
                <w:szCs w:val="18"/>
              </w:rPr>
              <w:t>通识</w:t>
            </w:r>
            <w:r>
              <w:rPr>
                <w:rFonts w:hint="default"/>
                <w:b/>
                <w:color w:val="000000"/>
                <w:sz w:val="18"/>
                <w:szCs w:val="18"/>
              </w:rPr>
              <w:t>课</w:t>
            </w:r>
          </w:p>
          <w:p w14:paraId="77E06C4F">
            <w:pPr>
              <w:keepNext w:val="0"/>
              <w:keepLines w:val="0"/>
              <w:suppressLineNumbers w:val="0"/>
              <w:spacing w:before="0" w:beforeAutospacing="0" w:after="0" w:afterAutospacing="0"/>
              <w:ind w:left="0" w:right="0"/>
              <w:jc w:val="center"/>
              <w:rPr>
                <w:rFonts w:hint="default" w:eastAsia="宋体"/>
                <w:b/>
                <w:color w:val="000000"/>
                <w:sz w:val="18"/>
                <w:szCs w:val="18"/>
                <w:lang w:val="en-US" w:eastAsia="zh-CN"/>
              </w:rPr>
            </w:pPr>
            <w:r>
              <w:rPr>
                <w:rFonts w:hint="eastAsia"/>
                <w:b/>
                <w:color w:val="000000"/>
                <w:sz w:val="18"/>
                <w:szCs w:val="18"/>
                <w:lang w:val="en-US" w:eastAsia="zh-CN"/>
              </w:rPr>
              <w:t>2学分</w:t>
            </w:r>
          </w:p>
        </w:tc>
        <w:tc>
          <w:tcPr>
            <w:tcW w:w="3207" w:type="dxa"/>
            <w:vAlign w:val="center"/>
          </w:tcPr>
          <w:p w14:paraId="30F24E7F">
            <w:pPr>
              <w:keepNext w:val="0"/>
              <w:keepLines w:val="0"/>
              <w:widowControl w:val="0"/>
              <w:suppressLineNumbers w:val="0"/>
              <w:spacing w:before="0" w:beforeAutospacing="0" w:after="0" w:afterAutospacing="0"/>
              <w:ind w:left="0" w:leftChars="0" w:right="0" w:rightChars="0"/>
              <w:jc w:val="left"/>
              <w:rPr>
                <w:rFonts w:hint="default"/>
                <w:color w:val="auto"/>
                <w:sz w:val="18"/>
                <w:szCs w:val="18"/>
              </w:rPr>
            </w:pPr>
            <w:r>
              <w:rPr>
                <w:rFonts w:hint="default"/>
                <w:color w:val="auto"/>
                <w:sz w:val="18"/>
                <w:szCs w:val="18"/>
              </w:rPr>
              <w:t>《习近平谈治国理政》研读</w:t>
            </w:r>
          </w:p>
        </w:tc>
        <w:tc>
          <w:tcPr>
            <w:tcW w:w="1219" w:type="dxa"/>
            <w:vAlign w:val="center"/>
          </w:tcPr>
          <w:p w14:paraId="21FDEA43">
            <w:pPr>
              <w:keepNext w:val="0"/>
              <w:keepLines w:val="0"/>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T</w:t>
            </w:r>
            <w:r>
              <w:rPr>
                <w:rFonts w:hint="eastAsia"/>
                <w:color w:val="000000"/>
                <w:sz w:val="18"/>
                <w:szCs w:val="18"/>
              </w:rPr>
              <w:t>T</w:t>
            </w:r>
            <w:r>
              <w:rPr>
                <w:rFonts w:hint="default"/>
                <w:color w:val="000000"/>
                <w:sz w:val="18"/>
                <w:szCs w:val="18"/>
              </w:rPr>
              <w:t>0000</w:t>
            </w:r>
            <w:r>
              <w:rPr>
                <w:rFonts w:hint="eastAsia"/>
                <w:color w:val="000000"/>
                <w:sz w:val="18"/>
                <w:szCs w:val="18"/>
              </w:rPr>
              <w:t>10</w:t>
            </w:r>
            <w:r>
              <w:rPr>
                <w:rFonts w:hint="default"/>
                <w:color w:val="000000"/>
                <w:sz w:val="18"/>
                <w:szCs w:val="18"/>
              </w:rPr>
              <w:t>1</w:t>
            </w:r>
          </w:p>
        </w:tc>
        <w:tc>
          <w:tcPr>
            <w:tcW w:w="709" w:type="dxa"/>
            <w:vAlign w:val="center"/>
          </w:tcPr>
          <w:p w14:paraId="31605983">
            <w:pPr>
              <w:keepNext w:val="0"/>
              <w:keepLines w:val="0"/>
              <w:suppressLineNumbers w:val="0"/>
              <w:spacing w:before="0" w:beforeAutospacing="0" w:after="0" w:afterAutospacing="0"/>
              <w:ind w:left="0" w:right="0"/>
              <w:jc w:val="center"/>
              <w:rPr>
                <w:rFonts w:hint="eastAsia"/>
                <w:color w:val="000000"/>
                <w:sz w:val="18"/>
                <w:szCs w:val="18"/>
              </w:rPr>
            </w:pPr>
            <w:r>
              <w:rPr>
                <w:rFonts w:hint="eastAsia"/>
                <w:color w:val="000000"/>
                <w:sz w:val="18"/>
                <w:szCs w:val="18"/>
              </w:rPr>
              <w:t>1</w:t>
            </w:r>
          </w:p>
        </w:tc>
        <w:tc>
          <w:tcPr>
            <w:tcW w:w="766" w:type="dxa"/>
            <w:vAlign w:val="center"/>
          </w:tcPr>
          <w:p w14:paraId="5770410C">
            <w:pPr>
              <w:keepNext w:val="0"/>
              <w:keepLines w:val="0"/>
              <w:suppressLineNumbers w:val="0"/>
              <w:spacing w:before="0" w:beforeAutospacing="0" w:after="0" w:afterAutospacing="0"/>
              <w:ind w:left="0" w:right="0"/>
              <w:jc w:val="center"/>
              <w:rPr>
                <w:rFonts w:hint="eastAsia"/>
                <w:color w:val="000000"/>
                <w:sz w:val="18"/>
                <w:szCs w:val="18"/>
              </w:rPr>
            </w:pPr>
            <w:r>
              <w:rPr>
                <w:rFonts w:hint="eastAsia"/>
                <w:color w:val="000000"/>
                <w:sz w:val="18"/>
                <w:szCs w:val="18"/>
              </w:rPr>
              <w:t>2</w:t>
            </w:r>
          </w:p>
        </w:tc>
        <w:tc>
          <w:tcPr>
            <w:tcW w:w="1089" w:type="dxa"/>
            <w:vAlign w:val="center"/>
          </w:tcPr>
          <w:p w14:paraId="12AA2249">
            <w:pPr>
              <w:keepNext w:val="0"/>
              <w:keepLines w:val="0"/>
              <w:widowControl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
              </w:rPr>
              <w:t>考查</w:t>
            </w:r>
          </w:p>
        </w:tc>
      </w:tr>
      <w:tr w14:paraId="266E388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1091" w:type="dxa"/>
            <w:vMerge w:val="continue"/>
            <w:vAlign w:val="center"/>
          </w:tcPr>
          <w:p w14:paraId="6BFC549B">
            <w:pPr>
              <w:keepNext w:val="0"/>
              <w:keepLines w:val="0"/>
              <w:suppressLineNumbers w:val="0"/>
              <w:spacing w:before="0" w:beforeAutospacing="0" w:after="0" w:afterAutospacing="0"/>
              <w:ind w:left="0" w:right="0"/>
              <w:jc w:val="center"/>
              <w:rPr>
                <w:rFonts w:hint="default"/>
                <w:b/>
                <w:color w:val="000000"/>
                <w:sz w:val="18"/>
                <w:szCs w:val="18"/>
              </w:rPr>
            </w:pPr>
          </w:p>
        </w:tc>
        <w:tc>
          <w:tcPr>
            <w:tcW w:w="1460" w:type="dxa"/>
            <w:vMerge w:val="continue"/>
            <w:vAlign w:val="center"/>
          </w:tcPr>
          <w:p w14:paraId="2E55A340">
            <w:pPr>
              <w:keepNext w:val="0"/>
              <w:keepLines w:val="0"/>
              <w:suppressLineNumbers w:val="0"/>
              <w:spacing w:before="0" w:beforeAutospacing="0" w:after="0" w:afterAutospacing="0"/>
              <w:ind w:left="0" w:right="0"/>
              <w:jc w:val="center"/>
              <w:rPr>
                <w:rFonts w:hint="default"/>
                <w:b/>
                <w:color w:val="000000"/>
                <w:sz w:val="18"/>
                <w:szCs w:val="18"/>
              </w:rPr>
            </w:pPr>
          </w:p>
        </w:tc>
        <w:tc>
          <w:tcPr>
            <w:tcW w:w="3207" w:type="dxa"/>
            <w:vAlign w:val="center"/>
          </w:tcPr>
          <w:p w14:paraId="38B82D50">
            <w:pPr>
              <w:keepNext w:val="0"/>
              <w:keepLines w:val="0"/>
              <w:widowControl w:val="0"/>
              <w:suppressLineNumbers w:val="0"/>
              <w:spacing w:before="0" w:beforeAutospacing="0" w:after="0" w:afterAutospacing="0"/>
              <w:ind w:left="0" w:leftChars="0" w:right="0" w:rightChars="0"/>
              <w:jc w:val="left"/>
              <w:rPr>
                <w:rFonts w:hint="default"/>
                <w:color w:val="auto"/>
                <w:sz w:val="18"/>
                <w:szCs w:val="18"/>
                <w:lang w:val="en-US" w:eastAsia="zh-CN"/>
              </w:rPr>
            </w:pPr>
            <w:r>
              <w:rPr>
                <w:rFonts w:hint="default"/>
                <w:color w:val="auto"/>
                <w:sz w:val="18"/>
                <w:szCs w:val="18"/>
              </w:rPr>
              <w:t>马克思主义与社会科学方法论</w:t>
            </w:r>
          </w:p>
        </w:tc>
        <w:tc>
          <w:tcPr>
            <w:tcW w:w="1219" w:type="dxa"/>
            <w:vAlign w:val="center"/>
          </w:tcPr>
          <w:p w14:paraId="06C0976C">
            <w:pPr>
              <w:keepNext w:val="0"/>
              <w:keepLines w:val="0"/>
              <w:widowControl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2"/>
                <w:sz w:val="18"/>
                <w:szCs w:val="18"/>
                <w:highlight w:val="none"/>
                <w:lang w:val="en-US" w:eastAsia="zh-CN" w:bidi="ar-SA"/>
              </w:rPr>
            </w:pPr>
            <w:r>
              <w:rPr>
                <w:rFonts w:hint="default"/>
                <w:color w:val="000000"/>
                <w:sz w:val="18"/>
                <w:szCs w:val="18"/>
              </w:rPr>
              <w:t>T</w:t>
            </w:r>
            <w:r>
              <w:rPr>
                <w:rFonts w:hint="eastAsia"/>
                <w:color w:val="000000"/>
                <w:sz w:val="18"/>
                <w:szCs w:val="18"/>
              </w:rPr>
              <w:t>S</w:t>
            </w:r>
            <w:r>
              <w:rPr>
                <w:rFonts w:hint="default"/>
                <w:color w:val="000000"/>
                <w:sz w:val="18"/>
                <w:szCs w:val="18"/>
              </w:rPr>
              <w:t>000</w:t>
            </w:r>
            <w:r>
              <w:rPr>
                <w:rFonts w:hint="eastAsia"/>
                <w:color w:val="000000"/>
                <w:sz w:val="18"/>
                <w:szCs w:val="18"/>
              </w:rPr>
              <w:t>0101</w:t>
            </w:r>
          </w:p>
        </w:tc>
        <w:tc>
          <w:tcPr>
            <w:tcW w:w="709" w:type="dxa"/>
            <w:vAlign w:val="center"/>
          </w:tcPr>
          <w:p w14:paraId="12C41356">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color w:val="000000"/>
                <w:kern w:val="2"/>
                <w:sz w:val="18"/>
                <w:szCs w:val="18"/>
                <w:highlight w:val="none"/>
                <w:lang w:val="en-US" w:eastAsia="zh-CN" w:bidi="ar-SA"/>
              </w:rPr>
            </w:pPr>
            <w:r>
              <w:rPr>
                <w:rFonts w:hint="eastAsia"/>
                <w:color w:val="000000"/>
                <w:sz w:val="18"/>
                <w:szCs w:val="18"/>
              </w:rPr>
              <w:t>1</w:t>
            </w:r>
          </w:p>
        </w:tc>
        <w:tc>
          <w:tcPr>
            <w:tcW w:w="766" w:type="dxa"/>
            <w:vAlign w:val="center"/>
          </w:tcPr>
          <w:p w14:paraId="6D794445">
            <w:pPr>
              <w:keepNext w:val="0"/>
              <w:keepLines w:val="0"/>
              <w:widowControl w:val="0"/>
              <w:suppressLineNumbers w:val="0"/>
              <w:spacing w:before="0" w:beforeAutospacing="0" w:after="0" w:afterAutospacing="0"/>
              <w:ind w:left="0" w:leftChars="0" w:right="0" w:rightChars="0"/>
              <w:jc w:val="center"/>
              <w:rPr>
                <w:rFonts w:hint="eastAsia" w:ascii="Times New Roman" w:hAnsi="Times New Roman" w:eastAsia="宋体" w:cs="Times New Roman"/>
                <w:color w:val="000000"/>
                <w:kern w:val="2"/>
                <w:sz w:val="18"/>
                <w:szCs w:val="18"/>
                <w:highlight w:val="none"/>
                <w:lang w:val="en-US" w:eastAsia="zh-CN" w:bidi="ar-SA"/>
              </w:rPr>
            </w:pPr>
            <w:r>
              <w:rPr>
                <w:rFonts w:hint="eastAsia"/>
                <w:color w:val="000000"/>
                <w:sz w:val="18"/>
                <w:szCs w:val="18"/>
              </w:rPr>
              <w:t>2</w:t>
            </w:r>
          </w:p>
        </w:tc>
        <w:tc>
          <w:tcPr>
            <w:tcW w:w="1089" w:type="dxa"/>
            <w:vAlign w:val="center"/>
          </w:tcPr>
          <w:p w14:paraId="7129B7EC">
            <w:pPr>
              <w:keepNext w:val="0"/>
              <w:keepLines w:val="0"/>
              <w:widowControl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2"/>
                <w:sz w:val="18"/>
                <w:szCs w:val="18"/>
                <w:highlight w:val="none"/>
                <w:lang w:val="en-US" w:eastAsia="zh-CN" w:bidi="ar-SA"/>
              </w:rPr>
            </w:pPr>
            <w:r>
              <w:rPr>
                <w:rFonts w:hint="eastAsia" w:ascii="宋体" w:hAnsi="宋体" w:eastAsia="宋体" w:cs="宋体"/>
                <w:color w:val="000000"/>
                <w:kern w:val="2"/>
                <w:sz w:val="18"/>
                <w:szCs w:val="18"/>
                <w:highlight w:val="none"/>
                <w:lang w:val="en-US" w:eastAsia="zh-CN" w:bidi="ar"/>
              </w:rPr>
              <w:t>考</w:t>
            </w:r>
            <w:r>
              <w:rPr>
                <w:rFonts w:hint="eastAsia" w:ascii="宋体" w:hAnsi="宋体" w:cs="宋体"/>
                <w:color w:val="000000"/>
                <w:kern w:val="2"/>
                <w:sz w:val="18"/>
                <w:szCs w:val="18"/>
                <w:highlight w:val="none"/>
                <w:lang w:val="en-US" w:eastAsia="zh-CN" w:bidi="ar"/>
              </w:rPr>
              <w:t>查</w:t>
            </w:r>
          </w:p>
        </w:tc>
      </w:tr>
      <w:tr w14:paraId="2A2A345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91" w:type="dxa"/>
            <w:vMerge w:val="continue"/>
          </w:tcPr>
          <w:p w14:paraId="665B16E7">
            <w:pPr>
              <w:keepNext w:val="0"/>
              <w:keepLines w:val="0"/>
              <w:suppressLineNumbers w:val="0"/>
              <w:spacing w:before="0" w:beforeAutospacing="0" w:after="0" w:afterAutospacing="0"/>
              <w:ind w:left="0" w:right="0"/>
              <w:rPr>
                <w:rFonts w:hint="default"/>
                <w:b/>
                <w:color w:val="000000"/>
                <w:sz w:val="18"/>
                <w:szCs w:val="18"/>
              </w:rPr>
            </w:pPr>
          </w:p>
        </w:tc>
        <w:tc>
          <w:tcPr>
            <w:tcW w:w="1460" w:type="dxa"/>
            <w:vMerge w:val="restart"/>
            <w:vAlign w:val="center"/>
          </w:tcPr>
          <w:p w14:paraId="0DD2359C">
            <w:pPr>
              <w:keepNext w:val="0"/>
              <w:keepLines w:val="0"/>
              <w:suppressLineNumbers w:val="0"/>
              <w:adjustRightInd w:val="0"/>
              <w:snapToGrid w:val="0"/>
              <w:spacing w:before="0" w:beforeAutospacing="0" w:after="0" w:afterAutospacing="0"/>
              <w:ind w:left="0" w:right="0"/>
              <w:jc w:val="center"/>
              <w:rPr>
                <w:rFonts w:hint="default" w:eastAsia="宋体"/>
                <w:b/>
                <w:color w:val="000000"/>
                <w:sz w:val="18"/>
                <w:szCs w:val="18"/>
                <w:lang w:val="en-US" w:eastAsia="zh-CN"/>
              </w:rPr>
            </w:pPr>
            <w:r>
              <w:rPr>
                <w:rFonts w:hint="eastAsia"/>
                <w:b/>
                <w:color w:val="000000"/>
                <w:sz w:val="18"/>
                <w:szCs w:val="18"/>
                <w:lang w:val="en-US" w:eastAsia="zh-CN"/>
              </w:rPr>
              <w:t>专业选修课</w:t>
            </w:r>
          </w:p>
          <w:p w14:paraId="1CC06C55">
            <w:pPr>
              <w:keepNext w:val="0"/>
              <w:keepLines w:val="0"/>
              <w:suppressLineNumbers w:val="0"/>
              <w:adjustRightInd w:val="0"/>
              <w:snapToGrid w:val="0"/>
              <w:spacing w:before="0" w:beforeAutospacing="0" w:after="0" w:afterAutospacing="0"/>
              <w:ind w:left="0" w:right="0"/>
              <w:jc w:val="center"/>
              <w:rPr>
                <w:rFonts w:hint="eastAsia"/>
                <w:b/>
                <w:color w:val="000000"/>
                <w:sz w:val="18"/>
                <w:szCs w:val="18"/>
                <w:lang w:val="en-US" w:eastAsia="zh-CN"/>
              </w:rPr>
            </w:pPr>
            <w:r>
              <w:rPr>
                <w:rFonts w:hint="eastAsia" w:ascii="宋体" w:hAnsi="宋体" w:cs="宋体"/>
                <w:b/>
                <w:bCs w:val="0"/>
                <w:color w:val="000000"/>
                <w:sz w:val="18"/>
                <w:szCs w:val="18"/>
                <w:lang w:val="en-US" w:eastAsia="zh-CN"/>
              </w:rPr>
              <w:t>10</w:t>
            </w:r>
            <w:r>
              <w:rPr>
                <w:rFonts w:hint="eastAsia" w:ascii="宋体" w:hAnsi="宋体" w:eastAsia="宋体" w:cs="宋体"/>
                <w:b/>
                <w:bCs w:val="0"/>
                <w:color w:val="000000"/>
                <w:sz w:val="18"/>
                <w:szCs w:val="18"/>
              </w:rPr>
              <w:t>学分</w:t>
            </w:r>
          </w:p>
          <w:p w14:paraId="4A1C5184">
            <w:pPr>
              <w:keepNext w:val="0"/>
              <w:keepLines w:val="0"/>
              <w:suppressLineNumbers w:val="0"/>
              <w:adjustRightInd w:val="0"/>
              <w:snapToGrid w:val="0"/>
              <w:spacing w:before="0" w:beforeAutospacing="0" w:after="0" w:afterAutospacing="0"/>
              <w:ind w:left="0" w:right="0"/>
              <w:jc w:val="center"/>
              <w:rPr>
                <w:rFonts w:hint="eastAsia"/>
                <w:b/>
                <w:color w:val="000000"/>
                <w:sz w:val="18"/>
                <w:szCs w:val="18"/>
                <w:lang w:val="en-US" w:eastAsia="zh-CN"/>
              </w:rPr>
            </w:pPr>
          </w:p>
        </w:tc>
        <w:tc>
          <w:tcPr>
            <w:tcW w:w="3207" w:type="dxa"/>
            <w:vAlign w:val="center"/>
          </w:tcPr>
          <w:p w14:paraId="45EBDC28">
            <w:pPr>
              <w:keepNext w:val="0"/>
              <w:keepLines w:val="0"/>
              <w:widowControl w:val="0"/>
              <w:suppressLineNumbers w:val="0"/>
              <w:spacing w:before="0" w:beforeAutospacing="0" w:after="0" w:afterAutospacing="0"/>
              <w:ind w:left="0" w:leftChars="0" w:right="0" w:rightChars="0"/>
              <w:jc w:val="left"/>
              <w:rPr>
                <w:rFonts w:hint="default"/>
                <w:color w:val="auto"/>
                <w:sz w:val="18"/>
                <w:szCs w:val="18"/>
                <w:lang w:val="en-US" w:eastAsia="zh-CN"/>
              </w:rPr>
            </w:pPr>
            <w:r>
              <w:rPr>
                <w:rFonts w:hint="eastAsia"/>
                <w:color w:val="auto"/>
                <w:sz w:val="18"/>
                <w:szCs w:val="18"/>
                <w:lang w:val="en-US" w:eastAsia="zh-CN"/>
              </w:rPr>
              <w:t>国际贸易实务</w:t>
            </w:r>
          </w:p>
        </w:tc>
        <w:tc>
          <w:tcPr>
            <w:tcW w:w="1219" w:type="dxa"/>
            <w:vAlign w:val="center"/>
          </w:tcPr>
          <w:p w14:paraId="111E6CE7">
            <w:pPr>
              <w:keepNext w:val="0"/>
              <w:keepLines w:val="0"/>
              <w:suppressLineNumbers w:val="0"/>
              <w:spacing w:before="0" w:beforeAutospacing="0" w:after="0" w:afterAutospacing="0"/>
              <w:ind w:left="0" w:right="0"/>
              <w:jc w:val="center"/>
              <w:rPr>
                <w:rFonts w:hint="default"/>
                <w:color w:val="auto"/>
                <w:sz w:val="18"/>
                <w:szCs w:val="18"/>
                <w:lang w:val="en-US"/>
              </w:rPr>
            </w:pPr>
            <w:r>
              <w:rPr>
                <w:rFonts w:hint="eastAsia"/>
                <w:i w:val="0"/>
                <w:iCs/>
                <w:color w:val="auto"/>
                <w:sz w:val="18"/>
                <w:szCs w:val="18"/>
                <w:lang w:val="en-US" w:eastAsia="zh-CN"/>
              </w:rPr>
              <w:t>ZS0316208</w:t>
            </w:r>
          </w:p>
        </w:tc>
        <w:tc>
          <w:tcPr>
            <w:tcW w:w="709" w:type="dxa"/>
            <w:vAlign w:val="center"/>
          </w:tcPr>
          <w:p w14:paraId="269357B6">
            <w:pPr>
              <w:keepNext w:val="0"/>
              <w:keepLines w:val="0"/>
              <w:suppressLineNumbers w:val="0"/>
              <w:spacing w:before="0" w:beforeAutospacing="0" w:after="0" w:afterAutospacing="0"/>
              <w:ind w:left="0" w:right="0"/>
              <w:jc w:val="center"/>
              <w:rPr>
                <w:rFonts w:hint="default"/>
                <w:color w:val="000000"/>
                <w:sz w:val="18"/>
                <w:szCs w:val="18"/>
                <w:lang w:val="en-US" w:eastAsia="zh-CN"/>
              </w:rPr>
            </w:pPr>
            <w:r>
              <w:rPr>
                <w:rFonts w:hint="eastAsia"/>
                <w:color w:val="000000"/>
                <w:sz w:val="18"/>
                <w:szCs w:val="18"/>
                <w:lang w:val="en-US" w:eastAsia="zh-CN"/>
              </w:rPr>
              <w:t>2</w:t>
            </w:r>
          </w:p>
        </w:tc>
        <w:tc>
          <w:tcPr>
            <w:tcW w:w="766" w:type="dxa"/>
            <w:vAlign w:val="center"/>
          </w:tcPr>
          <w:p w14:paraId="1EECCE4F">
            <w:pPr>
              <w:keepNext w:val="0"/>
              <w:keepLines w:val="0"/>
              <w:suppressLineNumbers w:val="0"/>
              <w:spacing w:before="0" w:beforeAutospacing="0" w:after="0" w:afterAutospacing="0"/>
              <w:ind w:left="0" w:right="0"/>
              <w:jc w:val="center"/>
              <w:rPr>
                <w:rFonts w:hint="default"/>
                <w:color w:val="000000"/>
                <w:sz w:val="18"/>
                <w:szCs w:val="18"/>
                <w:lang w:val="en-US" w:eastAsia="zh-CN"/>
              </w:rPr>
            </w:pPr>
            <w:r>
              <w:rPr>
                <w:rFonts w:hint="eastAsia"/>
                <w:color w:val="000000"/>
                <w:sz w:val="18"/>
                <w:szCs w:val="18"/>
                <w:lang w:val="en-US" w:eastAsia="zh-CN"/>
              </w:rPr>
              <w:t>2</w:t>
            </w:r>
          </w:p>
        </w:tc>
        <w:tc>
          <w:tcPr>
            <w:tcW w:w="1089" w:type="dxa"/>
            <w:vAlign w:val="center"/>
          </w:tcPr>
          <w:p w14:paraId="287EE57C">
            <w:pPr>
              <w:keepNext w:val="0"/>
              <w:keepLines w:val="0"/>
              <w:suppressLineNumbers w:val="0"/>
              <w:adjustRightInd w:val="0"/>
              <w:snapToGrid w:val="0"/>
              <w:spacing w:before="0" w:beforeAutospacing="0" w:after="0" w:afterAutospacing="0"/>
              <w:ind w:left="0" w:right="0"/>
              <w:jc w:val="center"/>
              <w:rPr>
                <w:rFonts w:hint="eastAsia" w:eastAsia="宋体"/>
                <w:color w:val="000000"/>
                <w:sz w:val="18"/>
                <w:szCs w:val="18"/>
                <w:lang w:val="en-US" w:eastAsia="zh-CN"/>
              </w:rPr>
            </w:pPr>
            <w:r>
              <w:rPr>
                <w:rFonts w:hint="eastAsia" w:ascii="宋体" w:hAnsi="宋体" w:eastAsia="宋体" w:cs="宋体"/>
                <w:color w:val="000000"/>
                <w:kern w:val="2"/>
                <w:sz w:val="18"/>
                <w:szCs w:val="18"/>
                <w:highlight w:val="none"/>
                <w:lang w:val="en-US" w:eastAsia="zh-CN" w:bidi="ar"/>
              </w:rPr>
              <w:t>考</w:t>
            </w:r>
            <w:r>
              <w:rPr>
                <w:rFonts w:hint="eastAsia" w:ascii="宋体" w:hAnsi="宋体" w:cs="宋体"/>
                <w:color w:val="000000"/>
                <w:kern w:val="2"/>
                <w:sz w:val="18"/>
                <w:szCs w:val="18"/>
                <w:highlight w:val="none"/>
                <w:lang w:val="en-US" w:eastAsia="zh-CN" w:bidi="ar"/>
              </w:rPr>
              <w:t>查</w:t>
            </w:r>
          </w:p>
        </w:tc>
      </w:tr>
      <w:tr w14:paraId="23C97B4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54" w:hRule="atLeast"/>
          <w:jc w:val="center"/>
        </w:trPr>
        <w:tc>
          <w:tcPr>
            <w:tcW w:w="1091" w:type="dxa"/>
            <w:vMerge w:val="continue"/>
          </w:tcPr>
          <w:p w14:paraId="67D94057">
            <w:pPr>
              <w:keepNext w:val="0"/>
              <w:keepLines w:val="0"/>
              <w:suppressLineNumbers w:val="0"/>
              <w:spacing w:before="0" w:beforeAutospacing="0" w:after="0" w:afterAutospacing="0"/>
              <w:ind w:left="0" w:right="0"/>
              <w:rPr>
                <w:rFonts w:hint="default"/>
                <w:b/>
                <w:color w:val="000000"/>
                <w:sz w:val="18"/>
                <w:szCs w:val="18"/>
              </w:rPr>
            </w:pPr>
          </w:p>
        </w:tc>
        <w:tc>
          <w:tcPr>
            <w:tcW w:w="1460" w:type="dxa"/>
            <w:vMerge w:val="continue"/>
            <w:vAlign w:val="center"/>
          </w:tcPr>
          <w:p w14:paraId="6D9D3D0D">
            <w:pPr>
              <w:keepNext w:val="0"/>
              <w:keepLines w:val="0"/>
              <w:suppressLineNumbers w:val="0"/>
              <w:adjustRightInd w:val="0"/>
              <w:snapToGrid w:val="0"/>
              <w:spacing w:before="0" w:beforeAutospacing="0" w:after="0" w:afterAutospacing="0"/>
              <w:ind w:left="0" w:right="0"/>
              <w:jc w:val="center"/>
              <w:rPr>
                <w:rFonts w:hint="eastAsia"/>
                <w:b/>
                <w:color w:val="000000"/>
                <w:sz w:val="18"/>
                <w:szCs w:val="18"/>
                <w:lang w:val="en-US" w:eastAsia="zh-CN"/>
              </w:rPr>
            </w:pPr>
          </w:p>
        </w:tc>
        <w:tc>
          <w:tcPr>
            <w:tcW w:w="3207" w:type="dxa"/>
            <w:vAlign w:val="center"/>
          </w:tcPr>
          <w:p w14:paraId="5D9087A6">
            <w:pPr>
              <w:keepNext w:val="0"/>
              <w:keepLines w:val="0"/>
              <w:widowControl w:val="0"/>
              <w:suppressLineNumbers w:val="0"/>
              <w:spacing w:before="0" w:beforeAutospacing="0" w:after="0" w:afterAutospacing="0"/>
              <w:ind w:left="0" w:leftChars="0" w:right="0" w:rightChars="0"/>
              <w:jc w:val="left"/>
              <w:rPr>
                <w:rFonts w:hint="default"/>
                <w:color w:val="auto"/>
                <w:sz w:val="18"/>
                <w:szCs w:val="18"/>
                <w:lang w:val="en-US" w:eastAsia="zh-CN"/>
              </w:rPr>
            </w:pPr>
            <w:r>
              <w:rPr>
                <w:rFonts w:hint="eastAsia"/>
                <w:color w:val="auto"/>
                <w:sz w:val="18"/>
                <w:szCs w:val="18"/>
              </w:rPr>
              <w:t>跨境电</w:t>
            </w:r>
            <w:r>
              <w:rPr>
                <w:rFonts w:hint="eastAsia"/>
                <w:color w:val="auto"/>
                <w:sz w:val="18"/>
                <w:szCs w:val="18"/>
                <w:lang w:val="en-US" w:eastAsia="zh-CN"/>
              </w:rPr>
              <w:t>子商务</w:t>
            </w:r>
          </w:p>
        </w:tc>
        <w:tc>
          <w:tcPr>
            <w:tcW w:w="1219" w:type="dxa"/>
            <w:shd w:val="clear" w:color="auto" w:fill="auto"/>
            <w:vAlign w:val="center"/>
          </w:tcPr>
          <w:p w14:paraId="52AE8AC1">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color w:val="FF0000"/>
                <w:kern w:val="2"/>
                <w:sz w:val="18"/>
                <w:szCs w:val="18"/>
                <w:lang w:val="en-US" w:eastAsia="zh-CN" w:bidi="ar-SA"/>
              </w:rPr>
            </w:pPr>
            <w:r>
              <w:rPr>
                <w:rFonts w:hint="eastAsia"/>
                <w:i w:val="0"/>
                <w:iCs/>
                <w:color w:val="auto"/>
                <w:sz w:val="18"/>
                <w:szCs w:val="18"/>
                <w:lang w:val="en-US" w:eastAsia="zh-CN"/>
              </w:rPr>
              <w:t>ZS0316209</w:t>
            </w:r>
          </w:p>
        </w:tc>
        <w:tc>
          <w:tcPr>
            <w:tcW w:w="709" w:type="dxa"/>
            <w:vAlign w:val="center"/>
          </w:tcPr>
          <w:p w14:paraId="6342EB45">
            <w:pPr>
              <w:keepNext w:val="0"/>
              <w:keepLines w:val="0"/>
              <w:suppressLineNumbers w:val="0"/>
              <w:spacing w:before="0" w:beforeAutospacing="0" w:after="0" w:afterAutospacing="0"/>
              <w:ind w:left="0" w:right="0"/>
              <w:jc w:val="center"/>
              <w:rPr>
                <w:rFonts w:hint="default"/>
                <w:color w:val="000000"/>
                <w:sz w:val="18"/>
                <w:szCs w:val="18"/>
                <w:lang w:val="en-US" w:eastAsia="zh-CN"/>
              </w:rPr>
            </w:pPr>
            <w:r>
              <w:rPr>
                <w:rFonts w:hint="eastAsia"/>
                <w:color w:val="000000"/>
                <w:sz w:val="18"/>
                <w:szCs w:val="18"/>
                <w:lang w:val="en-US" w:eastAsia="zh-CN"/>
              </w:rPr>
              <w:t>2</w:t>
            </w:r>
          </w:p>
        </w:tc>
        <w:tc>
          <w:tcPr>
            <w:tcW w:w="766" w:type="dxa"/>
            <w:vAlign w:val="center"/>
          </w:tcPr>
          <w:p w14:paraId="02D2451A">
            <w:pPr>
              <w:keepNext w:val="0"/>
              <w:keepLines w:val="0"/>
              <w:suppressLineNumbers w:val="0"/>
              <w:spacing w:before="0" w:beforeAutospacing="0" w:after="0" w:afterAutospacing="0"/>
              <w:ind w:left="0" w:right="0"/>
              <w:jc w:val="center"/>
              <w:rPr>
                <w:rFonts w:hint="default"/>
                <w:color w:val="000000"/>
                <w:sz w:val="18"/>
                <w:szCs w:val="18"/>
                <w:lang w:val="en-US" w:eastAsia="zh-CN"/>
              </w:rPr>
            </w:pPr>
            <w:r>
              <w:rPr>
                <w:rFonts w:hint="eastAsia"/>
                <w:color w:val="000000"/>
                <w:sz w:val="18"/>
                <w:szCs w:val="18"/>
                <w:lang w:val="en-US" w:eastAsia="zh-CN"/>
              </w:rPr>
              <w:t>2</w:t>
            </w:r>
          </w:p>
        </w:tc>
        <w:tc>
          <w:tcPr>
            <w:tcW w:w="1089" w:type="dxa"/>
            <w:vAlign w:val="center"/>
          </w:tcPr>
          <w:p w14:paraId="0B89EDE1">
            <w:pPr>
              <w:keepNext w:val="0"/>
              <w:keepLines w:val="0"/>
              <w:suppressLineNumbers w:val="0"/>
              <w:adjustRightInd w:val="0"/>
              <w:snapToGrid w:val="0"/>
              <w:spacing w:before="0" w:beforeAutospacing="0" w:after="0" w:afterAutospacing="0"/>
              <w:ind w:left="0" w:right="0"/>
              <w:jc w:val="center"/>
              <w:rPr>
                <w:rFonts w:hint="eastAsia"/>
                <w:color w:val="000000"/>
                <w:sz w:val="18"/>
                <w:szCs w:val="18"/>
                <w:lang w:val="en-US" w:eastAsia="zh-CN"/>
              </w:rPr>
            </w:pPr>
            <w:r>
              <w:rPr>
                <w:rFonts w:hint="eastAsia" w:ascii="宋体" w:hAnsi="宋体" w:eastAsia="宋体" w:cs="宋体"/>
                <w:color w:val="000000"/>
                <w:kern w:val="2"/>
                <w:sz w:val="18"/>
                <w:szCs w:val="18"/>
                <w:highlight w:val="none"/>
                <w:lang w:val="en-US" w:eastAsia="zh-CN" w:bidi="ar"/>
              </w:rPr>
              <w:t>考</w:t>
            </w:r>
            <w:r>
              <w:rPr>
                <w:rFonts w:hint="eastAsia" w:ascii="宋体" w:hAnsi="宋体" w:cs="宋体"/>
                <w:color w:val="000000"/>
                <w:kern w:val="2"/>
                <w:sz w:val="18"/>
                <w:szCs w:val="18"/>
                <w:highlight w:val="none"/>
                <w:lang w:val="en-US" w:eastAsia="zh-CN" w:bidi="ar"/>
              </w:rPr>
              <w:t>查</w:t>
            </w:r>
          </w:p>
        </w:tc>
      </w:tr>
      <w:tr w14:paraId="3E79F07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7" w:hRule="atLeast"/>
          <w:jc w:val="center"/>
        </w:trPr>
        <w:tc>
          <w:tcPr>
            <w:tcW w:w="1091" w:type="dxa"/>
            <w:vMerge w:val="continue"/>
          </w:tcPr>
          <w:p w14:paraId="4E4EA4E6">
            <w:pPr>
              <w:keepNext w:val="0"/>
              <w:keepLines w:val="0"/>
              <w:suppressLineNumbers w:val="0"/>
              <w:spacing w:before="0" w:beforeAutospacing="0" w:after="0" w:afterAutospacing="0"/>
              <w:ind w:left="0" w:right="0"/>
              <w:rPr>
                <w:rFonts w:hint="default"/>
                <w:b/>
                <w:color w:val="000000"/>
                <w:sz w:val="18"/>
                <w:szCs w:val="18"/>
              </w:rPr>
            </w:pPr>
          </w:p>
        </w:tc>
        <w:tc>
          <w:tcPr>
            <w:tcW w:w="1460" w:type="dxa"/>
            <w:vMerge w:val="continue"/>
            <w:vAlign w:val="center"/>
          </w:tcPr>
          <w:p w14:paraId="45288333">
            <w:pPr>
              <w:keepNext w:val="0"/>
              <w:keepLines w:val="0"/>
              <w:suppressLineNumbers w:val="0"/>
              <w:spacing w:before="0" w:beforeAutospacing="0" w:after="0" w:afterAutospacing="0"/>
              <w:ind w:left="0" w:right="0"/>
              <w:jc w:val="center"/>
              <w:rPr>
                <w:rFonts w:hint="default"/>
                <w:b/>
                <w:color w:val="000000"/>
                <w:sz w:val="18"/>
                <w:szCs w:val="18"/>
              </w:rPr>
            </w:pPr>
          </w:p>
        </w:tc>
        <w:tc>
          <w:tcPr>
            <w:tcW w:w="3207" w:type="dxa"/>
            <w:vAlign w:val="center"/>
          </w:tcPr>
          <w:p w14:paraId="40F424A8">
            <w:pPr>
              <w:keepNext w:val="0"/>
              <w:keepLines w:val="0"/>
              <w:widowControl w:val="0"/>
              <w:suppressLineNumbers w:val="0"/>
              <w:spacing w:before="0" w:beforeAutospacing="0" w:after="0" w:afterAutospacing="0"/>
              <w:ind w:left="0" w:leftChars="0" w:right="0" w:rightChars="0"/>
              <w:jc w:val="left"/>
              <w:rPr>
                <w:rFonts w:hint="default"/>
                <w:color w:val="auto"/>
                <w:sz w:val="18"/>
                <w:szCs w:val="18"/>
                <w:lang w:val="en-US" w:eastAsia="zh-CN"/>
              </w:rPr>
            </w:pPr>
            <w:r>
              <w:rPr>
                <w:rFonts w:hint="eastAsia"/>
                <w:color w:val="auto"/>
                <w:sz w:val="18"/>
                <w:szCs w:val="18"/>
                <w:lang w:val="en-US" w:eastAsia="zh-CN"/>
              </w:rPr>
              <w:t>数字贸易</w:t>
            </w:r>
          </w:p>
        </w:tc>
        <w:tc>
          <w:tcPr>
            <w:tcW w:w="1219" w:type="dxa"/>
            <w:shd w:val="clear" w:color="auto" w:fill="auto"/>
            <w:vAlign w:val="center"/>
          </w:tcPr>
          <w:p w14:paraId="43823992">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kern w:val="2"/>
                <w:sz w:val="18"/>
                <w:szCs w:val="18"/>
                <w:lang w:val="en-US" w:eastAsia="zh-CN" w:bidi="ar-SA"/>
              </w:rPr>
            </w:pPr>
            <w:r>
              <w:rPr>
                <w:rFonts w:hint="eastAsia"/>
                <w:i w:val="0"/>
                <w:iCs/>
                <w:color w:val="auto"/>
                <w:sz w:val="18"/>
                <w:szCs w:val="18"/>
                <w:lang w:val="en-US" w:eastAsia="zh-CN"/>
              </w:rPr>
              <w:t>ZS03162010</w:t>
            </w:r>
          </w:p>
        </w:tc>
        <w:tc>
          <w:tcPr>
            <w:tcW w:w="709" w:type="dxa"/>
            <w:vAlign w:val="center"/>
          </w:tcPr>
          <w:p w14:paraId="78159226">
            <w:pPr>
              <w:keepNext w:val="0"/>
              <w:keepLines w:val="0"/>
              <w:suppressLineNumbers w:val="0"/>
              <w:spacing w:before="0" w:beforeAutospacing="0" w:after="0" w:afterAutospacing="0"/>
              <w:ind w:left="0" w:right="0"/>
              <w:jc w:val="center"/>
              <w:rPr>
                <w:rFonts w:hint="eastAsia" w:eastAsia="宋体"/>
                <w:color w:val="000000"/>
                <w:sz w:val="18"/>
                <w:szCs w:val="18"/>
                <w:lang w:eastAsia="zh-CN"/>
              </w:rPr>
            </w:pPr>
            <w:r>
              <w:rPr>
                <w:rFonts w:hint="eastAsia"/>
                <w:color w:val="000000"/>
                <w:sz w:val="18"/>
                <w:szCs w:val="18"/>
                <w:lang w:val="en-US" w:eastAsia="zh-CN"/>
              </w:rPr>
              <w:t>2</w:t>
            </w:r>
          </w:p>
        </w:tc>
        <w:tc>
          <w:tcPr>
            <w:tcW w:w="766" w:type="dxa"/>
            <w:vAlign w:val="center"/>
          </w:tcPr>
          <w:p w14:paraId="02B5ECFF">
            <w:pPr>
              <w:keepNext w:val="0"/>
              <w:keepLines w:val="0"/>
              <w:suppressLineNumbers w:val="0"/>
              <w:spacing w:before="0" w:beforeAutospacing="0" w:after="0" w:afterAutospacing="0"/>
              <w:ind w:left="0" w:right="0"/>
              <w:jc w:val="center"/>
              <w:rPr>
                <w:rFonts w:hint="eastAsia" w:eastAsia="宋体"/>
                <w:color w:val="000000"/>
                <w:sz w:val="18"/>
                <w:szCs w:val="18"/>
                <w:lang w:eastAsia="zh-CN"/>
              </w:rPr>
            </w:pPr>
            <w:r>
              <w:rPr>
                <w:rFonts w:hint="eastAsia"/>
                <w:color w:val="000000"/>
                <w:sz w:val="18"/>
                <w:szCs w:val="18"/>
                <w:lang w:val="en-US" w:eastAsia="zh-CN"/>
              </w:rPr>
              <w:t>3</w:t>
            </w:r>
          </w:p>
        </w:tc>
        <w:tc>
          <w:tcPr>
            <w:tcW w:w="1089" w:type="dxa"/>
            <w:vAlign w:val="center"/>
          </w:tcPr>
          <w:p w14:paraId="1180862A">
            <w:pPr>
              <w:keepNext w:val="0"/>
              <w:keepLines w:val="0"/>
              <w:suppressLineNumbers w:val="0"/>
              <w:spacing w:before="0" w:beforeAutospacing="0" w:after="0" w:afterAutospacing="0"/>
              <w:ind w:left="0" w:right="0"/>
              <w:jc w:val="center"/>
              <w:rPr>
                <w:rFonts w:hint="default" w:eastAsia="宋体"/>
                <w:color w:val="000000"/>
                <w:sz w:val="18"/>
                <w:szCs w:val="18"/>
                <w:lang w:val="en-US" w:eastAsia="zh-CN"/>
              </w:rPr>
            </w:pPr>
            <w:r>
              <w:rPr>
                <w:rFonts w:hint="eastAsia"/>
                <w:color w:val="000000"/>
                <w:sz w:val="18"/>
                <w:szCs w:val="18"/>
                <w:lang w:val="en-US" w:eastAsia="zh-CN"/>
              </w:rPr>
              <w:t>考查</w:t>
            </w:r>
          </w:p>
        </w:tc>
      </w:tr>
      <w:tr w14:paraId="29EABAF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0" w:hRule="atLeast"/>
          <w:jc w:val="center"/>
        </w:trPr>
        <w:tc>
          <w:tcPr>
            <w:tcW w:w="1091" w:type="dxa"/>
            <w:vMerge w:val="continue"/>
          </w:tcPr>
          <w:p w14:paraId="45FC6E0D">
            <w:pPr>
              <w:keepNext w:val="0"/>
              <w:keepLines w:val="0"/>
              <w:suppressLineNumbers w:val="0"/>
              <w:spacing w:before="0" w:beforeAutospacing="0" w:after="0" w:afterAutospacing="0"/>
              <w:ind w:left="0" w:right="0"/>
              <w:rPr>
                <w:rFonts w:hint="default"/>
                <w:b/>
                <w:color w:val="000000"/>
                <w:sz w:val="18"/>
                <w:szCs w:val="18"/>
              </w:rPr>
            </w:pPr>
          </w:p>
        </w:tc>
        <w:tc>
          <w:tcPr>
            <w:tcW w:w="1460" w:type="dxa"/>
            <w:vMerge w:val="continue"/>
            <w:vAlign w:val="center"/>
          </w:tcPr>
          <w:p w14:paraId="74CB6E2F">
            <w:pPr>
              <w:keepNext w:val="0"/>
              <w:keepLines w:val="0"/>
              <w:suppressLineNumbers w:val="0"/>
              <w:spacing w:before="0" w:beforeAutospacing="0" w:after="0" w:afterAutospacing="0"/>
              <w:ind w:left="0" w:right="0"/>
              <w:jc w:val="center"/>
              <w:rPr>
                <w:rFonts w:hint="default"/>
                <w:b/>
                <w:color w:val="000000"/>
                <w:sz w:val="18"/>
                <w:szCs w:val="18"/>
              </w:rPr>
            </w:pPr>
          </w:p>
        </w:tc>
        <w:tc>
          <w:tcPr>
            <w:tcW w:w="3207" w:type="dxa"/>
            <w:vAlign w:val="center"/>
          </w:tcPr>
          <w:p w14:paraId="4F479F89">
            <w:pPr>
              <w:keepNext w:val="0"/>
              <w:keepLines w:val="0"/>
              <w:widowControl w:val="0"/>
              <w:suppressLineNumbers w:val="0"/>
              <w:spacing w:before="0" w:beforeAutospacing="0" w:after="0" w:afterAutospacing="0"/>
              <w:ind w:left="0" w:leftChars="0" w:right="0" w:rightChars="0"/>
              <w:jc w:val="left"/>
              <w:rPr>
                <w:rFonts w:hint="default"/>
                <w:color w:val="auto"/>
                <w:sz w:val="18"/>
                <w:szCs w:val="18"/>
                <w:lang w:val="en-US" w:eastAsia="zh-CN"/>
              </w:rPr>
            </w:pPr>
            <w:r>
              <w:rPr>
                <w:rFonts w:hint="eastAsia"/>
                <w:color w:val="auto"/>
                <w:sz w:val="18"/>
                <w:szCs w:val="18"/>
                <w:lang w:val="en-US" w:eastAsia="zh-CN"/>
              </w:rPr>
              <w:t>国际贸易实证研究方法</w:t>
            </w:r>
          </w:p>
        </w:tc>
        <w:tc>
          <w:tcPr>
            <w:tcW w:w="1219" w:type="dxa"/>
            <w:shd w:val="clear" w:color="auto" w:fill="auto"/>
            <w:vAlign w:val="center"/>
          </w:tcPr>
          <w:p w14:paraId="2032E49E">
            <w:pPr>
              <w:keepNext w:val="0"/>
              <w:keepLines w:val="0"/>
              <w:suppressLineNumbers w:val="0"/>
              <w:spacing w:before="0" w:beforeAutospacing="0" w:after="0" w:afterAutospacing="0"/>
              <w:ind w:left="0" w:leftChars="0" w:right="0" w:rightChars="0"/>
              <w:jc w:val="center"/>
              <w:rPr>
                <w:rFonts w:hint="default"/>
                <w:i w:val="0"/>
                <w:iCs/>
                <w:color w:val="auto"/>
                <w:sz w:val="18"/>
                <w:szCs w:val="18"/>
                <w:lang w:val="en-US" w:eastAsia="zh-CN"/>
              </w:rPr>
            </w:pPr>
            <w:r>
              <w:rPr>
                <w:rFonts w:hint="eastAsia"/>
                <w:i w:val="0"/>
                <w:iCs/>
                <w:color w:val="auto"/>
                <w:sz w:val="18"/>
                <w:szCs w:val="18"/>
                <w:lang w:val="en-US" w:eastAsia="zh-CN"/>
              </w:rPr>
              <w:t>ZS0316211</w:t>
            </w:r>
          </w:p>
        </w:tc>
        <w:tc>
          <w:tcPr>
            <w:tcW w:w="709" w:type="dxa"/>
            <w:vAlign w:val="center"/>
          </w:tcPr>
          <w:p w14:paraId="4F4B4BAE">
            <w:pPr>
              <w:keepNext w:val="0"/>
              <w:keepLines w:val="0"/>
              <w:suppressLineNumbers w:val="0"/>
              <w:spacing w:before="0" w:beforeAutospacing="0" w:after="0" w:afterAutospacing="0"/>
              <w:ind w:left="0" w:right="0"/>
              <w:jc w:val="center"/>
              <w:rPr>
                <w:rFonts w:hint="default"/>
                <w:color w:val="000000"/>
                <w:sz w:val="18"/>
                <w:szCs w:val="18"/>
                <w:lang w:val="en-US" w:eastAsia="zh-CN"/>
              </w:rPr>
            </w:pPr>
            <w:r>
              <w:rPr>
                <w:rFonts w:hint="eastAsia"/>
                <w:color w:val="000000"/>
                <w:sz w:val="18"/>
                <w:szCs w:val="18"/>
                <w:lang w:val="en-US" w:eastAsia="zh-CN"/>
              </w:rPr>
              <w:t>2</w:t>
            </w:r>
          </w:p>
        </w:tc>
        <w:tc>
          <w:tcPr>
            <w:tcW w:w="766" w:type="dxa"/>
            <w:vAlign w:val="center"/>
          </w:tcPr>
          <w:p w14:paraId="2CD0EC15">
            <w:pPr>
              <w:keepNext w:val="0"/>
              <w:keepLines w:val="0"/>
              <w:suppressLineNumbers w:val="0"/>
              <w:spacing w:before="0" w:beforeAutospacing="0" w:after="0" w:afterAutospacing="0"/>
              <w:ind w:left="0" w:right="0"/>
              <w:jc w:val="center"/>
              <w:rPr>
                <w:rFonts w:hint="default"/>
                <w:color w:val="000000"/>
                <w:sz w:val="18"/>
                <w:szCs w:val="18"/>
                <w:lang w:val="en-US" w:eastAsia="zh-CN"/>
              </w:rPr>
            </w:pPr>
            <w:r>
              <w:rPr>
                <w:rFonts w:hint="eastAsia"/>
                <w:color w:val="000000"/>
                <w:sz w:val="18"/>
                <w:szCs w:val="18"/>
                <w:lang w:val="en-US" w:eastAsia="zh-CN"/>
              </w:rPr>
              <w:t>2</w:t>
            </w:r>
          </w:p>
        </w:tc>
        <w:tc>
          <w:tcPr>
            <w:tcW w:w="1089" w:type="dxa"/>
            <w:vAlign w:val="center"/>
          </w:tcPr>
          <w:p w14:paraId="0497A683">
            <w:pPr>
              <w:keepNext w:val="0"/>
              <w:keepLines w:val="0"/>
              <w:suppressLineNumbers w:val="0"/>
              <w:spacing w:before="0" w:beforeAutospacing="0" w:after="0" w:afterAutospacing="0"/>
              <w:ind w:left="0" w:right="0"/>
              <w:jc w:val="center"/>
              <w:rPr>
                <w:rFonts w:hint="eastAsia"/>
                <w:color w:val="000000"/>
                <w:sz w:val="18"/>
                <w:szCs w:val="18"/>
                <w:lang w:val="en-US" w:eastAsia="zh-CN"/>
              </w:rPr>
            </w:pPr>
            <w:r>
              <w:rPr>
                <w:rFonts w:hint="eastAsia"/>
                <w:color w:val="000000"/>
                <w:sz w:val="18"/>
                <w:szCs w:val="18"/>
                <w:lang w:val="en-US" w:eastAsia="zh-CN"/>
              </w:rPr>
              <w:t>考查</w:t>
            </w:r>
          </w:p>
        </w:tc>
      </w:tr>
      <w:tr w14:paraId="21FF6F1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91" w:type="dxa"/>
            <w:vMerge w:val="continue"/>
          </w:tcPr>
          <w:p w14:paraId="2DD6408B">
            <w:pPr>
              <w:keepNext w:val="0"/>
              <w:keepLines w:val="0"/>
              <w:suppressLineNumbers w:val="0"/>
              <w:spacing w:before="0" w:beforeAutospacing="0" w:after="0" w:afterAutospacing="0"/>
              <w:ind w:left="0" w:right="0"/>
              <w:rPr>
                <w:rFonts w:hint="default"/>
                <w:b/>
                <w:color w:val="000000"/>
                <w:sz w:val="18"/>
                <w:szCs w:val="18"/>
              </w:rPr>
            </w:pPr>
          </w:p>
        </w:tc>
        <w:tc>
          <w:tcPr>
            <w:tcW w:w="1460" w:type="dxa"/>
            <w:vMerge w:val="continue"/>
            <w:vAlign w:val="center"/>
          </w:tcPr>
          <w:p w14:paraId="12ABC046">
            <w:pPr>
              <w:keepNext w:val="0"/>
              <w:keepLines w:val="0"/>
              <w:suppressLineNumbers w:val="0"/>
              <w:spacing w:before="0" w:beforeAutospacing="0" w:after="0" w:afterAutospacing="0"/>
              <w:ind w:left="0" w:right="0"/>
              <w:jc w:val="center"/>
              <w:rPr>
                <w:rFonts w:hint="default"/>
                <w:b/>
                <w:color w:val="000000"/>
                <w:sz w:val="18"/>
                <w:szCs w:val="18"/>
              </w:rPr>
            </w:pPr>
          </w:p>
        </w:tc>
        <w:tc>
          <w:tcPr>
            <w:tcW w:w="3207" w:type="dxa"/>
            <w:vAlign w:val="center"/>
          </w:tcPr>
          <w:p w14:paraId="28A46840">
            <w:pPr>
              <w:keepNext w:val="0"/>
              <w:keepLines w:val="0"/>
              <w:widowControl w:val="0"/>
              <w:suppressLineNumbers w:val="0"/>
              <w:spacing w:before="0" w:beforeAutospacing="0" w:after="0" w:afterAutospacing="0"/>
              <w:ind w:left="0" w:leftChars="0" w:right="0" w:rightChars="0"/>
              <w:jc w:val="left"/>
              <w:rPr>
                <w:rFonts w:hint="default"/>
                <w:color w:val="auto"/>
                <w:sz w:val="18"/>
                <w:szCs w:val="18"/>
                <w:lang w:val="en-US" w:eastAsia="zh-CN"/>
              </w:rPr>
            </w:pPr>
            <w:r>
              <w:rPr>
                <w:rFonts w:hint="eastAsia"/>
                <w:color w:val="auto"/>
                <w:sz w:val="18"/>
                <w:szCs w:val="18"/>
              </w:rPr>
              <w:t>国际金融</w:t>
            </w:r>
            <w:r>
              <w:rPr>
                <w:rFonts w:hint="eastAsia"/>
                <w:color w:val="auto"/>
                <w:sz w:val="18"/>
                <w:szCs w:val="18"/>
                <w:lang w:val="en-US" w:eastAsia="zh-CN"/>
              </w:rPr>
              <w:t>理论与实务</w:t>
            </w:r>
          </w:p>
        </w:tc>
        <w:tc>
          <w:tcPr>
            <w:tcW w:w="1219" w:type="dxa"/>
            <w:shd w:val="clear" w:color="auto" w:fill="auto"/>
            <w:vAlign w:val="center"/>
          </w:tcPr>
          <w:p w14:paraId="2D46C696">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i w:val="0"/>
                <w:iCs/>
                <w:color w:val="auto"/>
                <w:kern w:val="2"/>
                <w:sz w:val="18"/>
                <w:szCs w:val="18"/>
                <w:lang w:val="en-US" w:eastAsia="zh-CN" w:bidi="ar-SA"/>
              </w:rPr>
            </w:pPr>
            <w:r>
              <w:rPr>
                <w:rFonts w:hint="eastAsia"/>
                <w:i w:val="0"/>
                <w:iCs/>
                <w:color w:val="auto"/>
                <w:sz w:val="18"/>
                <w:szCs w:val="18"/>
                <w:lang w:val="en-US" w:eastAsia="zh-CN"/>
              </w:rPr>
              <w:t>ZS0316212</w:t>
            </w:r>
          </w:p>
        </w:tc>
        <w:tc>
          <w:tcPr>
            <w:tcW w:w="709" w:type="dxa"/>
            <w:vAlign w:val="center"/>
          </w:tcPr>
          <w:p w14:paraId="7894E352">
            <w:pPr>
              <w:keepNext w:val="0"/>
              <w:keepLines w:val="0"/>
              <w:suppressLineNumbers w:val="0"/>
              <w:spacing w:before="0" w:beforeAutospacing="0" w:after="0" w:afterAutospacing="0"/>
              <w:ind w:left="0" w:right="0"/>
              <w:jc w:val="center"/>
              <w:rPr>
                <w:rFonts w:hint="default"/>
                <w:color w:val="000000"/>
                <w:sz w:val="18"/>
                <w:szCs w:val="18"/>
                <w:lang w:val="en-US" w:eastAsia="zh-CN"/>
              </w:rPr>
            </w:pPr>
            <w:r>
              <w:rPr>
                <w:rFonts w:hint="eastAsia"/>
                <w:color w:val="000000"/>
                <w:sz w:val="18"/>
                <w:szCs w:val="18"/>
                <w:lang w:val="en-US" w:eastAsia="zh-CN"/>
              </w:rPr>
              <w:t>2</w:t>
            </w:r>
          </w:p>
        </w:tc>
        <w:tc>
          <w:tcPr>
            <w:tcW w:w="766" w:type="dxa"/>
            <w:vAlign w:val="center"/>
          </w:tcPr>
          <w:p w14:paraId="1FA900FE">
            <w:pPr>
              <w:keepNext w:val="0"/>
              <w:keepLines w:val="0"/>
              <w:suppressLineNumbers w:val="0"/>
              <w:spacing w:before="0" w:beforeAutospacing="0" w:after="0" w:afterAutospacing="0"/>
              <w:ind w:left="0" w:right="0"/>
              <w:jc w:val="center"/>
              <w:rPr>
                <w:rFonts w:hint="default"/>
                <w:color w:val="000000"/>
                <w:sz w:val="18"/>
                <w:szCs w:val="18"/>
                <w:lang w:val="en-US" w:eastAsia="zh-CN"/>
              </w:rPr>
            </w:pPr>
            <w:r>
              <w:rPr>
                <w:rFonts w:hint="eastAsia"/>
                <w:color w:val="000000"/>
                <w:sz w:val="18"/>
                <w:szCs w:val="18"/>
                <w:lang w:val="en-US" w:eastAsia="zh-CN"/>
              </w:rPr>
              <w:t>2</w:t>
            </w:r>
          </w:p>
        </w:tc>
        <w:tc>
          <w:tcPr>
            <w:tcW w:w="1089" w:type="dxa"/>
            <w:vAlign w:val="center"/>
          </w:tcPr>
          <w:p w14:paraId="1001E3B8">
            <w:pPr>
              <w:keepNext w:val="0"/>
              <w:keepLines w:val="0"/>
              <w:suppressLineNumbers w:val="0"/>
              <w:spacing w:before="0" w:beforeAutospacing="0" w:after="0" w:afterAutospacing="0"/>
              <w:ind w:left="0" w:right="0"/>
              <w:jc w:val="center"/>
              <w:rPr>
                <w:rFonts w:hint="eastAsia" w:eastAsia="宋体"/>
                <w:color w:val="000000"/>
                <w:sz w:val="18"/>
                <w:szCs w:val="18"/>
                <w:lang w:val="en-US" w:eastAsia="zh-CN"/>
              </w:rPr>
            </w:pPr>
            <w:r>
              <w:rPr>
                <w:rFonts w:hint="eastAsia"/>
                <w:color w:val="000000"/>
                <w:sz w:val="18"/>
                <w:szCs w:val="18"/>
                <w:lang w:val="en-US" w:eastAsia="zh-CN"/>
              </w:rPr>
              <w:t>考查</w:t>
            </w:r>
          </w:p>
        </w:tc>
      </w:tr>
      <w:tr w14:paraId="75639DA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91" w:type="dxa"/>
            <w:vMerge w:val="continue"/>
          </w:tcPr>
          <w:p w14:paraId="75021AD3">
            <w:pPr>
              <w:keepNext w:val="0"/>
              <w:keepLines w:val="0"/>
              <w:suppressLineNumbers w:val="0"/>
              <w:spacing w:before="0" w:beforeAutospacing="0" w:after="0" w:afterAutospacing="0"/>
              <w:ind w:left="0" w:right="0"/>
              <w:rPr>
                <w:rFonts w:hint="default"/>
                <w:b/>
                <w:color w:val="000000"/>
                <w:sz w:val="18"/>
                <w:szCs w:val="18"/>
              </w:rPr>
            </w:pPr>
          </w:p>
        </w:tc>
        <w:tc>
          <w:tcPr>
            <w:tcW w:w="1460" w:type="dxa"/>
            <w:vMerge w:val="continue"/>
            <w:vAlign w:val="center"/>
          </w:tcPr>
          <w:p w14:paraId="1D2055F0">
            <w:pPr>
              <w:keepNext w:val="0"/>
              <w:keepLines w:val="0"/>
              <w:suppressLineNumbers w:val="0"/>
              <w:adjustRightInd w:val="0"/>
              <w:snapToGrid w:val="0"/>
              <w:spacing w:before="0" w:beforeAutospacing="0" w:after="0" w:afterAutospacing="0"/>
              <w:ind w:left="0" w:right="0"/>
              <w:jc w:val="center"/>
              <w:rPr>
                <w:rFonts w:hint="default"/>
                <w:b/>
                <w:color w:val="000000"/>
                <w:sz w:val="18"/>
                <w:szCs w:val="18"/>
              </w:rPr>
            </w:pPr>
          </w:p>
        </w:tc>
        <w:tc>
          <w:tcPr>
            <w:tcW w:w="3207" w:type="dxa"/>
            <w:vAlign w:val="center"/>
          </w:tcPr>
          <w:p w14:paraId="774C13D0">
            <w:pPr>
              <w:keepNext w:val="0"/>
              <w:keepLines w:val="0"/>
              <w:widowControl w:val="0"/>
              <w:suppressLineNumbers w:val="0"/>
              <w:spacing w:before="0" w:beforeAutospacing="0" w:after="0" w:afterAutospacing="0"/>
              <w:ind w:left="0" w:leftChars="0" w:right="0" w:rightChars="0"/>
              <w:jc w:val="left"/>
              <w:rPr>
                <w:rFonts w:hint="default"/>
                <w:color w:val="auto"/>
                <w:sz w:val="18"/>
                <w:szCs w:val="18"/>
                <w:lang w:val="en-US" w:eastAsia="zh-CN"/>
              </w:rPr>
            </w:pPr>
            <w:r>
              <w:rPr>
                <w:rFonts w:hint="eastAsia"/>
                <w:color w:val="auto"/>
                <w:sz w:val="18"/>
                <w:szCs w:val="18"/>
              </w:rPr>
              <w:t>国际商法</w:t>
            </w:r>
            <w:r>
              <w:rPr>
                <w:rFonts w:hint="eastAsia"/>
                <w:color w:val="auto"/>
                <w:sz w:val="18"/>
                <w:szCs w:val="18"/>
                <w:lang w:val="en-US" w:eastAsia="zh-CN"/>
              </w:rPr>
              <w:t>专题</w:t>
            </w:r>
          </w:p>
        </w:tc>
        <w:tc>
          <w:tcPr>
            <w:tcW w:w="1219" w:type="dxa"/>
            <w:shd w:val="clear" w:color="auto" w:fill="auto"/>
            <w:vAlign w:val="center"/>
          </w:tcPr>
          <w:p w14:paraId="75E62FC7">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i w:val="0"/>
                <w:iCs/>
                <w:color w:val="auto"/>
                <w:kern w:val="2"/>
                <w:sz w:val="18"/>
                <w:szCs w:val="18"/>
                <w:lang w:val="en-US" w:eastAsia="zh-CN" w:bidi="ar-SA"/>
              </w:rPr>
            </w:pPr>
            <w:r>
              <w:rPr>
                <w:rFonts w:hint="eastAsia"/>
                <w:i w:val="0"/>
                <w:iCs/>
                <w:color w:val="auto"/>
                <w:sz w:val="18"/>
                <w:szCs w:val="18"/>
                <w:lang w:val="en-US" w:eastAsia="zh-CN"/>
              </w:rPr>
              <w:t>ZS0316213</w:t>
            </w:r>
          </w:p>
        </w:tc>
        <w:tc>
          <w:tcPr>
            <w:tcW w:w="709" w:type="dxa"/>
            <w:vAlign w:val="center"/>
          </w:tcPr>
          <w:p w14:paraId="754ECEDC">
            <w:pPr>
              <w:keepNext w:val="0"/>
              <w:keepLines w:val="0"/>
              <w:suppressLineNumbers w:val="0"/>
              <w:spacing w:before="0" w:beforeAutospacing="0" w:after="0" w:afterAutospacing="0"/>
              <w:ind w:left="0" w:right="0"/>
              <w:jc w:val="center"/>
              <w:rPr>
                <w:rFonts w:hint="eastAsia"/>
                <w:color w:val="000000"/>
                <w:sz w:val="18"/>
                <w:szCs w:val="18"/>
                <w:lang w:val="en-US" w:eastAsia="zh-CN"/>
              </w:rPr>
            </w:pPr>
            <w:r>
              <w:rPr>
                <w:rFonts w:hint="eastAsia"/>
                <w:color w:val="000000"/>
                <w:sz w:val="18"/>
                <w:szCs w:val="18"/>
                <w:lang w:val="en-US" w:eastAsia="zh-CN"/>
              </w:rPr>
              <w:t>2</w:t>
            </w:r>
          </w:p>
        </w:tc>
        <w:tc>
          <w:tcPr>
            <w:tcW w:w="766" w:type="dxa"/>
            <w:vAlign w:val="center"/>
          </w:tcPr>
          <w:p w14:paraId="64930BE0">
            <w:pPr>
              <w:keepNext w:val="0"/>
              <w:keepLines w:val="0"/>
              <w:suppressLineNumbers w:val="0"/>
              <w:spacing w:before="0" w:beforeAutospacing="0" w:after="0" w:afterAutospacing="0"/>
              <w:ind w:left="0" w:right="0"/>
              <w:jc w:val="center"/>
              <w:rPr>
                <w:rFonts w:hint="eastAsia"/>
                <w:color w:val="000000"/>
                <w:sz w:val="18"/>
                <w:szCs w:val="18"/>
                <w:lang w:val="en-US" w:eastAsia="zh-CN"/>
              </w:rPr>
            </w:pPr>
            <w:r>
              <w:rPr>
                <w:rFonts w:hint="eastAsia"/>
                <w:color w:val="000000"/>
                <w:sz w:val="18"/>
                <w:szCs w:val="18"/>
                <w:lang w:val="en-US" w:eastAsia="zh-CN"/>
              </w:rPr>
              <w:t>1</w:t>
            </w:r>
          </w:p>
        </w:tc>
        <w:tc>
          <w:tcPr>
            <w:tcW w:w="1089" w:type="dxa"/>
            <w:vAlign w:val="center"/>
          </w:tcPr>
          <w:p w14:paraId="76BD3FF6">
            <w:pPr>
              <w:keepNext w:val="0"/>
              <w:keepLines w:val="0"/>
              <w:suppressLineNumbers w:val="0"/>
              <w:adjustRightInd w:val="0"/>
              <w:snapToGrid w:val="0"/>
              <w:spacing w:before="0" w:beforeAutospacing="0" w:after="0" w:afterAutospacing="0"/>
              <w:ind w:left="0" w:right="0"/>
              <w:jc w:val="center"/>
              <w:rPr>
                <w:rFonts w:hint="eastAsia" w:eastAsia="宋体"/>
                <w:color w:val="000000"/>
                <w:sz w:val="18"/>
                <w:szCs w:val="18"/>
                <w:lang w:val="en-US" w:eastAsia="zh-CN"/>
              </w:rPr>
            </w:pPr>
            <w:r>
              <w:rPr>
                <w:rFonts w:hint="eastAsia"/>
                <w:color w:val="000000"/>
                <w:sz w:val="18"/>
                <w:szCs w:val="18"/>
                <w:lang w:val="en-US" w:eastAsia="zh-CN"/>
              </w:rPr>
              <w:t>考查</w:t>
            </w:r>
          </w:p>
        </w:tc>
      </w:tr>
      <w:tr w14:paraId="1BFCA3F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91" w:type="dxa"/>
            <w:vMerge w:val="continue"/>
          </w:tcPr>
          <w:p w14:paraId="63B67BA0">
            <w:pPr>
              <w:keepNext w:val="0"/>
              <w:keepLines w:val="0"/>
              <w:suppressLineNumbers w:val="0"/>
              <w:spacing w:before="0" w:beforeAutospacing="0" w:after="0" w:afterAutospacing="0"/>
              <w:ind w:left="0" w:right="0"/>
              <w:rPr>
                <w:rFonts w:hint="default"/>
                <w:b/>
                <w:color w:val="000000"/>
                <w:sz w:val="18"/>
                <w:szCs w:val="18"/>
              </w:rPr>
            </w:pPr>
          </w:p>
        </w:tc>
        <w:tc>
          <w:tcPr>
            <w:tcW w:w="1460" w:type="dxa"/>
            <w:vMerge w:val="continue"/>
          </w:tcPr>
          <w:p w14:paraId="2E2DC38E">
            <w:pPr>
              <w:keepNext w:val="0"/>
              <w:keepLines w:val="0"/>
              <w:suppressLineNumbers w:val="0"/>
              <w:spacing w:before="0" w:beforeAutospacing="0" w:after="0" w:afterAutospacing="0"/>
              <w:ind w:left="0" w:right="0"/>
              <w:jc w:val="center"/>
              <w:rPr>
                <w:rFonts w:hint="default"/>
                <w:b/>
                <w:color w:val="000000"/>
                <w:sz w:val="18"/>
                <w:szCs w:val="18"/>
              </w:rPr>
            </w:pPr>
          </w:p>
        </w:tc>
        <w:tc>
          <w:tcPr>
            <w:tcW w:w="3207" w:type="dxa"/>
            <w:vAlign w:val="center"/>
          </w:tcPr>
          <w:p w14:paraId="48DC7062">
            <w:pPr>
              <w:keepNext w:val="0"/>
              <w:keepLines w:val="0"/>
              <w:widowControl w:val="0"/>
              <w:suppressLineNumbers w:val="0"/>
              <w:spacing w:before="0" w:beforeAutospacing="0" w:after="0" w:afterAutospacing="0"/>
              <w:ind w:left="0" w:leftChars="0" w:right="0" w:rightChars="0"/>
              <w:jc w:val="left"/>
              <w:rPr>
                <w:rFonts w:hint="default"/>
                <w:color w:val="auto"/>
                <w:sz w:val="18"/>
                <w:szCs w:val="18"/>
                <w:lang w:val="en-US" w:eastAsia="zh-CN"/>
              </w:rPr>
            </w:pPr>
            <w:r>
              <w:rPr>
                <w:rFonts w:hint="eastAsia"/>
                <w:color w:val="auto"/>
                <w:sz w:val="18"/>
                <w:szCs w:val="18"/>
                <w:lang w:val="en-US" w:eastAsia="zh-CN"/>
              </w:rPr>
              <w:t>全球价值链运营与管理</w:t>
            </w:r>
          </w:p>
        </w:tc>
        <w:tc>
          <w:tcPr>
            <w:tcW w:w="1219" w:type="dxa"/>
            <w:shd w:val="clear" w:color="auto" w:fill="auto"/>
            <w:vAlign w:val="center"/>
          </w:tcPr>
          <w:p w14:paraId="2B71CAFB">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i w:val="0"/>
                <w:iCs/>
                <w:color w:val="auto"/>
                <w:kern w:val="2"/>
                <w:sz w:val="18"/>
                <w:szCs w:val="18"/>
                <w:lang w:val="en-US" w:eastAsia="zh-CN" w:bidi="ar-SA"/>
              </w:rPr>
            </w:pPr>
            <w:r>
              <w:rPr>
                <w:rFonts w:hint="eastAsia"/>
                <w:i w:val="0"/>
                <w:iCs/>
                <w:color w:val="auto"/>
                <w:sz w:val="18"/>
                <w:szCs w:val="18"/>
                <w:lang w:val="en-US" w:eastAsia="zh-CN"/>
              </w:rPr>
              <w:t>ZS0316214</w:t>
            </w:r>
          </w:p>
        </w:tc>
        <w:tc>
          <w:tcPr>
            <w:tcW w:w="709" w:type="dxa"/>
            <w:vAlign w:val="center"/>
          </w:tcPr>
          <w:p w14:paraId="69CA670B">
            <w:pPr>
              <w:keepNext w:val="0"/>
              <w:keepLines w:val="0"/>
              <w:suppressLineNumbers w:val="0"/>
              <w:spacing w:before="0" w:beforeAutospacing="0" w:after="0" w:afterAutospacing="0"/>
              <w:ind w:left="0" w:right="0"/>
              <w:jc w:val="center"/>
              <w:rPr>
                <w:rFonts w:hint="eastAsia" w:eastAsia="宋体"/>
                <w:color w:val="000000"/>
                <w:sz w:val="18"/>
                <w:szCs w:val="18"/>
                <w:lang w:eastAsia="zh-CN"/>
              </w:rPr>
            </w:pPr>
            <w:r>
              <w:rPr>
                <w:rFonts w:hint="eastAsia"/>
                <w:color w:val="000000"/>
                <w:sz w:val="18"/>
                <w:szCs w:val="18"/>
                <w:lang w:val="en-US" w:eastAsia="zh-CN"/>
              </w:rPr>
              <w:t>2</w:t>
            </w:r>
          </w:p>
        </w:tc>
        <w:tc>
          <w:tcPr>
            <w:tcW w:w="766" w:type="dxa"/>
            <w:vAlign w:val="center"/>
          </w:tcPr>
          <w:p w14:paraId="09AD226F">
            <w:pPr>
              <w:keepNext w:val="0"/>
              <w:keepLines w:val="0"/>
              <w:suppressLineNumbers w:val="0"/>
              <w:spacing w:before="0" w:beforeAutospacing="0" w:after="0" w:afterAutospacing="0"/>
              <w:ind w:left="0" w:right="0"/>
              <w:jc w:val="center"/>
              <w:rPr>
                <w:rFonts w:hint="eastAsia" w:eastAsia="宋体"/>
                <w:color w:val="000000"/>
                <w:sz w:val="18"/>
                <w:szCs w:val="18"/>
                <w:lang w:eastAsia="zh-CN"/>
              </w:rPr>
            </w:pPr>
            <w:r>
              <w:rPr>
                <w:rFonts w:hint="eastAsia"/>
                <w:color w:val="000000"/>
                <w:sz w:val="18"/>
                <w:szCs w:val="18"/>
                <w:lang w:val="en-US" w:eastAsia="zh-CN"/>
              </w:rPr>
              <w:t>3</w:t>
            </w:r>
          </w:p>
        </w:tc>
        <w:tc>
          <w:tcPr>
            <w:tcW w:w="1089" w:type="dxa"/>
            <w:vAlign w:val="center"/>
          </w:tcPr>
          <w:p w14:paraId="37F88621">
            <w:pPr>
              <w:keepNext w:val="0"/>
              <w:keepLines w:val="0"/>
              <w:suppressLineNumbers w:val="0"/>
              <w:spacing w:before="0" w:beforeAutospacing="0" w:after="0" w:afterAutospacing="0"/>
              <w:ind w:left="0" w:right="0"/>
              <w:jc w:val="center"/>
              <w:rPr>
                <w:rFonts w:hint="eastAsia" w:eastAsia="宋体"/>
                <w:color w:val="000000"/>
                <w:sz w:val="18"/>
                <w:szCs w:val="18"/>
                <w:lang w:val="en-US" w:eastAsia="zh-CN"/>
              </w:rPr>
            </w:pPr>
            <w:r>
              <w:rPr>
                <w:rFonts w:hint="eastAsia"/>
                <w:color w:val="000000"/>
                <w:sz w:val="18"/>
                <w:szCs w:val="18"/>
                <w:lang w:val="en-US" w:eastAsia="zh-CN"/>
              </w:rPr>
              <w:t>考查</w:t>
            </w:r>
          </w:p>
        </w:tc>
      </w:tr>
      <w:tr w14:paraId="75F1BEF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91" w:type="dxa"/>
            <w:vMerge w:val="continue"/>
          </w:tcPr>
          <w:p w14:paraId="636E1AC2">
            <w:pPr>
              <w:keepNext w:val="0"/>
              <w:keepLines w:val="0"/>
              <w:suppressLineNumbers w:val="0"/>
              <w:spacing w:before="0" w:beforeAutospacing="0" w:after="0" w:afterAutospacing="0"/>
              <w:ind w:left="0" w:right="0"/>
              <w:rPr>
                <w:rFonts w:hint="default"/>
                <w:b/>
                <w:color w:val="000000"/>
                <w:sz w:val="18"/>
                <w:szCs w:val="18"/>
              </w:rPr>
            </w:pPr>
          </w:p>
        </w:tc>
        <w:tc>
          <w:tcPr>
            <w:tcW w:w="1460" w:type="dxa"/>
            <w:vMerge w:val="continue"/>
          </w:tcPr>
          <w:p w14:paraId="4893DF21">
            <w:pPr>
              <w:keepNext w:val="0"/>
              <w:keepLines w:val="0"/>
              <w:suppressLineNumbers w:val="0"/>
              <w:spacing w:before="0" w:beforeAutospacing="0" w:after="0" w:afterAutospacing="0"/>
              <w:ind w:left="0" w:right="0"/>
              <w:jc w:val="center"/>
              <w:rPr>
                <w:rFonts w:hint="default"/>
                <w:b/>
                <w:color w:val="000000"/>
                <w:sz w:val="18"/>
                <w:szCs w:val="18"/>
              </w:rPr>
            </w:pPr>
          </w:p>
        </w:tc>
        <w:tc>
          <w:tcPr>
            <w:tcW w:w="3207" w:type="dxa"/>
            <w:vAlign w:val="center"/>
          </w:tcPr>
          <w:p w14:paraId="6336EB51">
            <w:pPr>
              <w:keepNext w:val="0"/>
              <w:keepLines w:val="0"/>
              <w:widowControl w:val="0"/>
              <w:suppressLineNumbers w:val="0"/>
              <w:spacing w:before="0" w:beforeAutospacing="0" w:after="0" w:afterAutospacing="0"/>
              <w:ind w:left="0" w:leftChars="0" w:right="0" w:rightChars="0"/>
              <w:jc w:val="left"/>
              <w:rPr>
                <w:rFonts w:hint="default"/>
                <w:color w:val="auto"/>
                <w:sz w:val="18"/>
                <w:szCs w:val="18"/>
                <w:lang w:val="en-US" w:eastAsia="zh-CN"/>
              </w:rPr>
            </w:pPr>
            <w:r>
              <w:rPr>
                <w:rFonts w:hint="eastAsia"/>
                <w:color w:val="auto"/>
                <w:sz w:val="18"/>
                <w:szCs w:val="18"/>
                <w:lang w:val="en-US" w:eastAsia="zh-CN"/>
              </w:rPr>
              <w:t>国际营销管理案例</w:t>
            </w:r>
          </w:p>
        </w:tc>
        <w:tc>
          <w:tcPr>
            <w:tcW w:w="1219" w:type="dxa"/>
            <w:shd w:val="clear" w:color="auto" w:fill="auto"/>
            <w:vAlign w:val="center"/>
          </w:tcPr>
          <w:p w14:paraId="01C785A8">
            <w:pPr>
              <w:keepNext w:val="0"/>
              <w:keepLines w:val="0"/>
              <w:suppressLineNumbers w:val="0"/>
              <w:spacing w:before="0" w:beforeAutospacing="0" w:after="0" w:afterAutospacing="0"/>
              <w:ind w:left="0" w:leftChars="0" w:right="0" w:rightChars="0"/>
              <w:jc w:val="center"/>
              <w:rPr>
                <w:rFonts w:hint="eastAsia" w:ascii="Times New Roman" w:hAnsi="Times New Roman" w:eastAsia="宋体" w:cs="Times New Roman"/>
                <w:color w:val="000000"/>
                <w:kern w:val="2"/>
                <w:sz w:val="18"/>
                <w:szCs w:val="18"/>
                <w:lang w:val="en-US" w:eastAsia="zh-CN" w:bidi="ar-SA"/>
              </w:rPr>
            </w:pPr>
            <w:r>
              <w:rPr>
                <w:rFonts w:hint="eastAsia"/>
                <w:i w:val="0"/>
                <w:iCs/>
                <w:color w:val="auto"/>
                <w:sz w:val="18"/>
                <w:szCs w:val="18"/>
                <w:lang w:val="en-US" w:eastAsia="zh-CN"/>
              </w:rPr>
              <w:t>ZS0316215</w:t>
            </w:r>
          </w:p>
        </w:tc>
        <w:tc>
          <w:tcPr>
            <w:tcW w:w="709" w:type="dxa"/>
            <w:vAlign w:val="center"/>
          </w:tcPr>
          <w:p w14:paraId="3F508002">
            <w:pPr>
              <w:keepNext w:val="0"/>
              <w:keepLines w:val="0"/>
              <w:suppressLineNumbers w:val="0"/>
              <w:spacing w:before="0" w:beforeAutospacing="0" w:after="0" w:afterAutospacing="0"/>
              <w:ind w:left="0" w:right="0"/>
              <w:jc w:val="center"/>
              <w:rPr>
                <w:rFonts w:hint="default"/>
                <w:color w:val="000000"/>
                <w:sz w:val="18"/>
                <w:szCs w:val="18"/>
                <w:lang w:val="en-US" w:eastAsia="zh-CN"/>
              </w:rPr>
            </w:pPr>
            <w:r>
              <w:rPr>
                <w:rFonts w:hint="eastAsia"/>
                <w:color w:val="000000"/>
                <w:sz w:val="18"/>
                <w:szCs w:val="18"/>
                <w:lang w:val="en-US" w:eastAsia="zh-CN"/>
              </w:rPr>
              <w:t>2</w:t>
            </w:r>
          </w:p>
        </w:tc>
        <w:tc>
          <w:tcPr>
            <w:tcW w:w="766" w:type="dxa"/>
            <w:vAlign w:val="center"/>
          </w:tcPr>
          <w:p w14:paraId="2B598DB9">
            <w:pPr>
              <w:keepNext w:val="0"/>
              <w:keepLines w:val="0"/>
              <w:suppressLineNumbers w:val="0"/>
              <w:spacing w:before="0" w:beforeAutospacing="0" w:after="0" w:afterAutospacing="0"/>
              <w:ind w:left="0" w:right="0"/>
              <w:jc w:val="center"/>
              <w:rPr>
                <w:rFonts w:hint="default"/>
                <w:color w:val="000000"/>
                <w:sz w:val="18"/>
                <w:szCs w:val="18"/>
                <w:lang w:val="en-US" w:eastAsia="zh-CN"/>
              </w:rPr>
            </w:pPr>
            <w:r>
              <w:rPr>
                <w:rFonts w:hint="eastAsia"/>
                <w:color w:val="000000"/>
                <w:sz w:val="18"/>
                <w:szCs w:val="18"/>
                <w:lang w:val="en-US" w:eastAsia="zh-CN"/>
              </w:rPr>
              <w:t>3</w:t>
            </w:r>
          </w:p>
        </w:tc>
        <w:tc>
          <w:tcPr>
            <w:tcW w:w="1089" w:type="dxa"/>
            <w:vAlign w:val="center"/>
          </w:tcPr>
          <w:p w14:paraId="5B907B05">
            <w:pPr>
              <w:keepNext w:val="0"/>
              <w:keepLines w:val="0"/>
              <w:suppressLineNumbers w:val="0"/>
              <w:spacing w:before="0" w:beforeAutospacing="0" w:after="0" w:afterAutospacing="0"/>
              <w:ind w:left="0" w:right="0"/>
              <w:jc w:val="center"/>
              <w:rPr>
                <w:rFonts w:hint="default"/>
                <w:color w:val="000000"/>
                <w:sz w:val="18"/>
                <w:szCs w:val="18"/>
                <w:lang w:val="en-US" w:eastAsia="zh-CN"/>
              </w:rPr>
            </w:pPr>
            <w:r>
              <w:rPr>
                <w:rFonts w:hint="eastAsia"/>
                <w:color w:val="000000"/>
                <w:sz w:val="18"/>
                <w:szCs w:val="18"/>
                <w:lang w:val="en-US" w:eastAsia="zh-CN"/>
              </w:rPr>
              <w:t>考查</w:t>
            </w:r>
          </w:p>
        </w:tc>
      </w:tr>
      <w:tr w14:paraId="5168A5C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91" w:type="dxa"/>
            <w:vMerge w:val="continue"/>
          </w:tcPr>
          <w:p w14:paraId="333AFD2B">
            <w:pPr>
              <w:keepNext w:val="0"/>
              <w:keepLines w:val="0"/>
              <w:suppressLineNumbers w:val="0"/>
              <w:spacing w:before="0" w:beforeAutospacing="0" w:after="0" w:afterAutospacing="0"/>
              <w:ind w:left="0" w:right="0"/>
              <w:rPr>
                <w:rFonts w:hint="default"/>
                <w:b/>
                <w:color w:val="000000"/>
                <w:sz w:val="18"/>
                <w:szCs w:val="18"/>
              </w:rPr>
            </w:pPr>
          </w:p>
        </w:tc>
        <w:tc>
          <w:tcPr>
            <w:tcW w:w="1460" w:type="dxa"/>
            <w:vMerge w:val="continue"/>
          </w:tcPr>
          <w:p w14:paraId="47F9607A">
            <w:pPr>
              <w:keepNext w:val="0"/>
              <w:keepLines w:val="0"/>
              <w:suppressLineNumbers w:val="0"/>
              <w:spacing w:before="0" w:beforeAutospacing="0" w:after="0" w:afterAutospacing="0"/>
              <w:ind w:left="0" w:right="0"/>
              <w:jc w:val="center"/>
              <w:rPr>
                <w:rFonts w:hint="default"/>
                <w:b/>
                <w:color w:val="000000"/>
                <w:sz w:val="18"/>
                <w:szCs w:val="18"/>
              </w:rPr>
            </w:pPr>
          </w:p>
        </w:tc>
        <w:tc>
          <w:tcPr>
            <w:tcW w:w="3207" w:type="dxa"/>
            <w:vAlign w:val="center"/>
          </w:tcPr>
          <w:p w14:paraId="4E2E0046">
            <w:pPr>
              <w:keepNext w:val="0"/>
              <w:keepLines w:val="0"/>
              <w:widowControl w:val="0"/>
              <w:suppressLineNumbers w:val="0"/>
              <w:spacing w:before="0" w:beforeAutospacing="0" w:after="0" w:afterAutospacing="0"/>
              <w:ind w:left="0" w:leftChars="0" w:right="0" w:rightChars="0"/>
              <w:jc w:val="left"/>
              <w:rPr>
                <w:rFonts w:hint="default"/>
                <w:color w:val="auto"/>
                <w:sz w:val="18"/>
                <w:szCs w:val="18"/>
                <w:lang w:val="en-US" w:eastAsia="zh-CN"/>
              </w:rPr>
            </w:pPr>
            <w:r>
              <w:rPr>
                <w:rFonts w:hint="eastAsia" w:cs="Times New Roman"/>
                <w:color w:val="auto"/>
                <w:sz w:val="18"/>
                <w:szCs w:val="18"/>
                <w:lang w:val="en-US" w:eastAsia="zh-CN"/>
              </w:rPr>
              <w:t>商务调研与案例研究</w:t>
            </w:r>
          </w:p>
        </w:tc>
        <w:tc>
          <w:tcPr>
            <w:tcW w:w="1219" w:type="dxa"/>
            <w:shd w:val="clear" w:color="auto" w:fill="auto"/>
            <w:vAlign w:val="center"/>
          </w:tcPr>
          <w:p w14:paraId="3BF0D4F3">
            <w:pPr>
              <w:keepNext w:val="0"/>
              <w:keepLines w:val="0"/>
              <w:suppressLineNumbers w:val="0"/>
              <w:spacing w:before="0" w:beforeAutospacing="0" w:after="0" w:afterAutospacing="0"/>
              <w:ind w:left="0" w:leftChars="0" w:right="0" w:rightChars="0"/>
              <w:jc w:val="center"/>
              <w:rPr>
                <w:rFonts w:hint="default" w:ascii="Times New Roman" w:hAnsi="Times New Roman" w:eastAsia="宋体" w:cs="Times New Roman"/>
                <w:color w:val="000000"/>
                <w:kern w:val="2"/>
                <w:sz w:val="18"/>
                <w:szCs w:val="18"/>
                <w:lang w:val="en-US" w:eastAsia="zh-CN" w:bidi="ar-SA"/>
              </w:rPr>
            </w:pPr>
            <w:r>
              <w:rPr>
                <w:rFonts w:hint="eastAsia"/>
                <w:i w:val="0"/>
                <w:iCs/>
                <w:color w:val="auto"/>
                <w:sz w:val="18"/>
                <w:szCs w:val="18"/>
                <w:lang w:val="en-US" w:eastAsia="zh-CN"/>
              </w:rPr>
              <w:t>ZS0316216</w:t>
            </w:r>
          </w:p>
        </w:tc>
        <w:tc>
          <w:tcPr>
            <w:tcW w:w="709" w:type="dxa"/>
            <w:vAlign w:val="center"/>
          </w:tcPr>
          <w:p w14:paraId="64FC37A8">
            <w:pPr>
              <w:keepNext w:val="0"/>
              <w:keepLines w:val="0"/>
              <w:suppressLineNumbers w:val="0"/>
              <w:spacing w:before="0" w:beforeAutospacing="0" w:after="0" w:afterAutospacing="0"/>
              <w:ind w:left="0" w:leftChars="0" w:right="0" w:rightChars="0"/>
              <w:jc w:val="center"/>
              <w:rPr>
                <w:rFonts w:hint="default"/>
                <w:color w:val="000000"/>
                <w:sz w:val="18"/>
                <w:szCs w:val="18"/>
                <w:lang w:val="en-US" w:eastAsia="zh-CN"/>
              </w:rPr>
            </w:pPr>
            <w:r>
              <w:rPr>
                <w:rFonts w:hint="eastAsia"/>
                <w:color w:val="000000"/>
                <w:sz w:val="18"/>
                <w:szCs w:val="18"/>
                <w:lang w:val="en-US" w:eastAsia="zh-CN"/>
              </w:rPr>
              <w:t>1</w:t>
            </w:r>
          </w:p>
        </w:tc>
        <w:tc>
          <w:tcPr>
            <w:tcW w:w="766" w:type="dxa"/>
            <w:vAlign w:val="center"/>
          </w:tcPr>
          <w:p w14:paraId="0737E5AB">
            <w:pPr>
              <w:keepNext w:val="0"/>
              <w:keepLines w:val="0"/>
              <w:suppressLineNumbers w:val="0"/>
              <w:spacing w:before="0" w:beforeAutospacing="0" w:after="0" w:afterAutospacing="0"/>
              <w:ind w:left="0" w:leftChars="0" w:right="0" w:rightChars="0"/>
              <w:jc w:val="center"/>
              <w:rPr>
                <w:rFonts w:hint="default"/>
                <w:color w:val="000000"/>
                <w:sz w:val="18"/>
                <w:szCs w:val="18"/>
                <w:lang w:val="en-US" w:eastAsia="zh-CN"/>
              </w:rPr>
            </w:pPr>
            <w:r>
              <w:rPr>
                <w:rFonts w:hint="eastAsia"/>
                <w:color w:val="000000"/>
                <w:sz w:val="18"/>
                <w:szCs w:val="18"/>
                <w:lang w:val="en-US" w:eastAsia="zh-CN"/>
              </w:rPr>
              <w:t>3</w:t>
            </w:r>
          </w:p>
        </w:tc>
        <w:tc>
          <w:tcPr>
            <w:tcW w:w="1089" w:type="dxa"/>
            <w:vAlign w:val="center"/>
          </w:tcPr>
          <w:p w14:paraId="4899A2F7">
            <w:pPr>
              <w:keepNext w:val="0"/>
              <w:keepLines w:val="0"/>
              <w:suppressLineNumbers w:val="0"/>
              <w:spacing w:before="0" w:beforeAutospacing="0" w:after="0" w:afterAutospacing="0"/>
              <w:ind w:left="0" w:leftChars="0" w:right="0" w:rightChars="0"/>
              <w:jc w:val="center"/>
              <w:rPr>
                <w:rFonts w:hint="eastAsia" w:eastAsia="宋体"/>
                <w:color w:val="000000"/>
                <w:sz w:val="18"/>
                <w:szCs w:val="18"/>
                <w:lang w:val="en-US" w:eastAsia="zh-CN"/>
              </w:rPr>
            </w:pPr>
            <w:r>
              <w:rPr>
                <w:rFonts w:hint="eastAsia"/>
                <w:i w:val="0"/>
                <w:iCs/>
                <w:color w:val="auto"/>
                <w:sz w:val="18"/>
                <w:szCs w:val="18"/>
                <w:lang w:val="en-US" w:eastAsia="zh-CN"/>
              </w:rPr>
              <w:t>考查</w:t>
            </w:r>
          </w:p>
        </w:tc>
      </w:tr>
      <w:tr w14:paraId="5FC9101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89" w:hRule="atLeast"/>
          <w:jc w:val="center"/>
        </w:trPr>
        <w:tc>
          <w:tcPr>
            <w:tcW w:w="1091" w:type="dxa"/>
            <w:vMerge w:val="continue"/>
          </w:tcPr>
          <w:p w14:paraId="51276F8A">
            <w:pPr>
              <w:keepNext w:val="0"/>
              <w:keepLines w:val="0"/>
              <w:suppressLineNumbers w:val="0"/>
              <w:spacing w:before="0" w:beforeAutospacing="0" w:after="0" w:afterAutospacing="0"/>
              <w:ind w:left="0" w:right="0"/>
              <w:rPr>
                <w:rFonts w:hint="default"/>
                <w:b/>
                <w:color w:val="000000"/>
                <w:sz w:val="18"/>
                <w:szCs w:val="18"/>
              </w:rPr>
            </w:pPr>
          </w:p>
        </w:tc>
        <w:tc>
          <w:tcPr>
            <w:tcW w:w="1460" w:type="dxa"/>
            <w:vMerge w:val="continue"/>
            <w:vAlign w:val="center"/>
          </w:tcPr>
          <w:p w14:paraId="1634EF00">
            <w:pPr>
              <w:keepNext w:val="0"/>
              <w:keepLines w:val="0"/>
              <w:suppressLineNumbers w:val="0"/>
              <w:adjustRightInd w:val="0"/>
              <w:snapToGrid w:val="0"/>
              <w:spacing w:before="0" w:beforeAutospacing="0" w:after="0" w:afterAutospacing="0"/>
              <w:ind w:left="0" w:right="0"/>
              <w:jc w:val="center"/>
              <w:rPr>
                <w:rFonts w:hint="eastAsia"/>
                <w:b/>
                <w:color w:val="000000"/>
                <w:sz w:val="18"/>
                <w:szCs w:val="18"/>
                <w:lang w:val="en-US" w:eastAsia="zh-CN"/>
              </w:rPr>
            </w:pPr>
          </w:p>
        </w:tc>
        <w:tc>
          <w:tcPr>
            <w:tcW w:w="3207" w:type="dxa"/>
            <w:vAlign w:val="center"/>
          </w:tcPr>
          <w:p w14:paraId="7EA20CAE">
            <w:pPr>
              <w:keepNext w:val="0"/>
              <w:keepLines w:val="0"/>
              <w:widowControl w:val="0"/>
              <w:suppressLineNumbers w:val="0"/>
              <w:spacing w:before="0" w:beforeAutospacing="0" w:after="0" w:afterAutospacing="0"/>
              <w:ind w:left="0" w:leftChars="0" w:right="0" w:rightChars="0"/>
              <w:jc w:val="left"/>
              <w:rPr>
                <w:rFonts w:hint="default"/>
                <w:color w:val="auto"/>
                <w:sz w:val="18"/>
                <w:szCs w:val="18"/>
                <w:lang w:val="en-US" w:eastAsia="zh-CN"/>
              </w:rPr>
            </w:pPr>
            <w:r>
              <w:rPr>
                <w:rFonts w:hint="eastAsia"/>
                <w:color w:val="auto"/>
                <w:sz w:val="18"/>
                <w:szCs w:val="18"/>
                <w:lang w:val="en-US" w:eastAsia="zh-CN"/>
              </w:rPr>
              <w:t>职业操守和职业道德教育</w:t>
            </w:r>
          </w:p>
        </w:tc>
        <w:tc>
          <w:tcPr>
            <w:tcW w:w="1219" w:type="dxa"/>
            <w:shd w:val="clear" w:color="auto" w:fill="auto"/>
            <w:vAlign w:val="center"/>
          </w:tcPr>
          <w:p w14:paraId="7E1BA0C8">
            <w:pPr>
              <w:keepNext w:val="0"/>
              <w:keepLines w:val="0"/>
              <w:suppressLineNumbers w:val="0"/>
              <w:spacing w:before="0" w:beforeAutospacing="0" w:after="0" w:afterAutospacing="0"/>
              <w:ind w:left="0" w:leftChars="0" w:right="0" w:rightChars="0"/>
              <w:jc w:val="center"/>
              <w:rPr>
                <w:rFonts w:hint="eastAsia"/>
                <w:i w:val="0"/>
                <w:iCs/>
                <w:color w:val="auto"/>
                <w:sz w:val="18"/>
                <w:szCs w:val="18"/>
                <w:lang w:val="en-US" w:eastAsia="zh-CN"/>
              </w:rPr>
            </w:pPr>
            <w:r>
              <w:rPr>
                <w:rFonts w:hint="eastAsia"/>
                <w:i w:val="0"/>
                <w:iCs/>
                <w:color w:val="auto"/>
                <w:sz w:val="18"/>
                <w:szCs w:val="18"/>
                <w:lang w:val="en-US" w:eastAsia="zh-CN"/>
              </w:rPr>
              <w:t>ZS0316217</w:t>
            </w:r>
          </w:p>
        </w:tc>
        <w:tc>
          <w:tcPr>
            <w:tcW w:w="709" w:type="dxa"/>
            <w:vAlign w:val="center"/>
          </w:tcPr>
          <w:p w14:paraId="2556DE09">
            <w:pPr>
              <w:keepNext w:val="0"/>
              <w:keepLines w:val="0"/>
              <w:suppressLineNumbers w:val="0"/>
              <w:spacing w:before="0" w:beforeAutospacing="0" w:after="0" w:afterAutospacing="0"/>
              <w:ind w:left="0" w:right="0"/>
              <w:jc w:val="center"/>
              <w:rPr>
                <w:rFonts w:hint="eastAsia" w:eastAsia="宋体"/>
                <w:color w:val="000000"/>
                <w:sz w:val="18"/>
                <w:szCs w:val="18"/>
                <w:lang w:val="en-US" w:eastAsia="zh-CN"/>
              </w:rPr>
            </w:pPr>
            <w:r>
              <w:rPr>
                <w:rFonts w:hint="eastAsia"/>
                <w:color w:val="000000"/>
                <w:sz w:val="18"/>
                <w:szCs w:val="18"/>
                <w:lang w:val="en-US" w:eastAsia="zh-CN"/>
              </w:rPr>
              <w:t>1</w:t>
            </w:r>
          </w:p>
        </w:tc>
        <w:tc>
          <w:tcPr>
            <w:tcW w:w="766" w:type="dxa"/>
            <w:vAlign w:val="center"/>
          </w:tcPr>
          <w:p w14:paraId="1B132962">
            <w:pPr>
              <w:keepNext w:val="0"/>
              <w:keepLines w:val="0"/>
              <w:suppressLineNumbers w:val="0"/>
              <w:spacing w:before="0" w:beforeAutospacing="0" w:after="0" w:afterAutospacing="0"/>
              <w:ind w:left="0" w:right="0"/>
              <w:jc w:val="center"/>
              <w:rPr>
                <w:rFonts w:hint="eastAsia" w:eastAsia="宋体"/>
                <w:color w:val="000000"/>
                <w:sz w:val="18"/>
                <w:szCs w:val="18"/>
                <w:lang w:val="en-US" w:eastAsia="zh-CN"/>
              </w:rPr>
            </w:pPr>
            <w:r>
              <w:rPr>
                <w:rFonts w:hint="eastAsia"/>
                <w:color w:val="000000"/>
                <w:sz w:val="18"/>
                <w:szCs w:val="18"/>
                <w:lang w:val="en-US" w:eastAsia="zh-CN"/>
              </w:rPr>
              <w:t>3</w:t>
            </w:r>
          </w:p>
        </w:tc>
        <w:tc>
          <w:tcPr>
            <w:tcW w:w="1089" w:type="dxa"/>
            <w:vAlign w:val="center"/>
          </w:tcPr>
          <w:p w14:paraId="7EA6A7D5">
            <w:pPr>
              <w:keepNext w:val="0"/>
              <w:keepLines w:val="0"/>
              <w:suppressLineNumbers w:val="0"/>
              <w:spacing w:before="0" w:beforeAutospacing="0" w:after="0" w:afterAutospacing="0"/>
              <w:ind w:left="0" w:right="0"/>
              <w:jc w:val="center"/>
              <w:rPr>
                <w:rFonts w:hint="default"/>
                <w:color w:val="000000"/>
                <w:sz w:val="18"/>
                <w:szCs w:val="18"/>
                <w:lang w:val="en-US" w:eastAsia="zh-CN"/>
              </w:rPr>
            </w:pPr>
            <w:r>
              <w:rPr>
                <w:rFonts w:hint="eastAsia"/>
                <w:color w:val="000000"/>
                <w:sz w:val="18"/>
                <w:szCs w:val="18"/>
                <w:lang w:val="en-US" w:eastAsia="zh-CN"/>
              </w:rPr>
              <w:t>考查</w:t>
            </w:r>
          </w:p>
        </w:tc>
      </w:tr>
      <w:tr w14:paraId="7E75BED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91" w:type="dxa"/>
            <w:vMerge w:val="restart"/>
            <w:vAlign w:val="center"/>
          </w:tcPr>
          <w:p w14:paraId="1489E70B">
            <w:pPr>
              <w:keepNext w:val="0"/>
              <w:keepLines w:val="0"/>
              <w:suppressLineNumbers w:val="0"/>
              <w:spacing w:before="0" w:beforeAutospacing="0" w:after="0" w:afterAutospacing="0"/>
              <w:ind w:left="0" w:right="0"/>
              <w:jc w:val="center"/>
              <w:rPr>
                <w:rFonts w:hint="default"/>
                <w:b/>
                <w:color w:val="000000"/>
                <w:sz w:val="18"/>
                <w:szCs w:val="18"/>
              </w:rPr>
            </w:pPr>
            <w:r>
              <w:rPr>
                <w:rFonts w:hint="default"/>
                <w:b/>
                <w:color w:val="000000"/>
                <w:sz w:val="18"/>
                <w:szCs w:val="18"/>
              </w:rPr>
              <w:t>必修环节</w:t>
            </w:r>
          </w:p>
          <w:p w14:paraId="7E4E6260">
            <w:pPr>
              <w:keepNext w:val="0"/>
              <w:keepLines w:val="0"/>
              <w:suppressLineNumbers w:val="0"/>
              <w:spacing w:before="0" w:beforeAutospacing="0" w:after="0" w:afterAutospacing="0"/>
              <w:ind w:left="0" w:right="0"/>
              <w:jc w:val="center"/>
              <w:rPr>
                <w:rFonts w:hint="default"/>
                <w:b/>
                <w:color w:val="000000"/>
                <w:sz w:val="18"/>
                <w:szCs w:val="18"/>
              </w:rPr>
            </w:pPr>
            <w:r>
              <w:rPr>
                <w:rFonts w:hint="eastAsia"/>
                <w:b/>
                <w:color w:val="000000"/>
                <w:sz w:val="18"/>
                <w:szCs w:val="18"/>
                <w:lang w:eastAsia="zh-CN"/>
              </w:rPr>
              <w:t>（</w:t>
            </w:r>
            <w:r>
              <w:rPr>
                <w:rFonts w:hint="eastAsia"/>
                <w:b/>
                <w:color w:val="000000"/>
                <w:sz w:val="18"/>
                <w:szCs w:val="18"/>
                <w:lang w:val="en-US" w:eastAsia="zh-CN"/>
              </w:rPr>
              <w:t>6学分</w:t>
            </w:r>
            <w:r>
              <w:rPr>
                <w:rFonts w:hint="eastAsia"/>
                <w:b/>
                <w:color w:val="000000"/>
                <w:sz w:val="18"/>
                <w:szCs w:val="18"/>
                <w:lang w:eastAsia="zh-CN"/>
              </w:rPr>
              <w:t>）</w:t>
            </w:r>
          </w:p>
        </w:tc>
        <w:tc>
          <w:tcPr>
            <w:tcW w:w="1460" w:type="dxa"/>
            <w:vMerge w:val="restart"/>
            <w:vAlign w:val="center"/>
          </w:tcPr>
          <w:p w14:paraId="17D67AAF">
            <w:pPr>
              <w:keepNext w:val="0"/>
              <w:keepLines w:val="0"/>
              <w:suppressLineNumbers w:val="0"/>
              <w:spacing w:before="0" w:beforeAutospacing="0" w:after="0" w:afterAutospacing="0"/>
              <w:ind w:left="0" w:right="0"/>
              <w:jc w:val="center"/>
              <w:rPr>
                <w:rFonts w:hint="default" w:eastAsia="宋体"/>
                <w:b/>
                <w:color w:val="000000"/>
                <w:sz w:val="18"/>
                <w:szCs w:val="18"/>
                <w:lang w:val="en-US" w:eastAsia="zh-CN"/>
              </w:rPr>
            </w:pPr>
            <w:r>
              <w:rPr>
                <w:rFonts w:hint="eastAsia"/>
                <w:b/>
                <w:color w:val="000000"/>
                <w:sz w:val="18"/>
                <w:szCs w:val="18"/>
                <w:lang w:val="en-US" w:eastAsia="zh-CN"/>
              </w:rPr>
              <w:t>素质拓展</w:t>
            </w:r>
          </w:p>
        </w:tc>
        <w:tc>
          <w:tcPr>
            <w:tcW w:w="3207" w:type="dxa"/>
            <w:vAlign w:val="center"/>
          </w:tcPr>
          <w:p w14:paraId="3D51DE25">
            <w:pPr>
              <w:keepNext w:val="0"/>
              <w:keepLines w:val="0"/>
              <w:suppressLineNumbers w:val="0"/>
              <w:spacing w:before="0" w:beforeAutospacing="0" w:after="0" w:afterAutospacing="0"/>
              <w:ind w:left="0" w:right="0"/>
              <w:rPr>
                <w:rFonts w:hint="default"/>
                <w:color w:val="000000"/>
                <w:sz w:val="18"/>
                <w:szCs w:val="18"/>
              </w:rPr>
            </w:pPr>
            <w:r>
              <w:rPr>
                <w:rFonts w:hint="default"/>
                <w:color w:val="000000"/>
                <w:sz w:val="18"/>
                <w:szCs w:val="18"/>
              </w:rPr>
              <w:t>入学教育</w:t>
            </w:r>
          </w:p>
        </w:tc>
        <w:tc>
          <w:tcPr>
            <w:tcW w:w="1219" w:type="dxa"/>
            <w:vAlign w:val="center"/>
          </w:tcPr>
          <w:p w14:paraId="4A6715C1">
            <w:pPr>
              <w:keepNext w:val="0"/>
              <w:keepLines w:val="0"/>
              <w:suppressLineNumbers w:val="0"/>
              <w:spacing w:before="0" w:beforeAutospacing="0" w:after="0" w:afterAutospacing="0"/>
              <w:ind w:left="0" w:right="0"/>
              <w:jc w:val="center"/>
              <w:rPr>
                <w:rFonts w:hint="eastAsia" w:eastAsia="宋体"/>
                <w:color w:val="000000"/>
                <w:sz w:val="18"/>
                <w:szCs w:val="18"/>
                <w:lang w:val="en-US" w:eastAsia="zh-CN"/>
              </w:rPr>
            </w:pPr>
            <w:r>
              <w:rPr>
                <w:rFonts w:hint="eastAsia"/>
                <w:color w:val="000000"/>
                <w:sz w:val="18"/>
                <w:szCs w:val="18"/>
                <w:lang w:val="en-US" w:eastAsia="zh-CN"/>
              </w:rPr>
              <w:t>自定</w:t>
            </w:r>
          </w:p>
        </w:tc>
        <w:tc>
          <w:tcPr>
            <w:tcW w:w="709" w:type="dxa"/>
            <w:vAlign w:val="center"/>
          </w:tcPr>
          <w:p w14:paraId="7577B577">
            <w:pPr>
              <w:keepNext w:val="0"/>
              <w:keepLines w:val="0"/>
              <w:suppressLineNumbers w:val="0"/>
              <w:spacing w:before="0" w:beforeAutospacing="0" w:after="0" w:afterAutospacing="0"/>
              <w:ind w:left="0" w:right="0"/>
              <w:jc w:val="center"/>
              <w:rPr>
                <w:rFonts w:hint="default"/>
                <w:color w:val="000000"/>
                <w:sz w:val="18"/>
                <w:szCs w:val="18"/>
                <w:lang w:val="en-US" w:eastAsia="zh-CN"/>
              </w:rPr>
            </w:pPr>
            <w:r>
              <w:rPr>
                <w:rFonts w:hint="eastAsia"/>
                <w:color w:val="000000"/>
                <w:sz w:val="18"/>
                <w:szCs w:val="18"/>
                <w:lang w:val="en-US" w:eastAsia="zh-CN"/>
              </w:rPr>
              <w:t>自定</w:t>
            </w:r>
          </w:p>
        </w:tc>
        <w:tc>
          <w:tcPr>
            <w:tcW w:w="766" w:type="dxa"/>
            <w:vAlign w:val="center"/>
          </w:tcPr>
          <w:p w14:paraId="4418DCEC">
            <w:pPr>
              <w:keepNext w:val="0"/>
              <w:keepLines w:val="0"/>
              <w:suppressLineNumbers w:val="0"/>
              <w:spacing w:before="0" w:beforeAutospacing="0" w:after="0" w:afterAutospacing="0"/>
              <w:ind w:left="0" w:right="0"/>
              <w:jc w:val="center"/>
              <w:rPr>
                <w:rFonts w:hint="eastAsia"/>
                <w:color w:val="000000"/>
                <w:sz w:val="18"/>
                <w:szCs w:val="18"/>
              </w:rPr>
            </w:pPr>
            <w:r>
              <w:rPr>
                <w:rFonts w:hint="eastAsia"/>
                <w:color w:val="000000"/>
                <w:sz w:val="18"/>
                <w:szCs w:val="18"/>
              </w:rPr>
              <w:t>1</w:t>
            </w:r>
          </w:p>
        </w:tc>
        <w:tc>
          <w:tcPr>
            <w:tcW w:w="1089" w:type="dxa"/>
            <w:vAlign w:val="center"/>
          </w:tcPr>
          <w:p w14:paraId="5C9D9280">
            <w:pPr>
              <w:keepNext w:val="0"/>
              <w:keepLines w:val="0"/>
              <w:suppressLineNumbers w:val="0"/>
              <w:spacing w:before="0" w:beforeAutospacing="0" w:after="0" w:afterAutospacing="0"/>
              <w:ind w:left="0" w:right="0"/>
              <w:jc w:val="center"/>
              <w:rPr>
                <w:rFonts w:hint="default" w:eastAsia="宋体"/>
                <w:color w:val="000000"/>
                <w:sz w:val="18"/>
                <w:szCs w:val="18"/>
                <w:lang w:val="en-US" w:eastAsia="zh-CN"/>
              </w:rPr>
            </w:pPr>
            <w:r>
              <w:rPr>
                <w:rFonts w:hint="eastAsia"/>
                <w:color w:val="000000"/>
                <w:sz w:val="18"/>
                <w:szCs w:val="18"/>
                <w:lang w:val="en-US" w:eastAsia="zh-CN"/>
              </w:rPr>
              <w:t>必修</w:t>
            </w:r>
          </w:p>
        </w:tc>
      </w:tr>
      <w:tr w14:paraId="48596DD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91" w:type="dxa"/>
            <w:vMerge w:val="continue"/>
            <w:vAlign w:val="center"/>
          </w:tcPr>
          <w:p w14:paraId="619B54FA">
            <w:pPr>
              <w:keepNext w:val="0"/>
              <w:keepLines w:val="0"/>
              <w:suppressLineNumbers w:val="0"/>
              <w:spacing w:before="0" w:beforeAutospacing="0" w:after="0" w:afterAutospacing="0"/>
              <w:ind w:left="0" w:right="0"/>
              <w:jc w:val="center"/>
              <w:rPr>
                <w:rFonts w:hint="default"/>
                <w:b/>
                <w:color w:val="000000"/>
                <w:sz w:val="18"/>
                <w:szCs w:val="18"/>
              </w:rPr>
            </w:pPr>
          </w:p>
        </w:tc>
        <w:tc>
          <w:tcPr>
            <w:tcW w:w="1460" w:type="dxa"/>
            <w:vMerge w:val="continue"/>
            <w:vAlign w:val="center"/>
          </w:tcPr>
          <w:p w14:paraId="22BB4DD8">
            <w:pPr>
              <w:keepNext w:val="0"/>
              <w:keepLines w:val="0"/>
              <w:suppressLineNumbers w:val="0"/>
              <w:spacing w:before="0" w:beforeAutospacing="0" w:after="0" w:afterAutospacing="0"/>
              <w:ind w:left="0" w:right="0"/>
              <w:jc w:val="center"/>
              <w:rPr>
                <w:rFonts w:hint="default"/>
                <w:b/>
                <w:color w:val="000000"/>
                <w:sz w:val="18"/>
                <w:szCs w:val="18"/>
              </w:rPr>
            </w:pPr>
          </w:p>
        </w:tc>
        <w:tc>
          <w:tcPr>
            <w:tcW w:w="3207" w:type="dxa"/>
            <w:vAlign w:val="center"/>
          </w:tcPr>
          <w:p w14:paraId="72436061">
            <w:pPr>
              <w:keepNext w:val="0"/>
              <w:keepLines w:val="0"/>
              <w:suppressLineNumbers w:val="0"/>
              <w:spacing w:before="0" w:beforeAutospacing="0" w:after="0" w:afterAutospacing="0"/>
              <w:ind w:left="0" w:right="0"/>
              <w:rPr>
                <w:rFonts w:hint="default"/>
                <w:color w:val="000000"/>
                <w:sz w:val="18"/>
                <w:szCs w:val="18"/>
              </w:rPr>
            </w:pPr>
            <w:r>
              <w:rPr>
                <w:rFonts w:hint="eastAsia"/>
                <w:color w:val="000000" w:themeColor="text1"/>
                <w:sz w:val="18"/>
                <w:szCs w:val="18"/>
                <w14:textFill>
                  <w14:solidFill>
                    <w14:schemeClr w14:val="tx1"/>
                  </w14:solidFill>
                </w14:textFill>
              </w:rPr>
              <w:t>学术活动</w:t>
            </w:r>
          </w:p>
        </w:tc>
        <w:tc>
          <w:tcPr>
            <w:tcW w:w="1219" w:type="dxa"/>
            <w:vAlign w:val="center"/>
          </w:tcPr>
          <w:p w14:paraId="7227D443">
            <w:pPr>
              <w:keepNext w:val="0"/>
              <w:keepLines w:val="0"/>
              <w:suppressLineNumbers w:val="0"/>
              <w:spacing w:before="0" w:beforeAutospacing="0" w:after="0" w:afterAutospacing="0"/>
              <w:ind w:left="0" w:right="0"/>
              <w:jc w:val="center"/>
              <w:rPr>
                <w:rFonts w:hint="default"/>
                <w:color w:val="000000"/>
                <w:sz w:val="18"/>
                <w:szCs w:val="18"/>
              </w:rPr>
            </w:pPr>
          </w:p>
        </w:tc>
        <w:tc>
          <w:tcPr>
            <w:tcW w:w="709" w:type="dxa"/>
            <w:vAlign w:val="center"/>
          </w:tcPr>
          <w:p w14:paraId="2EFA507E">
            <w:pPr>
              <w:keepNext w:val="0"/>
              <w:keepLines w:val="0"/>
              <w:suppressLineNumbers w:val="0"/>
              <w:spacing w:before="0" w:beforeAutospacing="0" w:after="0" w:afterAutospacing="0"/>
              <w:ind w:left="0" w:right="0"/>
              <w:jc w:val="center"/>
              <w:rPr>
                <w:rFonts w:hint="eastAsia"/>
                <w:color w:val="000000"/>
                <w:sz w:val="18"/>
                <w:szCs w:val="18"/>
                <w:lang w:val="en-US" w:eastAsia="zh-CN"/>
              </w:rPr>
            </w:pPr>
            <w:r>
              <w:rPr>
                <w:rFonts w:hint="eastAsia"/>
                <w:color w:val="000000"/>
                <w:sz w:val="18"/>
                <w:szCs w:val="18"/>
                <w:lang w:val="en-US" w:eastAsia="zh-CN"/>
              </w:rPr>
              <w:t>0</w:t>
            </w:r>
          </w:p>
        </w:tc>
        <w:tc>
          <w:tcPr>
            <w:tcW w:w="766" w:type="dxa"/>
            <w:vAlign w:val="center"/>
          </w:tcPr>
          <w:p w14:paraId="367B82E9">
            <w:pPr>
              <w:keepNext w:val="0"/>
              <w:keepLines w:val="0"/>
              <w:suppressLineNumbers w:val="0"/>
              <w:spacing w:before="0" w:beforeAutospacing="0" w:after="0" w:afterAutospacing="0"/>
              <w:ind w:left="0" w:right="0"/>
              <w:jc w:val="center"/>
              <w:rPr>
                <w:rFonts w:hint="eastAsia"/>
                <w:color w:val="000000"/>
                <w:sz w:val="18"/>
                <w:szCs w:val="18"/>
              </w:rPr>
            </w:pPr>
          </w:p>
        </w:tc>
        <w:tc>
          <w:tcPr>
            <w:tcW w:w="1089" w:type="dxa"/>
            <w:vAlign w:val="center"/>
          </w:tcPr>
          <w:p w14:paraId="635D2185">
            <w:pPr>
              <w:keepNext w:val="0"/>
              <w:keepLines w:val="0"/>
              <w:suppressLineNumbers w:val="0"/>
              <w:spacing w:before="0" w:beforeAutospacing="0" w:after="0" w:afterAutospacing="0"/>
              <w:ind w:left="0" w:right="0"/>
              <w:jc w:val="center"/>
              <w:rPr>
                <w:rFonts w:hint="eastAsia" w:eastAsia="宋体"/>
                <w:color w:val="000000"/>
                <w:sz w:val="18"/>
                <w:szCs w:val="18"/>
                <w:lang w:val="en-US" w:eastAsia="zh-CN"/>
              </w:rPr>
            </w:pPr>
            <w:r>
              <w:rPr>
                <w:rFonts w:hint="eastAsia"/>
                <w:color w:val="000000"/>
                <w:sz w:val="18"/>
                <w:szCs w:val="18"/>
                <w:lang w:val="en-US" w:eastAsia="zh-CN"/>
              </w:rPr>
              <w:t>选修</w:t>
            </w:r>
          </w:p>
        </w:tc>
      </w:tr>
      <w:tr w14:paraId="31C8BD6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91" w:type="dxa"/>
            <w:vMerge w:val="continue"/>
            <w:vAlign w:val="center"/>
          </w:tcPr>
          <w:p w14:paraId="18E0FA5A">
            <w:pPr>
              <w:keepNext w:val="0"/>
              <w:keepLines w:val="0"/>
              <w:suppressLineNumbers w:val="0"/>
              <w:spacing w:before="0" w:beforeAutospacing="0" w:after="0" w:afterAutospacing="0"/>
              <w:ind w:left="0" w:right="0"/>
              <w:jc w:val="center"/>
              <w:rPr>
                <w:rFonts w:hint="default"/>
                <w:b/>
                <w:color w:val="000000"/>
                <w:sz w:val="18"/>
                <w:szCs w:val="18"/>
              </w:rPr>
            </w:pPr>
          </w:p>
        </w:tc>
        <w:tc>
          <w:tcPr>
            <w:tcW w:w="1460" w:type="dxa"/>
            <w:vMerge w:val="continue"/>
            <w:vAlign w:val="center"/>
          </w:tcPr>
          <w:p w14:paraId="2A9A610A">
            <w:pPr>
              <w:keepNext w:val="0"/>
              <w:keepLines w:val="0"/>
              <w:suppressLineNumbers w:val="0"/>
              <w:spacing w:before="0" w:beforeAutospacing="0" w:after="0" w:afterAutospacing="0"/>
              <w:ind w:left="0" w:right="0"/>
              <w:jc w:val="center"/>
              <w:rPr>
                <w:rFonts w:hint="default"/>
                <w:b/>
                <w:color w:val="000000"/>
                <w:sz w:val="18"/>
                <w:szCs w:val="18"/>
              </w:rPr>
            </w:pPr>
          </w:p>
        </w:tc>
        <w:tc>
          <w:tcPr>
            <w:tcW w:w="3207" w:type="dxa"/>
            <w:vAlign w:val="center"/>
          </w:tcPr>
          <w:p w14:paraId="5D385551">
            <w:pPr>
              <w:keepNext w:val="0"/>
              <w:keepLines w:val="0"/>
              <w:suppressLineNumbers w:val="0"/>
              <w:spacing w:before="0" w:beforeAutospacing="0" w:after="0" w:afterAutospacing="0"/>
              <w:ind w:left="0" w:right="0"/>
              <w:rPr>
                <w:rFonts w:hint="default"/>
                <w:color w:val="000000"/>
                <w:sz w:val="18"/>
                <w:szCs w:val="18"/>
              </w:rPr>
            </w:pPr>
            <w:r>
              <w:rPr>
                <w:rFonts w:hint="eastAsia"/>
                <w:color w:val="000000"/>
                <w:sz w:val="18"/>
                <w:szCs w:val="18"/>
                <w:lang w:val="en-US" w:eastAsia="zh-CN"/>
              </w:rPr>
              <w:t>竞赛活动</w:t>
            </w:r>
          </w:p>
        </w:tc>
        <w:tc>
          <w:tcPr>
            <w:tcW w:w="1219" w:type="dxa"/>
            <w:vAlign w:val="center"/>
          </w:tcPr>
          <w:p w14:paraId="1A6F04E4">
            <w:pPr>
              <w:keepNext w:val="0"/>
              <w:keepLines w:val="0"/>
              <w:suppressLineNumbers w:val="0"/>
              <w:spacing w:before="0" w:beforeAutospacing="0" w:after="0" w:afterAutospacing="0"/>
              <w:ind w:left="0" w:right="0"/>
              <w:jc w:val="center"/>
              <w:rPr>
                <w:rFonts w:hint="default"/>
                <w:color w:val="000000"/>
                <w:sz w:val="18"/>
                <w:szCs w:val="18"/>
              </w:rPr>
            </w:pPr>
          </w:p>
        </w:tc>
        <w:tc>
          <w:tcPr>
            <w:tcW w:w="709" w:type="dxa"/>
            <w:vAlign w:val="center"/>
          </w:tcPr>
          <w:p w14:paraId="37E1C788">
            <w:pPr>
              <w:keepNext w:val="0"/>
              <w:keepLines w:val="0"/>
              <w:suppressLineNumbers w:val="0"/>
              <w:spacing w:before="0" w:beforeAutospacing="0" w:after="0" w:afterAutospacing="0"/>
              <w:ind w:left="0" w:right="0"/>
              <w:jc w:val="center"/>
              <w:rPr>
                <w:rFonts w:hint="default"/>
                <w:color w:val="000000"/>
                <w:sz w:val="18"/>
                <w:szCs w:val="18"/>
                <w:lang w:val="en-US" w:eastAsia="zh-CN"/>
              </w:rPr>
            </w:pPr>
            <w:r>
              <w:rPr>
                <w:rFonts w:hint="eastAsia"/>
                <w:color w:val="000000"/>
                <w:sz w:val="18"/>
                <w:szCs w:val="18"/>
                <w:lang w:val="en-US" w:eastAsia="zh-CN"/>
              </w:rPr>
              <w:t>0</w:t>
            </w:r>
          </w:p>
        </w:tc>
        <w:tc>
          <w:tcPr>
            <w:tcW w:w="766" w:type="dxa"/>
            <w:vAlign w:val="center"/>
          </w:tcPr>
          <w:p w14:paraId="2A5D25FD">
            <w:pPr>
              <w:keepNext w:val="0"/>
              <w:keepLines w:val="0"/>
              <w:suppressLineNumbers w:val="0"/>
              <w:spacing w:before="0" w:beforeAutospacing="0" w:after="0" w:afterAutospacing="0"/>
              <w:ind w:left="0" w:right="0"/>
              <w:jc w:val="center"/>
              <w:rPr>
                <w:rFonts w:hint="default" w:eastAsia="宋体"/>
                <w:color w:val="000000"/>
                <w:sz w:val="18"/>
                <w:szCs w:val="18"/>
                <w:lang w:val="en-US" w:eastAsia="zh-CN"/>
              </w:rPr>
            </w:pPr>
          </w:p>
        </w:tc>
        <w:tc>
          <w:tcPr>
            <w:tcW w:w="1089" w:type="dxa"/>
            <w:vAlign w:val="center"/>
          </w:tcPr>
          <w:p w14:paraId="5916EA60">
            <w:pPr>
              <w:keepNext w:val="0"/>
              <w:keepLines w:val="0"/>
              <w:suppressLineNumbers w:val="0"/>
              <w:spacing w:before="0" w:beforeAutospacing="0" w:after="0" w:afterAutospacing="0"/>
              <w:ind w:left="0" w:right="0"/>
              <w:jc w:val="center"/>
              <w:rPr>
                <w:rFonts w:hint="default" w:eastAsia="宋体"/>
                <w:color w:val="000000"/>
                <w:sz w:val="18"/>
                <w:szCs w:val="18"/>
                <w:lang w:val="en-US" w:eastAsia="zh-CN"/>
              </w:rPr>
            </w:pPr>
            <w:r>
              <w:rPr>
                <w:rFonts w:hint="eastAsia"/>
                <w:color w:val="000000"/>
                <w:sz w:val="18"/>
                <w:szCs w:val="18"/>
                <w:lang w:val="en-US" w:eastAsia="zh-CN"/>
              </w:rPr>
              <w:t>选修</w:t>
            </w:r>
          </w:p>
        </w:tc>
      </w:tr>
      <w:tr w14:paraId="51F9756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91" w:type="dxa"/>
            <w:vMerge w:val="continue"/>
            <w:vAlign w:val="center"/>
          </w:tcPr>
          <w:p w14:paraId="00318A27">
            <w:pPr>
              <w:keepNext w:val="0"/>
              <w:keepLines w:val="0"/>
              <w:suppressLineNumbers w:val="0"/>
              <w:spacing w:before="0" w:beforeAutospacing="0" w:after="0" w:afterAutospacing="0"/>
              <w:ind w:left="0" w:right="0"/>
              <w:jc w:val="center"/>
              <w:rPr>
                <w:rFonts w:hint="default"/>
                <w:b/>
                <w:color w:val="000000"/>
                <w:sz w:val="18"/>
                <w:szCs w:val="18"/>
              </w:rPr>
            </w:pPr>
          </w:p>
        </w:tc>
        <w:tc>
          <w:tcPr>
            <w:tcW w:w="1460" w:type="dxa"/>
            <w:vMerge w:val="continue"/>
            <w:vAlign w:val="center"/>
          </w:tcPr>
          <w:p w14:paraId="3CDBC0DA">
            <w:pPr>
              <w:keepNext w:val="0"/>
              <w:keepLines w:val="0"/>
              <w:suppressLineNumbers w:val="0"/>
              <w:spacing w:before="0" w:beforeAutospacing="0" w:after="0" w:afterAutospacing="0"/>
              <w:ind w:left="0" w:right="0"/>
              <w:jc w:val="center"/>
              <w:rPr>
                <w:rFonts w:hint="default"/>
                <w:b/>
                <w:color w:val="000000"/>
                <w:sz w:val="18"/>
                <w:szCs w:val="18"/>
              </w:rPr>
            </w:pPr>
          </w:p>
        </w:tc>
        <w:tc>
          <w:tcPr>
            <w:tcW w:w="3207" w:type="dxa"/>
            <w:vAlign w:val="center"/>
          </w:tcPr>
          <w:p w14:paraId="299E4010">
            <w:pPr>
              <w:keepNext w:val="0"/>
              <w:keepLines w:val="0"/>
              <w:suppressLineNumbers w:val="0"/>
              <w:spacing w:before="0" w:beforeAutospacing="0" w:after="0" w:afterAutospacing="0"/>
              <w:ind w:left="0" w:right="0"/>
              <w:rPr>
                <w:rFonts w:hint="default"/>
                <w:color w:val="000000"/>
                <w:sz w:val="18"/>
                <w:szCs w:val="18"/>
              </w:rPr>
            </w:pPr>
            <w:r>
              <w:rPr>
                <w:rFonts w:hint="eastAsia"/>
                <w:color w:val="000000"/>
                <w:sz w:val="18"/>
                <w:szCs w:val="18"/>
              </w:rPr>
              <w:t>实习实践活动</w:t>
            </w:r>
          </w:p>
        </w:tc>
        <w:tc>
          <w:tcPr>
            <w:tcW w:w="1219" w:type="dxa"/>
            <w:vAlign w:val="center"/>
          </w:tcPr>
          <w:p w14:paraId="32FC11A3">
            <w:pPr>
              <w:keepNext w:val="0"/>
              <w:keepLines w:val="0"/>
              <w:suppressLineNumbers w:val="0"/>
              <w:spacing w:before="0" w:beforeAutospacing="0" w:after="0" w:afterAutospacing="0"/>
              <w:ind w:left="0" w:right="0"/>
              <w:jc w:val="center"/>
              <w:rPr>
                <w:rFonts w:hint="default"/>
                <w:color w:val="000000"/>
                <w:sz w:val="18"/>
                <w:szCs w:val="18"/>
              </w:rPr>
            </w:pPr>
          </w:p>
        </w:tc>
        <w:tc>
          <w:tcPr>
            <w:tcW w:w="709" w:type="dxa"/>
            <w:vAlign w:val="center"/>
          </w:tcPr>
          <w:p w14:paraId="5E7E8EC6">
            <w:pPr>
              <w:keepNext w:val="0"/>
              <w:keepLines w:val="0"/>
              <w:suppressLineNumbers w:val="0"/>
              <w:spacing w:before="0" w:beforeAutospacing="0" w:after="0" w:afterAutospacing="0"/>
              <w:ind w:left="0" w:right="0"/>
              <w:jc w:val="center"/>
              <w:rPr>
                <w:rFonts w:hint="eastAsia"/>
                <w:color w:val="000000"/>
                <w:sz w:val="18"/>
                <w:szCs w:val="18"/>
                <w:lang w:val="en-US" w:eastAsia="zh-CN"/>
              </w:rPr>
            </w:pPr>
            <w:r>
              <w:rPr>
                <w:rFonts w:hint="eastAsia"/>
                <w:color w:val="000000"/>
                <w:sz w:val="18"/>
                <w:szCs w:val="18"/>
                <w:lang w:val="en-US" w:eastAsia="zh-CN"/>
              </w:rPr>
              <w:t>2</w:t>
            </w:r>
          </w:p>
        </w:tc>
        <w:tc>
          <w:tcPr>
            <w:tcW w:w="766" w:type="dxa"/>
            <w:vAlign w:val="center"/>
          </w:tcPr>
          <w:p w14:paraId="53D51614">
            <w:pPr>
              <w:keepNext w:val="0"/>
              <w:keepLines w:val="0"/>
              <w:suppressLineNumbers w:val="0"/>
              <w:spacing w:before="0" w:beforeAutospacing="0" w:after="0" w:afterAutospacing="0"/>
              <w:ind w:left="0" w:right="0"/>
              <w:jc w:val="center"/>
              <w:rPr>
                <w:rFonts w:hint="default"/>
                <w:color w:val="000000"/>
                <w:sz w:val="18"/>
                <w:szCs w:val="18"/>
                <w:lang w:val="en-US" w:eastAsia="zh-CN"/>
              </w:rPr>
            </w:pPr>
            <w:r>
              <w:rPr>
                <w:rFonts w:hint="eastAsia"/>
                <w:color w:val="000000"/>
                <w:sz w:val="18"/>
                <w:szCs w:val="18"/>
                <w:lang w:val="en-US" w:eastAsia="zh-CN"/>
              </w:rPr>
              <w:t>4</w:t>
            </w:r>
          </w:p>
        </w:tc>
        <w:tc>
          <w:tcPr>
            <w:tcW w:w="1089" w:type="dxa"/>
            <w:vAlign w:val="center"/>
          </w:tcPr>
          <w:p w14:paraId="08138DD7">
            <w:pPr>
              <w:keepNext w:val="0"/>
              <w:keepLines w:val="0"/>
              <w:suppressLineNumbers w:val="0"/>
              <w:spacing w:before="0" w:beforeAutospacing="0" w:after="0" w:afterAutospacing="0"/>
              <w:ind w:left="0" w:right="0"/>
              <w:jc w:val="center"/>
              <w:rPr>
                <w:rFonts w:hint="eastAsia" w:eastAsia="宋体"/>
                <w:color w:val="000000"/>
                <w:sz w:val="18"/>
                <w:szCs w:val="18"/>
                <w:lang w:val="en-US" w:eastAsia="zh-CN"/>
              </w:rPr>
            </w:pPr>
            <w:r>
              <w:rPr>
                <w:rFonts w:hint="eastAsia"/>
                <w:color w:val="000000"/>
                <w:sz w:val="18"/>
                <w:szCs w:val="18"/>
                <w:lang w:val="en-US" w:eastAsia="zh-CN"/>
              </w:rPr>
              <w:t>必修</w:t>
            </w:r>
          </w:p>
        </w:tc>
      </w:tr>
      <w:tr w14:paraId="67EA0D7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91" w:type="dxa"/>
            <w:vMerge w:val="continue"/>
            <w:vAlign w:val="center"/>
          </w:tcPr>
          <w:p w14:paraId="3719AB57">
            <w:pPr>
              <w:keepNext w:val="0"/>
              <w:keepLines w:val="0"/>
              <w:suppressLineNumbers w:val="0"/>
              <w:spacing w:before="0" w:beforeAutospacing="0" w:after="0" w:afterAutospacing="0"/>
              <w:ind w:left="0" w:right="0"/>
              <w:jc w:val="center"/>
              <w:rPr>
                <w:rFonts w:hint="default"/>
                <w:b/>
                <w:color w:val="000000"/>
                <w:sz w:val="18"/>
                <w:szCs w:val="18"/>
              </w:rPr>
            </w:pPr>
          </w:p>
        </w:tc>
        <w:tc>
          <w:tcPr>
            <w:tcW w:w="1460" w:type="dxa"/>
            <w:vMerge w:val="restart"/>
            <w:vAlign w:val="center"/>
          </w:tcPr>
          <w:p w14:paraId="3D1F8794">
            <w:pPr>
              <w:keepNext w:val="0"/>
              <w:keepLines w:val="0"/>
              <w:suppressLineNumbers w:val="0"/>
              <w:spacing w:before="0" w:beforeAutospacing="0" w:after="0" w:afterAutospacing="0"/>
              <w:ind w:left="0" w:right="0"/>
              <w:jc w:val="center"/>
              <w:rPr>
                <w:rFonts w:hint="default" w:eastAsia="宋体"/>
                <w:b/>
                <w:color w:val="000000"/>
                <w:sz w:val="18"/>
                <w:szCs w:val="18"/>
                <w:lang w:val="en-US" w:eastAsia="zh-CN"/>
              </w:rPr>
            </w:pPr>
            <w:r>
              <w:rPr>
                <w:rFonts w:hint="eastAsia"/>
                <w:b/>
                <w:color w:val="000000"/>
                <w:sz w:val="18"/>
                <w:szCs w:val="18"/>
                <w:lang w:val="en-US" w:eastAsia="zh-CN"/>
              </w:rPr>
              <w:t>学术训练</w:t>
            </w:r>
          </w:p>
        </w:tc>
        <w:tc>
          <w:tcPr>
            <w:tcW w:w="3207" w:type="dxa"/>
            <w:vAlign w:val="center"/>
          </w:tcPr>
          <w:p w14:paraId="54A8BEE4">
            <w:pPr>
              <w:keepNext w:val="0"/>
              <w:keepLines w:val="0"/>
              <w:suppressLineNumbers w:val="0"/>
              <w:spacing w:before="0" w:beforeAutospacing="0" w:after="0" w:afterAutospacing="0"/>
              <w:ind w:left="0" w:right="0"/>
              <w:rPr>
                <w:rFonts w:hint="default" w:eastAsia="宋体"/>
                <w:color w:val="000000"/>
                <w:sz w:val="18"/>
                <w:szCs w:val="18"/>
                <w:lang w:val="en-US" w:eastAsia="zh-CN"/>
              </w:rPr>
            </w:pPr>
            <w:r>
              <w:rPr>
                <w:rFonts w:hint="eastAsia"/>
                <w:color w:val="000000"/>
                <w:sz w:val="18"/>
                <w:szCs w:val="18"/>
                <w:lang w:val="en-US" w:eastAsia="zh-CN"/>
              </w:rPr>
              <w:t>中期筛选</w:t>
            </w:r>
          </w:p>
        </w:tc>
        <w:tc>
          <w:tcPr>
            <w:tcW w:w="1219" w:type="dxa"/>
            <w:vAlign w:val="center"/>
          </w:tcPr>
          <w:p w14:paraId="0B88C615">
            <w:pPr>
              <w:keepNext w:val="0"/>
              <w:keepLines w:val="0"/>
              <w:suppressLineNumbers w:val="0"/>
              <w:spacing w:before="0" w:beforeAutospacing="0" w:after="0" w:afterAutospacing="0"/>
              <w:ind w:left="0" w:right="0"/>
              <w:jc w:val="center"/>
              <w:rPr>
                <w:rFonts w:hint="default"/>
                <w:color w:val="000000"/>
                <w:sz w:val="18"/>
                <w:szCs w:val="18"/>
              </w:rPr>
            </w:pPr>
          </w:p>
        </w:tc>
        <w:tc>
          <w:tcPr>
            <w:tcW w:w="709" w:type="dxa"/>
            <w:vAlign w:val="center"/>
          </w:tcPr>
          <w:p w14:paraId="2E69CFBE">
            <w:pPr>
              <w:keepNext w:val="0"/>
              <w:keepLines w:val="0"/>
              <w:suppressLineNumbers w:val="0"/>
              <w:spacing w:before="0" w:beforeAutospacing="0" w:after="0" w:afterAutospacing="0"/>
              <w:ind w:left="0" w:right="0"/>
              <w:jc w:val="center"/>
              <w:rPr>
                <w:rFonts w:hint="default"/>
                <w:color w:val="000000"/>
                <w:sz w:val="18"/>
                <w:szCs w:val="18"/>
                <w:lang w:val="en-US" w:eastAsia="zh-CN"/>
              </w:rPr>
            </w:pPr>
            <w:r>
              <w:rPr>
                <w:rFonts w:hint="eastAsia"/>
                <w:color w:val="000000"/>
                <w:sz w:val="18"/>
                <w:szCs w:val="18"/>
                <w:lang w:val="en-US" w:eastAsia="zh-CN"/>
              </w:rPr>
              <w:t>0</w:t>
            </w:r>
          </w:p>
        </w:tc>
        <w:tc>
          <w:tcPr>
            <w:tcW w:w="766" w:type="dxa"/>
            <w:vAlign w:val="center"/>
          </w:tcPr>
          <w:p w14:paraId="15E26895">
            <w:pPr>
              <w:keepNext w:val="0"/>
              <w:keepLines w:val="0"/>
              <w:suppressLineNumbers w:val="0"/>
              <w:spacing w:before="0" w:beforeAutospacing="0" w:after="0" w:afterAutospacing="0"/>
              <w:ind w:left="0" w:right="0"/>
              <w:jc w:val="center"/>
              <w:rPr>
                <w:rFonts w:hint="default"/>
                <w:color w:val="000000"/>
                <w:sz w:val="18"/>
                <w:szCs w:val="18"/>
                <w:lang w:val="en-US" w:eastAsia="zh-CN"/>
              </w:rPr>
            </w:pPr>
            <w:r>
              <w:rPr>
                <w:rFonts w:hint="eastAsia"/>
                <w:color w:val="000000"/>
                <w:sz w:val="18"/>
                <w:szCs w:val="18"/>
                <w:lang w:val="en-US" w:eastAsia="zh-CN"/>
              </w:rPr>
              <w:t>3</w:t>
            </w:r>
          </w:p>
        </w:tc>
        <w:tc>
          <w:tcPr>
            <w:tcW w:w="1089" w:type="dxa"/>
            <w:vMerge w:val="restart"/>
            <w:vAlign w:val="center"/>
          </w:tcPr>
          <w:p w14:paraId="417DB7D0">
            <w:pPr>
              <w:keepNext w:val="0"/>
              <w:keepLines w:val="0"/>
              <w:suppressLineNumbers w:val="0"/>
              <w:spacing w:before="0" w:beforeAutospacing="0" w:after="0" w:afterAutospacing="0"/>
              <w:ind w:left="0" w:right="0"/>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学位论文</w:t>
            </w:r>
          </w:p>
          <w:p w14:paraId="74941FE5">
            <w:pPr>
              <w:keepNext w:val="0"/>
              <w:keepLines w:val="0"/>
              <w:suppressLineNumbers w:val="0"/>
              <w:spacing w:before="0" w:beforeAutospacing="0" w:after="0" w:afterAutospacing="0"/>
              <w:ind w:left="0" w:right="0"/>
              <w:jc w:val="center"/>
              <w:rPr>
                <w:rFonts w:hint="default"/>
                <w:color w:val="000000"/>
                <w:sz w:val="18"/>
                <w:szCs w:val="18"/>
              </w:rPr>
            </w:pPr>
            <w:r>
              <w:rPr>
                <w:rFonts w:hint="eastAsia"/>
                <w:color w:val="000000" w:themeColor="text1"/>
                <w:sz w:val="18"/>
                <w:szCs w:val="18"/>
                <w:lang w:val="en-US" w:eastAsia="zh-CN"/>
                <w14:textFill>
                  <w14:solidFill>
                    <w14:schemeClr w14:val="tx1"/>
                  </w14:solidFill>
                </w14:textFill>
              </w:rPr>
              <w:t>4</w:t>
            </w:r>
            <w:r>
              <w:rPr>
                <w:rFonts w:hint="default"/>
                <w:color w:val="000000" w:themeColor="text1"/>
                <w:sz w:val="18"/>
                <w:szCs w:val="18"/>
                <w14:textFill>
                  <w14:solidFill>
                    <w14:schemeClr w14:val="tx1"/>
                  </w14:solidFill>
                </w14:textFill>
              </w:rPr>
              <w:t>学分</w:t>
            </w:r>
          </w:p>
        </w:tc>
      </w:tr>
      <w:tr w14:paraId="20B90F7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91" w:type="dxa"/>
            <w:vMerge w:val="continue"/>
          </w:tcPr>
          <w:p w14:paraId="69967F21">
            <w:pPr>
              <w:keepNext w:val="0"/>
              <w:keepLines w:val="0"/>
              <w:suppressLineNumbers w:val="0"/>
              <w:spacing w:before="0" w:beforeAutospacing="0" w:after="0" w:afterAutospacing="0"/>
              <w:ind w:left="0" w:right="0"/>
              <w:rPr>
                <w:rFonts w:hint="default"/>
                <w:b/>
                <w:color w:val="000000"/>
                <w:sz w:val="18"/>
                <w:szCs w:val="18"/>
              </w:rPr>
            </w:pPr>
          </w:p>
        </w:tc>
        <w:tc>
          <w:tcPr>
            <w:tcW w:w="1460" w:type="dxa"/>
            <w:vMerge w:val="continue"/>
            <w:vAlign w:val="center"/>
          </w:tcPr>
          <w:p w14:paraId="0C15838B">
            <w:pPr>
              <w:keepNext w:val="0"/>
              <w:keepLines w:val="0"/>
              <w:suppressLineNumbers w:val="0"/>
              <w:spacing w:before="0" w:beforeAutospacing="0" w:after="0" w:afterAutospacing="0"/>
              <w:ind w:left="0" w:right="0"/>
              <w:jc w:val="center"/>
              <w:rPr>
                <w:rFonts w:hint="default" w:eastAsia="宋体"/>
                <w:b/>
                <w:color w:val="000000"/>
                <w:sz w:val="18"/>
                <w:szCs w:val="18"/>
                <w:lang w:val="en-US" w:eastAsia="zh-CN"/>
              </w:rPr>
            </w:pPr>
          </w:p>
        </w:tc>
        <w:tc>
          <w:tcPr>
            <w:tcW w:w="3207" w:type="dxa"/>
            <w:vAlign w:val="center"/>
          </w:tcPr>
          <w:p w14:paraId="57466C19">
            <w:pPr>
              <w:keepNext w:val="0"/>
              <w:keepLines w:val="0"/>
              <w:suppressLineNumbers w:val="0"/>
              <w:spacing w:before="0" w:beforeAutospacing="0" w:after="0" w:afterAutospacing="0"/>
              <w:ind w:left="0" w:right="0"/>
              <w:rPr>
                <w:rFonts w:hint="default"/>
                <w:color w:val="000000"/>
                <w:sz w:val="18"/>
                <w:szCs w:val="18"/>
              </w:rPr>
            </w:pPr>
            <w:r>
              <w:rPr>
                <w:rFonts w:hint="default"/>
                <w:color w:val="000000"/>
                <w:sz w:val="18"/>
                <w:szCs w:val="18"/>
              </w:rPr>
              <w:t>论文开题</w:t>
            </w:r>
          </w:p>
        </w:tc>
        <w:tc>
          <w:tcPr>
            <w:tcW w:w="1219" w:type="dxa"/>
            <w:vAlign w:val="center"/>
          </w:tcPr>
          <w:p w14:paraId="7BA8CF6C">
            <w:pPr>
              <w:keepNext w:val="0"/>
              <w:keepLines w:val="0"/>
              <w:suppressLineNumbers w:val="0"/>
              <w:spacing w:before="0" w:beforeAutospacing="0" w:after="0" w:afterAutospacing="0"/>
              <w:ind w:left="0" w:right="0"/>
              <w:jc w:val="center"/>
              <w:rPr>
                <w:rFonts w:hint="default"/>
                <w:color w:val="000000"/>
                <w:sz w:val="18"/>
                <w:szCs w:val="18"/>
              </w:rPr>
            </w:pPr>
          </w:p>
        </w:tc>
        <w:tc>
          <w:tcPr>
            <w:tcW w:w="709" w:type="dxa"/>
            <w:vAlign w:val="center"/>
          </w:tcPr>
          <w:p w14:paraId="162124E0">
            <w:pPr>
              <w:keepNext w:val="0"/>
              <w:keepLines w:val="0"/>
              <w:suppressLineNumbers w:val="0"/>
              <w:spacing w:before="0" w:beforeAutospacing="0" w:after="0" w:afterAutospacing="0"/>
              <w:ind w:left="0" w:right="0"/>
              <w:jc w:val="center"/>
              <w:rPr>
                <w:rFonts w:hint="eastAsia" w:eastAsia="宋体"/>
                <w:color w:val="000000"/>
                <w:sz w:val="18"/>
                <w:szCs w:val="18"/>
                <w:lang w:val="en-US" w:eastAsia="zh-CN"/>
              </w:rPr>
            </w:pPr>
            <w:r>
              <w:rPr>
                <w:rFonts w:hint="eastAsia"/>
                <w:color w:val="000000"/>
                <w:sz w:val="18"/>
                <w:szCs w:val="18"/>
                <w:lang w:val="en-US" w:eastAsia="zh-CN"/>
              </w:rPr>
              <w:t>0</w:t>
            </w:r>
          </w:p>
        </w:tc>
        <w:tc>
          <w:tcPr>
            <w:tcW w:w="766" w:type="dxa"/>
            <w:vAlign w:val="center"/>
          </w:tcPr>
          <w:p w14:paraId="66D259B4">
            <w:pPr>
              <w:keepNext w:val="0"/>
              <w:keepLines w:val="0"/>
              <w:suppressLineNumbers w:val="0"/>
              <w:spacing w:before="0" w:beforeAutospacing="0" w:after="0" w:afterAutospacing="0"/>
              <w:ind w:left="0" w:right="0"/>
              <w:jc w:val="center"/>
              <w:rPr>
                <w:rFonts w:hint="default" w:eastAsia="宋体"/>
                <w:color w:val="000000"/>
                <w:sz w:val="18"/>
                <w:szCs w:val="18"/>
                <w:lang w:val="en-US" w:eastAsia="zh-CN"/>
              </w:rPr>
            </w:pPr>
            <w:r>
              <w:rPr>
                <w:rFonts w:hint="eastAsia"/>
                <w:color w:val="000000"/>
                <w:sz w:val="18"/>
                <w:szCs w:val="18"/>
                <w:lang w:val="en-US" w:eastAsia="zh-CN"/>
              </w:rPr>
              <w:t>4</w:t>
            </w:r>
          </w:p>
        </w:tc>
        <w:tc>
          <w:tcPr>
            <w:tcW w:w="1089" w:type="dxa"/>
            <w:vMerge w:val="continue"/>
            <w:vAlign w:val="center"/>
          </w:tcPr>
          <w:p w14:paraId="769EBB8B">
            <w:pPr>
              <w:keepNext w:val="0"/>
              <w:keepLines w:val="0"/>
              <w:suppressLineNumbers w:val="0"/>
              <w:spacing w:before="0" w:beforeAutospacing="0" w:after="0" w:afterAutospacing="0"/>
              <w:ind w:left="0" w:right="0"/>
              <w:jc w:val="center"/>
              <w:rPr>
                <w:rFonts w:hint="default"/>
                <w:color w:val="000000"/>
                <w:sz w:val="18"/>
                <w:szCs w:val="18"/>
              </w:rPr>
            </w:pPr>
          </w:p>
        </w:tc>
      </w:tr>
      <w:tr w14:paraId="3818C84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91" w:type="dxa"/>
            <w:vMerge w:val="continue"/>
          </w:tcPr>
          <w:p w14:paraId="20222729">
            <w:pPr>
              <w:keepNext w:val="0"/>
              <w:keepLines w:val="0"/>
              <w:suppressLineNumbers w:val="0"/>
              <w:spacing w:before="0" w:beforeAutospacing="0" w:after="0" w:afterAutospacing="0"/>
              <w:ind w:left="0" w:right="0"/>
              <w:rPr>
                <w:rFonts w:hint="default"/>
                <w:b/>
                <w:color w:val="000000"/>
                <w:sz w:val="18"/>
                <w:szCs w:val="18"/>
              </w:rPr>
            </w:pPr>
          </w:p>
        </w:tc>
        <w:tc>
          <w:tcPr>
            <w:tcW w:w="1460" w:type="dxa"/>
            <w:vMerge w:val="continue"/>
            <w:vAlign w:val="center"/>
          </w:tcPr>
          <w:p w14:paraId="01E2C84A">
            <w:pPr>
              <w:keepNext w:val="0"/>
              <w:keepLines w:val="0"/>
              <w:suppressLineNumbers w:val="0"/>
              <w:spacing w:before="0" w:beforeAutospacing="0" w:after="0" w:afterAutospacing="0"/>
              <w:ind w:left="0" w:right="0"/>
              <w:jc w:val="center"/>
              <w:rPr>
                <w:rFonts w:hint="default"/>
                <w:b/>
                <w:color w:val="000000"/>
                <w:sz w:val="18"/>
                <w:szCs w:val="18"/>
              </w:rPr>
            </w:pPr>
          </w:p>
        </w:tc>
        <w:tc>
          <w:tcPr>
            <w:tcW w:w="3207" w:type="dxa"/>
            <w:vAlign w:val="center"/>
          </w:tcPr>
          <w:p w14:paraId="77E2C04F">
            <w:pPr>
              <w:keepNext w:val="0"/>
              <w:keepLines w:val="0"/>
              <w:suppressLineNumbers w:val="0"/>
              <w:spacing w:before="0" w:beforeAutospacing="0" w:after="0" w:afterAutospacing="0"/>
              <w:ind w:left="0" w:right="0"/>
              <w:rPr>
                <w:rFonts w:hint="default"/>
                <w:color w:val="000000"/>
                <w:sz w:val="18"/>
                <w:szCs w:val="18"/>
              </w:rPr>
            </w:pPr>
            <w:r>
              <w:rPr>
                <w:rFonts w:hint="eastAsia"/>
                <w:color w:val="000000"/>
                <w:sz w:val="18"/>
                <w:szCs w:val="18"/>
                <w:lang w:val="en-US" w:eastAsia="zh-CN"/>
              </w:rPr>
              <w:t>论文中期进展报告</w:t>
            </w:r>
          </w:p>
        </w:tc>
        <w:tc>
          <w:tcPr>
            <w:tcW w:w="1219" w:type="dxa"/>
            <w:vAlign w:val="center"/>
          </w:tcPr>
          <w:p w14:paraId="01888B8D">
            <w:pPr>
              <w:keepNext w:val="0"/>
              <w:keepLines w:val="0"/>
              <w:suppressLineNumbers w:val="0"/>
              <w:spacing w:before="0" w:beforeAutospacing="0" w:after="0" w:afterAutospacing="0"/>
              <w:ind w:left="0" w:right="0"/>
              <w:jc w:val="center"/>
              <w:rPr>
                <w:rFonts w:hint="default"/>
                <w:color w:val="000000"/>
                <w:sz w:val="18"/>
                <w:szCs w:val="18"/>
              </w:rPr>
            </w:pPr>
          </w:p>
        </w:tc>
        <w:tc>
          <w:tcPr>
            <w:tcW w:w="709" w:type="dxa"/>
            <w:vAlign w:val="center"/>
          </w:tcPr>
          <w:p w14:paraId="1E4F56F0">
            <w:pPr>
              <w:keepNext w:val="0"/>
              <w:keepLines w:val="0"/>
              <w:suppressLineNumbers w:val="0"/>
              <w:spacing w:before="0" w:beforeAutospacing="0" w:after="0" w:afterAutospacing="0"/>
              <w:ind w:left="0" w:right="0"/>
              <w:jc w:val="center"/>
              <w:rPr>
                <w:rFonts w:hint="eastAsia" w:eastAsia="宋体"/>
                <w:color w:val="000000"/>
                <w:sz w:val="18"/>
                <w:szCs w:val="18"/>
                <w:lang w:val="en-US" w:eastAsia="zh-CN"/>
              </w:rPr>
            </w:pPr>
            <w:r>
              <w:rPr>
                <w:rFonts w:hint="eastAsia"/>
                <w:color w:val="000000"/>
                <w:sz w:val="18"/>
                <w:szCs w:val="18"/>
                <w:lang w:val="en-US" w:eastAsia="zh-CN"/>
              </w:rPr>
              <w:t>0</w:t>
            </w:r>
          </w:p>
        </w:tc>
        <w:tc>
          <w:tcPr>
            <w:tcW w:w="766" w:type="dxa"/>
            <w:vAlign w:val="center"/>
          </w:tcPr>
          <w:p w14:paraId="0767681A">
            <w:pPr>
              <w:keepNext w:val="0"/>
              <w:keepLines w:val="0"/>
              <w:suppressLineNumbers w:val="0"/>
              <w:spacing w:before="0" w:beforeAutospacing="0" w:after="0" w:afterAutospacing="0"/>
              <w:ind w:left="0" w:right="0"/>
              <w:jc w:val="center"/>
              <w:rPr>
                <w:rFonts w:hint="default" w:eastAsia="宋体"/>
                <w:color w:val="000000"/>
                <w:sz w:val="18"/>
                <w:szCs w:val="18"/>
                <w:lang w:val="en-US" w:eastAsia="zh-CN"/>
              </w:rPr>
            </w:pPr>
            <w:r>
              <w:rPr>
                <w:rFonts w:hint="eastAsia"/>
                <w:color w:val="000000"/>
                <w:sz w:val="18"/>
                <w:szCs w:val="18"/>
                <w:lang w:val="en-US" w:eastAsia="zh-CN"/>
              </w:rPr>
              <w:t>5</w:t>
            </w:r>
          </w:p>
        </w:tc>
        <w:tc>
          <w:tcPr>
            <w:tcW w:w="1089" w:type="dxa"/>
            <w:vMerge w:val="continue"/>
          </w:tcPr>
          <w:p w14:paraId="3EEEEAE9">
            <w:pPr>
              <w:keepNext w:val="0"/>
              <w:keepLines w:val="0"/>
              <w:suppressLineNumbers w:val="0"/>
              <w:spacing w:before="0" w:beforeAutospacing="0" w:after="0" w:afterAutospacing="0"/>
              <w:ind w:left="0" w:right="0"/>
              <w:jc w:val="center"/>
              <w:rPr>
                <w:rFonts w:hint="default"/>
                <w:color w:val="000000"/>
                <w:sz w:val="18"/>
                <w:szCs w:val="18"/>
              </w:rPr>
            </w:pPr>
          </w:p>
        </w:tc>
      </w:tr>
      <w:tr w14:paraId="0E01011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91" w:type="dxa"/>
            <w:vMerge w:val="continue"/>
          </w:tcPr>
          <w:p w14:paraId="3BE49815">
            <w:pPr>
              <w:keepNext w:val="0"/>
              <w:keepLines w:val="0"/>
              <w:suppressLineNumbers w:val="0"/>
              <w:spacing w:before="0" w:beforeAutospacing="0" w:after="0" w:afterAutospacing="0"/>
              <w:ind w:left="0" w:right="0"/>
              <w:rPr>
                <w:rFonts w:hint="default"/>
                <w:color w:val="000000"/>
                <w:sz w:val="18"/>
                <w:szCs w:val="18"/>
              </w:rPr>
            </w:pPr>
          </w:p>
        </w:tc>
        <w:tc>
          <w:tcPr>
            <w:tcW w:w="1460" w:type="dxa"/>
            <w:vMerge w:val="continue"/>
          </w:tcPr>
          <w:p w14:paraId="38180F8E">
            <w:pPr>
              <w:keepNext w:val="0"/>
              <w:keepLines w:val="0"/>
              <w:suppressLineNumbers w:val="0"/>
              <w:spacing w:before="0" w:beforeAutospacing="0" w:after="0" w:afterAutospacing="0"/>
              <w:ind w:left="0" w:right="0"/>
              <w:jc w:val="center"/>
              <w:rPr>
                <w:rFonts w:hint="default"/>
                <w:color w:val="000000"/>
                <w:sz w:val="18"/>
                <w:szCs w:val="18"/>
              </w:rPr>
            </w:pPr>
          </w:p>
        </w:tc>
        <w:tc>
          <w:tcPr>
            <w:tcW w:w="3207" w:type="dxa"/>
            <w:vAlign w:val="center"/>
          </w:tcPr>
          <w:p w14:paraId="05F3F514">
            <w:pPr>
              <w:keepNext w:val="0"/>
              <w:keepLines w:val="0"/>
              <w:suppressLineNumbers w:val="0"/>
              <w:spacing w:before="0" w:beforeAutospacing="0" w:after="0" w:afterAutospacing="0"/>
              <w:ind w:left="0" w:right="0"/>
              <w:rPr>
                <w:rFonts w:hint="default"/>
                <w:color w:val="000000"/>
                <w:sz w:val="18"/>
                <w:szCs w:val="18"/>
              </w:rPr>
            </w:pPr>
            <w:r>
              <w:rPr>
                <w:rFonts w:hint="eastAsia"/>
                <w:color w:val="000000"/>
                <w:sz w:val="18"/>
                <w:szCs w:val="18"/>
              </w:rPr>
              <w:t>论文</w:t>
            </w:r>
            <w:r>
              <w:rPr>
                <w:rFonts w:hint="default"/>
                <w:color w:val="000000"/>
                <w:sz w:val="18"/>
                <w:szCs w:val="18"/>
              </w:rPr>
              <w:t>预答辩</w:t>
            </w:r>
          </w:p>
        </w:tc>
        <w:tc>
          <w:tcPr>
            <w:tcW w:w="1219" w:type="dxa"/>
            <w:vAlign w:val="center"/>
          </w:tcPr>
          <w:p w14:paraId="331E873A">
            <w:pPr>
              <w:keepNext w:val="0"/>
              <w:keepLines w:val="0"/>
              <w:suppressLineNumbers w:val="0"/>
              <w:spacing w:before="0" w:beforeAutospacing="0" w:after="0" w:afterAutospacing="0"/>
              <w:ind w:left="0" w:right="0"/>
              <w:jc w:val="center"/>
              <w:rPr>
                <w:rFonts w:hint="default"/>
                <w:color w:val="000000"/>
                <w:sz w:val="18"/>
                <w:szCs w:val="18"/>
              </w:rPr>
            </w:pPr>
          </w:p>
        </w:tc>
        <w:tc>
          <w:tcPr>
            <w:tcW w:w="709" w:type="dxa"/>
            <w:vAlign w:val="center"/>
          </w:tcPr>
          <w:p w14:paraId="3D34B2A3">
            <w:pPr>
              <w:keepNext w:val="0"/>
              <w:keepLines w:val="0"/>
              <w:suppressLineNumbers w:val="0"/>
              <w:spacing w:before="0" w:beforeAutospacing="0" w:after="0" w:afterAutospacing="0"/>
              <w:ind w:left="0" w:right="0"/>
              <w:jc w:val="center"/>
              <w:rPr>
                <w:rFonts w:hint="eastAsia" w:eastAsia="宋体"/>
                <w:color w:val="000000"/>
                <w:sz w:val="18"/>
                <w:szCs w:val="18"/>
                <w:lang w:val="en-US" w:eastAsia="zh-CN"/>
              </w:rPr>
            </w:pPr>
            <w:r>
              <w:rPr>
                <w:rFonts w:hint="eastAsia"/>
                <w:color w:val="000000"/>
                <w:sz w:val="18"/>
                <w:szCs w:val="18"/>
                <w:lang w:val="en-US" w:eastAsia="zh-CN"/>
              </w:rPr>
              <w:t>0</w:t>
            </w:r>
          </w:p>
        </w:tc>
        <w:tc>
          <w:tcPr>
            <w:tcW w:w="766" w:type="dxa"/>
            <w:vAlign w:val="center"/>
          </w:tcPr>
          <w:p w14:paraId="158C8C1A">
            <w:pPr>
              <w:keepNext w:val="0"/>
              <w:keepLines w:val="0"/>
              <w:suppressLineNumbers w:val="0"/>
              <w:spacing w:before="0" w:beforeAutospacing="0" w:after="0" w:afterAutospacing="0"/>
              <w:ind w:left="0" w:right="0"/>
              <w:jc w:val="center"/>
              <w:rPr>
                <w:rFonts w:hint="default" w:eastAsia="宋体"/>
                <w:color w:val="000000"/>
                <w:sz w:val="18"/>
                <w:szCs w:val="18"/>
                <w:lang w:val="en-US" w:eastAsia="zh-CN"/>
              </w:rPr>
            </w:pPr>
            <w:r>
              <w:rPr>
                <w:rFonts w:hint="eastAsia"/>
                <w:color w:val="000000"/>
                <w:sz w:val="18"/>
                <w:szCs w:val="18"/>
                <w:lang w:val="en-US" w:eastAsia="zh-CN"/>
              </w:rPr>
              <w:t>6</w:t>
            </w:r>
          </w:p>
        </w:tc>
        <w:tc>
          <w:tcPr>
            <w:tcW w:w="1089" w:type="dxa"/>
            <w:vMerge w:val="continue"/>
          </w:tcPr>
          <w:p w14:paraId="018C9D62">
            <w:pPr>
              <w:keepNext w:val="0"/>
              <w:keepLines w:val="0"/>
              <w:suppressLineNumbers w:val="0"/>
              <w:spacing w:before="0" w:beforeAutospacing="0" w:after="0" w:afterAutospacing="0"/>
              <w:ind w:left="0" w:right="0"/>
              <w:jc w:val="center"/>
              <w:rPr>
                <w:rFonts w:hint="default"/>
                <w:color w:val="000000"/>
                <w:sz w:val="18"/>
                <w:szCs w:val="18"/>
              </w:rPr>
            </w:pPr>
          </w:p>
        </w:tc>
      </w:tr>
      <w:tr w14:paraId="0D5A69A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91" w:type="dxa"/>
            <w:vMerge w:val="continue"/>
          </w:tcPr>
          <w:p w14:paraId="7CBD8E84">
            <w:pPr>
              <w:keepNext w:val="0"/>
              <w:keepLines w:val="0"/>
              <w:suppressLineNumbers w:val="0"/>
              <w:spacing w:before="0" w:beforeAutospacing="0" w:after="0" w:afterAutospacing="0"/>
              <w:ind w:left="0" w:right="0"/>
              <w:rPr>
                <w:rFonts w:hint="default"/>
                <w:color w:val="000000"/>
                <w:sz w:val="18"/>
                <w:szCs w:val="18"/>
              </w:rPr>
            </w:pPr>
          </w:p>
        </w:tc>
        <w:tc>
          <w:tcPr>
            <w:tcW w:w="1460" w:type="dxa"/>
            <w:vMerge w:val="continue"/>
          </w:tcPr>
          <w:p w14:paraId="287D9790">
            <w:pPr>
              <w:keepNext w:val="0"/>
              <w:keepLines w:val="0"/>
              <w:suppressLineNumbers w:val="0"/>
              <w:spacing w:before="0" w:beforeAutospacing="0" w:after="0" w:afterAutospacing="0"/>
              <w:ind w:left="0" w:right="0"/>
              <w:jc w:val="center"/>
              <w:rPr>
                <w:rFonts w:hint="default"/>
                <w:color w:val="000000"/>
                <w:sz w:val="18"/>
                <w:szCs w:val="18"/>
              </w:rPr>
            </w:pPr>
          </w:p>
        </w:tc>
        <w:tc>
          <w:tcPr>
            <w:tcW w:w="3207" w:type="dxa"/>
            <w:vAlign w:val="center"/>
          </w:tcPr>
          <w:p w14:paraId="3E559C10">
            <w:pPr>
              <w:keepNext w:val="0"/>
              <w:keepLines w:val="0"/>
              <w:suppressLineNumbers w:val="0"/>
              <w:spacing w:before="0" w:beforeAutospacing="0" w:after="0" w:afterAutospacing="0"/>
              <w:ind w:left="0" w:right="0"/>
              <w:rPr>
                <w:rFonts w:hint="default"/>
                <w:color w:val="000000"/>
                <w:sz w:val="18"/>
                <w:szCs w:val="18"/>
              </w:rPr>
            </w:pPr>
            <w:r>
              <w:rPr>
                <w:rFonts w:hint="eastAsia"/>
                <w:color w:val="000000"/>
                <w:sz w:val="18"/>
                <w:szCs w:val="18"/>
              </w:rPr>
              <w:t>论文</w:t>
            </w:r>
            <w:r>
              <w:rPr>
                <w:rFonts w:hint="default"/>
                <w:color w:val="000000"/>
                <w:sz w:val="18"/>
                <w:szCs w:val="18"/>
              </w:rPr>
              <w:t>评审</w:t>
            </w:r>
          </w:p>
        </w:tc>
        <w:tc>
          <w:tcPr>
            <w:tcW w:w="1219" w:type="dxa"/>
            <w:vAlign w:val="center"/>
          </w:tcPr>
          <w:p w14:paraId="646DAD6C">
            <w:pPr>
              <w:keepNext w:val="0"/>
              <w:keepLines w:val="0"/>
              <w:suppressLineNumbers w:val="0"/>
              <w:spacing w:before="0" w:beforeAutospacing="0" w:after="0" w:afterAutospacing="0"/>
              <w:ind w:left="0" w:right="0"/>
              <w:jc w:val="center"/>
              <w:rPr>
                <w:rFonts w:hint="default"/>
                <w:color w:val="000000"/>
                <w:sz w:val="18"/>
                <w:szCs w:val="18"/>
              </w:rPr>
            </w:pPr>
          </w:p>
        </w:tc>
        <w:tc>
          <w:tcPr>
            <w:tcW w:w="709" w:type="dxa"/>
            <w:vAlign w:val="center"/>
          </w:tcPr>
          <w:p w14:paraId="4E50C076">
            <w:pPr>
              <w:keepNext w:val="0"/>
              <w:keepLines w:val="0"/>
              <w:suppressLineNumbers w:val="0"/>
              <w:spacing w:before="0" w:beforeAutospacing="0" w:after="0" w:afterAutospacing="0"/>
              <w:ind w:left="0" w:right="0"/>
              <w:jc w:val="center"/>
              <w:rPr>
                <w:rFonts w:hint="eastAsia" w:eastAsia="宋体"/>
                <w:color w:val="000000"/>
                <w:sz w:val="18"/>
                <w:szCs w:val="18"/>
                <w:lang w:val="en-US" w:eastAsia="zh-CN"/>
              </w:rPr>
            </w:pPr>
            <w:r>
              <w:rPr>
                <w:rFonts w:hint="eastAsia"/>
                <w:color w:val="000000"/>
                <w:sz w:val="18"/>
                <w:szCs w:val="18"/>
                <w:lang w:val="en-US" w:eastAsia="zh-CN"/>
              </w:rPr>
              <w:t>0</w:t>
            </w:r>
          </w:p>
        </w:tc>
        <w:tc>
          <w:tcPr>
            <w:tcW w:w="766" w:type="dxa"/>
            <w:vAlign w:val="center"/>
          </w:tcPr>
          <w:p w14:paraId="61FAD765">
            <w:pPr>
              <w:keepNext w:val="0"/>
              <w:keepLines w:val="0"/>
              <w:suppressLineNumbers w:val="0"/>
              <w:spacing w:before="0" w:beforeAutospacing="0" w:after="0" w:afterAutospacing="0"/>
              <w:ind w:left="0" w:right="0"/>
              <w:jc w:val="center"/>
              <w:rPr>
                <w:rFonts w:hint="default" w:eastAsia="宋体"/>
                <w:color w:val="000000"/>
                <w:sz w:val="18"/>
                <w:szCs w:val="18"/>
                <w:lang w:val="en-US" w:eastAsia="zh-CN"/>
              </w:rPr>
            </w:pPr>
            <w:r>
              <w:rPr>
                <w:rFonts w:hint="eastAsia"/>
                <w:color w:val="000000"/>
                <w:sz w:val="18"/>
                <w:szCs w:val="18"/>
                <w:lang w:val="en-US" w:eastAsia="zh-CN"/>
              </w:rPr>
              <w:t>6</w:t>
            </w:r>
          </w:p>
        </w:tc>
        <w:tc>
          <w:tcPr>
            <w:tcW w:w="1089" w:type="dxa"/>
            <w:vMerge w:val="continue"/>
          </w:tcPr>
          <w:p w14:paraId="47BEC858">
            <w:pPr>
              <w:keepNext w:val="0"/>
              <w:keepLines w:val="0"/>
              <w:suppressLineNumbers w:val="0"/>
              <w:spacing w:before="0" w:beforeAutospacing="0" w:after="0" w:afterAutospacing="0"/>
              <w:ind w:left="0" w:right="0"/>
              <w:jc w:val="center"/>
              <w:rPr>
                <w:rFonts w:hint="default"/>
                <w:color w:val="000000"/>
                <w:sz w:val="18"/>
                <w:szCs w:val="18"/>
              </w:rPr>
            </w:pPr>
          </w:p>
        </w:tc>
      </w:tr>
      <w:tr w14:paraId="7782F72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91" w:type="dxa"/>
            <w:vMerge w:val="continue"/>
          </w:tcPr>
          <w:p w14:paraId="68BEDA06">
            <w:pPr>
              <w:keepNext w:val="0"/>
              <w:keepLines w:val="0"/>
              <w:suppressLineNumbers w:val="0"/>
              <w:spacing w:before="0" w:beforeAutospacing="0" w:after="0" w:afterAutospacing="0"/>
              <w:ind w:left="0" w:right="0"/>
              <w:rPr>
                <w:rFonts w:hint="default"/>
                <w:color w:val="000000"/>
                <w:sz w:val="18"/>
                <w:szCs w:val="18"/>
              </w:rPr>
            </w:pPr>
          </w:p>
        </w:tc>
        <w:tc>
          <w:tcPr>
            <w:tcW w:w="1460" w:type="dxa"/>
            <w:vMerge w:val="continue"/>
          </w:tcPr>
          <w:p w14:paraId="31584081">
            <w:pPr>
              <w:keepNext w:val="0"/>
              <w:keepLines w:val="0"/>
              <w:suppressLineNumbers w:val="0"/>
              <w:spacing w:before="0" w:beforeAutospacing="0" w:after="0" w:afterAutospacing="0"/>
              <w:ind w:left="0" w:right="0"/>
              <w:jc w:val="center"/>
              <w:rPr>
                <w:rFonts w:hint="default"/>
                <w:color w:val="000000"/>
                <w:sz w:val="18"/>
                <w:szCs w:val="18"/>
              </w:rPr>
            </w:pPr>
          </w:p>
        </w:tc>
        <w:tc>
          <w:tcPr>
            <w:tcW w:w="3207" w:type="dxa"/>
            <w:vAlign w:val="center"/>
          </w:tcPr>
          <w:p w14:paraId="329F5EEB">
            <w:pPr>
              <w:keepNext w:val="0"/>
              <w:keepLines w:val="0"/>
              <w:suppressLineNumbers w:val="0"/>
              <w:spacing w:before="0" w:beforeAutospacing="0" w:after="0" w:afterAutospacing="0"/>
              <w:ind w:left="0" w:right="0"/>
              <w:rPr>
                <w:rFonts w:hint="eastAsia"/>
                <w:color w:val="000000"/>
                <w:sz w:val="18"/>
                <w:szCs w:val="18"/>
              </w:rPr>
            </w:pPr>
            <w:r>
              <w:rPr>
                <w:rFonts w:hint="eastAsia"/>
                <w:color w:val="000000"/>
                <w:sz w:val="18"/>
                <w:szCs w:val="18"/>
              </w:rPr>
              <w:t>论文</w:t>
            </w:r>
            <w:r>
              <w:rPr>
                <w:rFonts w:hint="default"/>
                <w:color w:val="000000"/>
                <w:sz w:val="18"/>
                <w:szCs w:val="18"/>
              </w:rPr>
              <w:t>答辩</w:t>
            </w:r>
          </w:p>
        </w:tc>
        <w:tc>
          <w:tcPr>
            <w:tcW w:w="1219" w:type="dxa"/>
            <w:vAlign w:val="center"/>
          </w:tcPr>
          <w:p w14:paraId="524D2314">
            <w:pPr>
              <w:keepNext w:val="0"/>
              <w:keepLines w:val="0"/>
              <w:suppressLineNumbers w:val="0"/>
              <w:spacing w:before="0" w:beforeAutospacing="0" w:after="0" w:afterAutospacing="0"/>
              <w:ind w:left="0" w:right="0"/>
              <w:jc w:val="center"/>
              <w:rPr>
                <w:rFonts w:hint="default"/>
                <w:color w:val="000000"/>
                <w:sz w:val="18"/>
                <w:szCs w:val="18"/>
              </w:rPr>
            </w:pPr>
          </w:p>
        </w:tc>
        <w:tc>
          <w:tcPr>
            <w:tcW w:w="709" w:type="dxa"/>
            <w:vAlign w:val="center"/>
          </w:tcPr>
          <w:p w14:paraId="64D34F8C">
            <w:pPr>
              <w:keepNext w:val="0"/>
              <w:keepLines w:val="0"/>
              <w:suppressLineNumbers w:val="0"/>
              <w:spacing w:before="0" w:beforeAutospacing="0" w:after="0" w:afterAutospacing="0"/>
              <w:ind w:left="0" w:right="0"/>
              <w:jc w:val="center"/>
              <w:rPr>
                <w:rFonts w:hint="default"/>
                <w:color w:val="000000"/>
                <w:sz w:val="18"/>
                <w:szCs w:val="18"/>
                <w:lang w:val="en-US" w:eastAsia="zh-CN"/>
              </w:rPr>
            </w:pPr>
            <w:r>
              <w:rPr>
                <w:rFonts w:hint="eastAsia"/>
                <w:color w:val="000000"/>
                <w:sz w:val="18"/>
                <w:szCs w:val="18"/>
                <w:lang w:val="en-US" w:eastAsia="zh-CN"/>
              </w:rPr>
              <w:t>4</w:t>
            </w:r>
          </w:p>
        </w:tc>
        <w:tc>
          <w:tcPr>
            <w:tcW w:w="766" w:type="dxa"/>
            <w:vAlign w:val="center"/>
          </w:tcPr>
          <w:p w14:paraId="6DBAD794">
            <w:pPr>
              <w:keepNext w:val="0"/>
              <w:keepLines w:val="0"/>
              <w:suppressLineNumbers w:val="0"/>
              <w:spacing w:before="0" w:beforeAutospacing="0" w:after="0" w:afterAutospacing="0"/>
              <w:ind w:left="0" w:right="0"/>
              <w:jc w:val="center"/>
              <w:rPr>
                <w:rFonts w:hint="default"/>
                <w:color w:val="000000"/>
                <w:sz w:val="18"/>
                <w:szCs w:val="18"/>
                <w:lang w:val="en-US" w:eastAsia="zh-CN"/>
              </w:rPr>
            </w:pPr>
            <w:r>
              <w:rPr>
                <w:rFonts w:hint="eastAsia"/>
                <w:color w:val="000000"/>
                <w:sz w:val="18"/>
                <w:szCs w:val="18"/>
                <w:lang w:val="en-US" w:eastAsia="zh-CN"/>
              </w:rPr>
              <w:t>6</w:t>
            </w:r>
          </w:p>
        </w:tc>
        <w:tc>
          <w:tcPr>
            <w:tcW w:w="1089" w:type="dxa"/>
            <w:vMerge w:val="continue"/>
          </w:tcPr>
          <w:p w14:paraId="0396B999">
            <w:pPr>
              <w:keepNext w:val="0"/>
              <w:keepLines w:val="0"/>
              <w:suppressLineNumbers w:val="0"/>
              <w:spacing w:before="0" w:beforeAutospacing="0" w:after="0" w:afterAutospacing="0"/>
              <w:ind w:left="0" w:right="0"/>
              <w:jc w:val="center"/>
              <w:rPr>
                <w:rFonts w:hint="default"/>
                <w:color w:val="000000"/>
                <w:sz w:val="18"/>
                <w:szCs w:val="18"/>
              </w:rPr>
            </w:pPr>
          </w:p>
        </w:tc>
      </w:tr>
    </w:tbl>
    <w:p w14:paraId="745F17B3">
      <w:pPr>
        <w:spacing w:line="440" w:lineRule="exact"/>
        <w:ind w:firstLine="0" w:firstLineChars="0"/>
        <w:rPr>
          <w:rFonts w:hint="eastAsia" w:eastAsiaTheme="minorEastAsia"/>
          <w:bCs/>
          <w:sz w:val="24"/>
          <w:lang w:val="en-US" w:eastAsia="zh-CN"/>
        </w:rPr>
      </w:pPr>
      <w:r>
        <w:rPr>
          <w:rFonts w:eastAsiaTheme="minorEastAsia"/>
          <w:bCs/>
          <w:sz w:val="24"/>
        </w:rPr>
        <w:t>*公共外语课程按入学时的外国语考试科目修读相关语种。</w:t>
      </w:r>
    </w:p>
    <w:p w14:paraId="7F1D3678">
      <w:pPr>
        <w:spacing w:afterLines="0" w:line="360" w:lineRule="auto"/>
        <w:ind w:firstLine="280" w:firstLineChars="1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1EBF90F5">
      <w:pPr>
        <w:spacing w:afterLines="0" w:line="360" w:lineRule="auto"/>
        <w:ind w:firstLine="240" w:firstLineChars="100"/>
        <w:rPr>
          <w:rFonts w:eastAsiaTheme="minorEastAsia"/>
          <w:bCs/>
          <w:sz w:val="24"/>
        </w:rPr>
      </w:pPr>
      <w:r>
        <w:rPr>
          <w:rFonts w:eastAsiaTheme="minorEastAsia"/>
          <w:bCs/>
          <w:sz w:val="24"/>
        </w:rPr>
        <w:t>1. 非学位课中的方向选修课模块由各培养单位自行设置，并给出具体选修学分要求。</w:t>
      </w:r>
    </w:p>
    <w:p w14:paraId="5A3E6641">
      <w:pPr>
        <w:pageBreakBefore w:val="0"/>
        <w:kinsoku/>
        <w:wordWrap/>
        <w:overflowPunct/>
        <w:topLinePunct w:val="0"/>
        <w:autoSpaceDE/>
        <w:autoSpaceDN/>
        <w:bidi w:val="0"/>
        <w:adjustRightInd/>
        <w:spacing w:afterLines="0" w:line="360" w:lineRule="auto"/>
        <w:ind w:firstLine="240" w:firstLineChars="100"/>
        <w:rPr>
          <w:color w:val="000000"/>
          <w:sz w:val="30"/>
          <w:szCs w:val="30"/>
          <w:u w:val="single"/>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sectPr>
      <w:footerReference r:id="rId3" w:type="default"/>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684E2B">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14:paraId="0E92CD4C">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&#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Pi91E0AAAAAIBAAAPAAAAAAAAAAEAIAAAACIAAABk&#10;cnMvZG93bnJldi54bWxQSwECFAAUAAAACACHTuJAryjuOg4CAAAPBAAADgAAAAAAAAABACAAAAAf&#10;AQAAZHJzL2Uyb0RvYy54bWxQSwUGAAAAAAYABgBZAQAAnwUAAAAA&#10;">
              <v:fill on="f" focussize="0,0"/>
              <v:stroke on="f"/>
              <v:imagedata o:title=""/>
              <o:lock v:ext="edit" aspectratio="f"/>
              <v:textbox inset="0mm,0mm,0mm,0mm" style="mso-fit-shape-to-text:t;">
                <w:txbxContent>
                  <w:p w14:paraId="0E92CD4C">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CB651C"/>
    <w:multiLevelType w:val="singleLevel"/>
    <w:tmpl w:val="A6CB651C"/>
    <w:lvl w:ilvl="0" w:tentative="0">
      <w:start w:val="1"/>
      <w:numFmt w:val="decimal"/>
      <w:lvlText w:val="%1."/>
      <w:lvlJc w:val="left"/>
      <w:pPr>
        <w:tabs>
          <w:tab w:val="left" w:pos="312"/>
        </w:tabs>
      </w:pPr>
    </w:lvl>
  </w:abstractNum>
  <w:abstractNum w:abstractNumId="1">
    <w:nsid w:val="AB329AEF"/>
    <w:multiLevelType w:val="singleLevel"/>
    <w:tmpl w:val="AB329AEF"/>
    <w:lvl w:ilvl="0" w:tentative="0">
      <w:start w:val="5"/>
      <w:numFmt w:val="chineseCounting"/>
      <w:suff w:val="nothing"/>
      <w:lvlText w:val="%1、"/>
      <w:lvlJc w:val="left"/>
      <w:rPr>
        <w:rFonts w:hint="eastAsia"/>
      </w:rPr>
    </w:lvl>
  </w:abstractNum>
  <w:abstractNum w:abstractNumId="2">
    <w:nsid w:val="099D18FB"/>
    <w:multiLevelType w:val="singleLevel"/>
    <w:tmpl w:val="099D18FB"/>
    <w:lvl w:ilvl="0" w:tentative="0">
      <w:start w:val="8"/>
      <w:numFmt w:val="chineseCounting"/>
      <w:suff w:val="nothing"/>
      <w:lvlText w:val="%1、"/>
      <w:lvlJc w:val="left"/>
      <w:rPr>
        <w:rFonts w:hint="eastAsia"/>
      </w:rPr>
    </w:lvl>
  </w:abstractNum>
  <w:abstractNum w:abstractNumId="3">
    <w:nsid w:val="4BF34DF5"/>
    <w:multiLevelType w:val="singleLevel"/>
    <w:tmpl w:val="4BF34DF5"/>
    <w:lvl w:ilvl="0" w:tentative="0">
      <w:start w:val="1"/>
      <w:numFmt w:val="decimal"/>
      <w:lvlText w:val="%1."/>
      <w:lvlJc w:val="left"/>
      <w:pPr>
        <w:tabs>
          <w:tab w:val="left" w:pos="312"/>
        </w:tabs>
      </w:pPr>
    </w:lvl>
  </w:abstractNum>
  <w:abstractNum w:abstractNumId="4">
    <w:nsid w:val="5AA13E23"/>
    <w:multiLevelType w:val="singleLevel"/>
    <w:tmpl w:val="5AA13E23"/>
    <w:lvl w:ilvl="0" w:tentative="0">
      <w:start w:val="3"/>
      <w:numFmt w:val="decimal"/>
      <w:suff w:val="nothing"/>
      <w:lvlText w:val="%1．"/>
      <w:lvlJc w:val="left"/>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436E7"/>
    <w:rsid w:val="000806E8"/>
    <w:rsid w:val="000B403A"/>
    <w:rsid w:val="001077B7"/>
    <w:rsid w:val="00167F09"/>
    <w:rsid w:val="00210583"/>
    <w:rsid w:val="00216C54"/>
    <w:rsid w:val="002553C6"/>
    <w:rsid w:val="002A1F5D"/>
    <w:rsid w:val="002B61BD"/>
    <w:rsid w:val="00393695"/>
    <w:rsid w:val="004613A4"/>
    <w:rsid w:val="004861F7"/>
    <w:rsid w:val="00496EA3"/>
    <w:rsid w:val="004A4E14"/>
    <w:rsid w:val="005163A3"/>
    <w:rsid w:val="00531355"/>
    <w:rsid w:val="0053305D"/>
    <w:rsid w:val="0054163E"/>
    <w:rsid w:val="00560239"/>
    <w:rsid w:val="005931B8"/>
    <w:rsid w:val="00651BB3"/>
    <w:rsid w:val="0067398E"/>
    <w:rsid w:val="006F29D8"/>
    <w:rsid w:val="006F3820"/>
    <w:rsid w:val="00722273"/>
    <w:rsid w:val="00730968"/>
    <w:rsid w:val="0073272E"/>
    <w:rsid w:val="007A0BF4"/>
    <w:rsid w:val="007D5683"/>
    <w:rsid w:val="007F1EFC"/>
    <w:rsid w:val="007F4425"/>
    <w:rsid w:val="008822C8"/>
    <w:rsid w:val="0088594E"/>
    <w:rsid w:val="00897887"/>
    <w:rsid w:val="00912F99"/>
    <w:rsid w:val="009C66C7"/>
    <w:rsid w:val="009D7980"/>
    <w:rsid w:val="009E4F54"/>
    <w:rsid w:val="00AF1096"/>
    <w:rsid w:val="00B06819"/>
    <w:rsid w:val="00B530AA"/>
    <w:rsid w:val="00CB69E7"/>
    <w:rsid w:val="00CC0BEA"/>
    <w:rsid w:val="00D02000"/>
    <w:rsid w:val="00D07121"/>
    <w:rsid w:val="00D10121"/>
    <w:rsid w:val="00D14713"/>
    <w:rsid w:val="00D25CE5"/>
    <w:rsid w:val="00D317A8"/>
    <w:rsid w:val="00D40B38"/>
    <w:rsid w:val="00D51C08"/>
    <w:rsid w:val="00D5701F"/>
    <w:rsid w:val="00E17D9F"/>
    <w:rsid w:val="00E20A61"/>
    <w:rsid w:val="00EA38D5"/>
    <w:rsid w:val="00EC0546"/>
    <w:rsid w:val="00F7157F"/>
    <w:rsid w:val="00F96722"/>
    <w:rsid w:val="00FA1539"/>
    <w:rsid w:val="00FF535F"/>
    <w:rsid w:val="04971141"/>
    <w:rsid w:val="08016EC3"/>
    <w:rsid w:val="0C391D38"/>
    <w:rsid w:val="10EF4227"/>
    <w:rsid w:val="13D03341"/>
    <w:rsid w:val="146E10E2"/>
    <w:rsid w:val="1584456E"/>
    <w:rsid w:val="16386295"/>
    <w:rsid w:val="1BEE1845"/>
    <w:rsid w:val="1C016EFF"/>
    <w:rsid w:val="1D5C42CA"/>
    <w:rsid w:val="1F816B04"/>
    <w:rsid w:val="22B02781"/>
    <w:rsid w:val="24AF219B"/>
    <w:rsid w:val="262761EC"/>
    <w:rsid w:val="30976DFA"/>
    <w:rsid w:val="33517C7B"/>
    <w:rsid w:val="35DD65EF"/>
    <w:rsid w:val="3A6C0B0F"/>
    <w:rsid w:val="3D0D53E1"/>
    <w:rsid w:val="46A64F28"/>
    <w:rsid w:val="4BFB6D1A"/>
    <w:rsid w:val="4F07517F"/>
    <w:rsid w:val="51504C5F"/>
    <w:rsid w:val="54506120"/>
    <w:rsid w:val="56CC5FA9"/>
    <w:rsid w:val="58F658E6"/>
    <w:rsid w:val="595E35F2"/>
    <w:rsid w:val="5AD2508D"/>
    <w:rsid w:val="5B8378BF"/>
    <w:rsid w:val="5C4406E0"/>
    <w:rsid w:val="5D22729E"/>
    <w:rsid w:val="5D53220A"/>
    <w:rsid w:val="614C4F26"/>
    <w:rsid w:val="61FE5CCB"/>
    <w:rsid w:val="62886432"/>
    <w:rsid w:val="644F7F0F"/>
    <w:rsid w:val="64A86918"/>
    <w:rsid w:val="671423F8"/>
    <w:rsid w:val="6C3B42D2"/>
    <w:rsid w:val="6DB63322"/>
    <w:rsid w:val="6FD33BE0"/>
    <w:rsid w:val="6FDE4078"/>
    <w:rsid w:val="70783C98"/>
    <w:rsid w:val="70E46A08"/>
    <w:rsid w:val="72E96A5A"/>
    <w:rsid w:val="74930457"/>
    <w:rsid w:val="75C13325"/>
    <w:rsid w:val="78B13F71"/>
    <w:rsid w:val="7ABB0D94"/>
    <w:rsid w:val="7B241DB6"/>
    <w:rsid w:val="7B6C4A38"/>
    <w:rsid w:val="7CDB5F8E"/>
    <w:rsid w:val="7E0B3BAE"/>
    <w:rsid w:val="7F9255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
    <w:qFormat/>
    <w:uiPriority w:val="0"/>
    <w:pPr>
      <w:keepNext/>
      <w:keepLines/>
      <w:spacing w:before="340" w:after="330" w:line="578" w:lineRule="auto"/>
      <w:outlineLvl w:val="0"/>
    </w:pPr>
    <w:rPr>
      <w:b/>
      <w:bCs/>
      <w:kern w:val="44"/>
      <w:sz w:val="44"/>
      <w:szCs w:val="44"/>
    </w:rPr>
  </w:style>
  <w:style w:type="character" w:default="1" w:styleId="7">
    <w:name w:val="Default Paragraph Font"/>
    <w:unhideWhenUsed/>
    <w:qFormat/>
    <w:uiPriority w:val="1"/>
  </w:style>
  <w:style w:type="table" w:default="1" w:styleId="6">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Balloon Text"/>
    <w:basedOn w:val="1"/>
    <w:link w:val="12"/>
    <w:unhideWhenUsed/>
    <w:qFormat/>
    <w:uiPriority w:val="99"/>
    <w:rPr>
      <w:sz w:val="18"/>
      <w:szCs w:val="18"/>
    </w:rPr>
  </w:style>
  <w:style w:type="paragraph" w:styleId="4">
    <w:name w:val="footer"/>
    <w:basedOn w:val="1"/>
    <w:link w:val="10"/>
    <w:qFormat/>
    <w:uiPriority w:val="0"/>
    <w:pPr>
      <w:tabs>
        <w:tab w:val="center" w:pos="4153"/>
        <w:tab w:val="right" w:pos="8306"/>
      </w:tabs>
      <w:snapToGrid w:val="0"/>
      <w:jc w:val="left"/>
    </w:pPr>
    <w:rPr>
      <w:sz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1 Char"/>
    <w:basedOn w:val="7"/>
    <w:link w:val="2"/>
    <w:qFormat/>
    <w:uiPriority w:val="0"/>
    <w:rPr>
      <w:rFonts w:ascii="Times New Roman" w:hAnsi="Times New Roman" w:eastAsia="宋体" w:cs="Times New Roman"/>
      <w:b/>
      <w:bCs/>
      <w:kern w:val="44"/>
      <w:sz w:val="44"/>
      <w:szCs w:val="44"/>
    </w:rPr>
  </w:style>
  <w:style w:type="paragraph" w:customStyle="1" w:styleId="9">
    <w:name w:val="标准"/>
    <w:basedOn w:val="1"/>
    <w:qFormat/>
    <w:uiPriority w:val="0"/>
    <w:pPr>
      <w:adjustRightInd w:val="0"/>
      <w:spacing w:before="120" w:after="120" w:line="312" w:lineRule="atLeast"/>
      <w:textAlignment w:val="baseline"/>
    </w:pPr>
    <w:rPr>
      <w:rFonts w:ascii="宋体"/>
      <w:kern w:val="0"/>
      <w:szCs w:val="20"/>
    </w:rPr>
  </w:style>
  <w:style w:type="character" w:customStyle="1" w:styleId="10">
    <w:name w:val="页脚 Char"/>
    <w:basedOn w:val="7"/>
    <w:link w:val="4"/>
    <w:qFormat/>
    <w:uiPriority w:val="0"/>
    <w:rPr>
      <w:rFonts w:ascii="Times New Roman" w:hAnsi="Times New Roman" w:eastAsia="宋体" w:cs="Times New Roman"/>
      <w:sz w:val="18"/>
      <w:szCs w:val="24"/>
    </w:rPr>
  </w:style>
  <w:style w:type="character" w:customStyle="1" w:styleId="11">
    <w:name w:val="页眉 Char"/>
    <w:basedOn w:val="7"/>
    <w:link w:val="5"/>
    <w:qFormat/>
    <w:uiPriority w:val="99"/>
    <w:rPr>
      <w:rFonts w:ascii="Times New Roman" w:hAnsi="Times New Roman" w:eastAsia="宋体" w:cs="Times New Roman"/>
      <w:sz w:val="18"/>
      <w:szCs w:val="18"/>
    </w:rPr>
  </w:style>
  <w:style w:type="character" w:customStyle="1" w:styleId="12">
    <w:name w:val="批注框文本 Char"/>
    <w:basedOn w:val="7"/>
    <w:link w:val="3"/>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2EE567-D0C3-40E4-ADD9-B03D18D3945C}">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4791</Words>
  <Characters>5047</Characters>
  <Lines>1</Lines>
  <Paragraphs>1</Paragraphs>
  <TotalTime>35</TotalTime>
  <ScaleCrop>false</ScaleCrop>
  <LinksUpToDate>false</LinksUpToDate>
  <CharactersWithSpaces>5064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2018-06-11T08:23:00Z</dcterms:created>
  <dc:creator>xiaohua Zhang</dc:creator>
  <cp:lastModifiedBy>李huiru</cp:lastModifiedBy>
  <cp:lastPrinted>2020-06-09T01:40:00Z</cp:lastPrinted>
  <dcterms:modified xsi:type="dcterms:W3CDTF">2025-06-11T13:08:57Z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F620E5D58582434385008EA7C8AA46DF_13</vt:lpwstr>
  </property>
  <property fmtid="{D5CDD505-2E9C-101B-9397-08002B2CF9AE}" pid="4" name="KSOTemplateDocerSaveRecord">
    <vt:lpwstr>eyJoZGlkIjoiYzFiOTlhNzQyNzcxMzliNDBlOGZhZmMwNTAwZDc4NTgiLCJ1c2VySWQiOiI1NTQ0Njc3MDkifQ==</vt:lpwstr>
  </property>
</Properties>
</file>