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57B99">
      <w:pPr>
        <w:ind w:left="321" w:leftChars="153" w:right="227"/>
        <w:jc w:val="center"/>
        <w:rPr>
          <w:rFonts w:eastAsia="黑体"/>
          <w:b/>
          <w:bCs/>
          <w:sz w:val="36"/>
          <w:szCs w:val="36"/>
        </w:rPr>
      </w:pPr>
      <w:bookmarkStart w:id="0" w:name="OLE_LINK6"/>
      <w:bookmarkStart w:id="1" w:name="OLE_LINK7"/>
      <w:r>
        <w:rPr>
          <w:rFonts w:hint="eastAsia" w:eastAsia="黑体"/>
          <w:b/>
          <w:bCs/>
          <w:sz w:val="36"/>
          <w:szCs w:val="36"/>
        </w:rPr>
        <w:t>数字经济</w:t>
      </w:r>
      <w:r>
        <w:rPr>
          <w:rFonts w:eastAsia="黑体"/>
          <w:b/>
          <w:bCs/>
          <w:sz w:val="36"/>
          <w:szCs w:val="36"/>
        </w:rPr>
        <w:t>专业全日制专业学位硕士研究生培养方案</w:t>
      </w:r>
    </w:p>
    <w:p w14:paraId="02F39299">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经济</w:t>
      </w:r>
      <w:r>
        <w:rPr>
          <w:rFonts w:eastAsia="黑体"/>
          <w:b/>
          <w:bCs/>
          <w:sz w:val="28"/>
          <w:szCs w:val="28"/>
        </w:rPr>
        <w:t>学院)</w:t>
      </w:r>
    </w:p>
    <w:p w14:paraId="5F520406">
      <w:pPr>
        <w:spacing w:line="360" w:lineRule="auto"/>
        <w:ind w:firstLine="560"/>
        <w:rPr>
          <w:rFonts w:eastAsia="黑体"/>
          <w:bCs/>
          <w:sz w:val="28"/>
          <w:szCs w:val="28"/>
        </w:rPr>
      </w:pPr>
      <w:r>
        <w:rPr>
          <w:rFonts w:eastAsia="黑体"/>
          <w:bCs/>
          <w:sz w:val="28"/>
          <w:szCs w:val="28"/>
        </w:rPr>
        <w:t>一、专业名称、代码</w:t>
      </w:r>
    </w:p>
    <w:p w14:paraId="687139C9">
      <w:pPr>
        <w:widowControl/>
        <w:spacing w:line="360" w:lineRule="auto"/>
        <w:ind w:firstLine="960" w:firstLineChars="400"/>
        <w:jc w:val="left"/>
        <w:rPr>
          <w:kern w:val="0"/>
          <w:sz w:val="18"/>
          <w:szCs w:val="18"/>
        </w:rPr>
      </w:pPr>
      <w:r>
        <w:rPr>
          <w:kern w:val="0"/>
          <w:sz w:val="24"/>
        </w:rPr>
        <w:t>专业名称：</w:t>
      </w:r>
      <w:r>
        <w:rPr>
          <w:rFonts w:hint="eastAsia"/>
          <w:kern w:val="0"/>
          <w:sz w:val="24"/>
        </w:rPr>
        <w:t>数字经济</w:t>
      </w:r>
    </w:p>
    <w:p w14:paraId="5AC2CB87">
      <w:pPr>
        <w:widowControl/>
        <w:spacing w:line="360" w:lineRule="auto"/>
        <w:ind w:firstLine="960" w:firstLineChars="400"/>
        <w:jc w:val="left"/>
        <w:rPr>
          <w:kern w:val="0"/>
          <w:sz w:val="18"/>
          <w:szCs w:val="18"/>
        </w:rPr>
      </w:pPr>
      <w:r>
        <w:rPr>
          <w:kern w:val="0"/>
          <w:sz w:val="24"/>
        </w:rPr>
        <w:t>专业代码：</w:t>
      </w:r>
      <w:r>
        <w:rPr>
          <w:rFonts w:hint="eastAsia"/>
          <w:kern w:val="0"/>
          <w:sz w:val="24"/>
        </w:rPr>
        <w:t xml:space="preserve"> 0258</w:t>
      </w:r>
    </w:p>
    <w:p w14:paraId="7E06EF61">
      <w:pPr>
        <w:spacing w:line="360" w:lineRule="auto"/>
        <w:ind w:firstLine="560" w:firstLineChars="200"/>
        <w:rPr>
          <w:rFonts w:eastAsia="黑体"/>
          <w:bCs/>
          <w:i/>
          <w:sz w:val="28"/>
          <w:szCs w:val="28"/>
        </w:rPr>
      </w:pPr>
      <w:r>
        <w:rPr>
          <w:rFonts w:eastAsia="黑体"/>
          <w:bCs/>
          <w:sz w:val="28"/>
          <w:szCs w:val="28"/>
        </w:rPr>
        <w:t>二、专业简介</w:t>
      </w:r>
    </w:p>
    <w:p w14:paraId="6B1A474F">
      <w:pPr>
        <w:spacing w:line="360" w:lineRule="auto"/>
        <w:ind w:firstLine="480" w:firstLineChars="200"/>
        <w:rPr>
          <w:rFonts w:eastAsiaTheme="minorEastAsia"/>
          <w:iCs/>
          <w:sz w:val="24"/>
        </w:rPr>
      </w:pPr>
      <w:r>
        <w:rPr>
          <w:rFonts w:hint="eastAsia" w:eastAsiaTheme="minorEastAsia"/>
          <w:iCs/>
          <w:sz w:val="24"/>
        </w:rPr>
        <w:t>本专业坚持立德树人根本任务，将思想政治教育贯穿人才培养全过程，注重培养学生的家国情怀、社会责任感和职业道德素养，服务国家战略和区域经济发展，贯彻“数字中国”战略，以常规教学手段为基础，辅以现代化的教学手段和专业实验室教学，依托“经济学人才培养模式创新实验区”，采用“开放式”教学与“实践型”人才培养模式，以国际贸易为基础，融合经济学、统计学、金融学、数据科学等学科，全面强化校企合作战略，整合校内外优秀师资梯队与教学实践平台，构建完备的理论与实践教学体系，致力于培养适应数字经济发展所需要的高素质综合性应用型专业人才</w:t>
      </w:r>
      <w:r>
        <w:rPr>
          <w:rFonts w:eastAsiaTheme="minorEastAsia"/>
          <w:iCs/>
          <w:sz w:val="24"/>
        </w:rPr>
        <w:t>。</w:t>
      </w:r>
    </w:p>
    <w:p w14:paraId="6A2E9144">
      <w:pPr>
        <w:spacing w:line="360" w:lineRule="auto"/>
        <w:ind w:firstLine="560" w:firstLineChars="200"/>
        <w:rPr>
          <w:rFonts w:eastAsia="黑体"/>
          <w:bCs/>
          <w:sz w:val="28"/>
          <w:szCs w:val="28"/>
        </w:rPr>
      </w:pPr>
      <w:r>
        <w:rPr>
          <w:rFonts w:eastAsia="黑体"/>
          <w:bCs/>
          <w:sz w:val="28"/>
          <w:szCs w:val="28"/>
        </w:rPr>
        <w:t>三、研究方向</w:t>
      </w:r>
    </w:p>
    <w:p w14:paraId="528A5BF0">
      <w:pPr>
        <w:spacing w:line="360" w:lineRule="auto"/>
        <w:ind w:firstLine="480" w:firstLineChars="200"/>
        <w:rPr>
          <w:rFonts w:eastAsiaTheme="minorEastAsia"/>
          <w:iCs/>
          <w:sz w:val="24"/>
        </w:rPr>
      </w:pPr>
      <w:r>
        <w:rPr>
          <w:rFonts w:hint="eastAsia" w:eastAsiaTheme="minorEastAsia"/>
          <w:iCs/>
          <w:sz w:val="24"/>
        </w:rPr>
        <w:t>1.数字贸易：本方向的主要研究领域包括但不限于数字贸易理论与数字贸易测度；数字贸易与全球价值链重构；数字技术跨国溢出与价值链可持续性；中美数字技术竞争与数字贸易博弈；区域数字贸易规则与全球数字经济治理。</w:t>
      </w:r>
    </w:p>
    <w:p w14:paraId="20F5DE15">
      <w:pPr>
        <w:spacing w:line="360" w:lineRule="auto"/>
        <w:ind w:firstLine="480" w:firstLineChars="200"/>
        <w:rPr>
          <w:rFonts w:eastAsiaTheme="minorEastAsia"/>
          <w:iCs/>
          <w:sz w:val="24"/>
        </w:rPr>
      </w:pPr>
      <w:r>
        <w:rPr>
          <w:rFonts w:hint="eastAsia" w:eastAsiaTheme="minorEastAsia"/>
          <w:iCs/>
          <w:sz w:val="24"/>
        </w:rPr>
        <w:t>2.数据要素市场：本方向的主要研究领域包括但不限于围绕数据提供者、数据需求者和数据中介等，研究数据要素应用开发和数据分类、数据要素的交易模式和流程等，探究数据要素市场与实体经济的关系。</w:t>
      </w:r>
    </w:p>
    <w:p w14:paraId="1787C961">
      <w:pPr>
        <w:spacing w:line="360" w:lineRule="auto"/>
        <w:ind w:firstLine="480" w:firstLineChars="200"/>
        <w:rPr>
          <w:rFonts w:eastAsiaTheme="minorEastAsia"/>
          <w:iCs/>
          <w:sz w:val="24"/>
        </w:rPr>
      </w:pPr>
      <w:r>
        <w:rPr>
          <w:rFonts w:hint="eastAsia" w:eastAsiaTheme="minorEastAsia"/>
          <w:iCs/>
          <w:sz w:val="24"/>
        </w:rPr>
        <w:t>3.数字产业化：本方向主要研究领域包括但不限于研究传统产业应用数字平台、人工智能与机器学习等数字技术所带来的产出增加和效率提升；研究数字技术推动传统产业的升级改造；关注政府在数字经济发展方面的政策导向与政策效果。</w:t>
      </w:r>
    </w:p>
    <w:p w14:paraId="4F454263">
      <w:pPr>
        <w:spacing w:line="360" w:lineRule="auto"/>
        <w:ind w:firstLine="560" w:firstLineChars="200"/>
        <w:rPr>
          <w:rFonts w:eastAsia="黑体"/>
          <w:bCs/>
          <w:sz w:val="28"/>
          <w:szCs w:val="28"/>
        </w:rPr>
      </w:pPr>
      <w:r>
        <w:rPr>
          <w:rFonts w:eastAsia="黑体"/>
          <w:bCs/>
          <w:sz w:val="28"/>
          <w:szCs w:val="28"/>
        </w:rPr>
        <w:t>四、学制及学习年限</w:t>
      </w:r>
    </w:p>
    <w:p w14:paraId="2F10B9FD">
      <w:pPr>
        <w:spacing w:line="360" w:lineRule="auto"/>
        <w:ind w:firstLine="480" w:firstLineChars="200"/>
        <w:rPr>
          <w:rFonts w:eastAsiaTheme="minorEastAsia"/>
          <w:i/>
          <w:sz w:val="24"/>
        </w:rPr>
      </w:pPr>
      <w:r>
        <w:rPr>
          <w:rFonts w:eastAsiaTheme="minorEastAsia"/>
          <w:sz w:val="24"/>
        </w:rPr>
        <w:t>本专业学制为3年，在校最长学习年限（含休学）不超过6年。</w:t>
      </w:r>
    </w:p>
    <w:p w14:paraId="2FBBF993">
      <w:pPr>
        <w:spacing w:line="360" w:lineRule="auto"/>
        <w:ind w:firstLine="560" w:firstLineChars="200"/>
        <w:rPr>
          <w:rFonts w:eastAsia="黑体"/>
          <w:bCs/>
          <w:sz w:val="28"/>
          <w:szCs w:val="28"/>
        </w:rPr>
      </w:pPr>
      <w:r>
        <w:rPr>
          <w:rFonts w:eastAsia="黑体"/>
          <w:bCs/>
          <w:sz w:val="28"/>
          <w:szCs w:val="28"/>
        </w:rPr>
        <w:t>五、培养目标</w:t>
      </w:r>
    </w:p>
    <w:p w14:paraId="21373EA9">
      <w:pPr>
        <w:spacing w:line="360" w:lineRule="auto"/>
        <w:ind w:firstLine="480"/>
        <w:rPr>
          <w:rFonts w:eastAsiaTheme="minorEastAsia"/>
          <w:iCs/>
          <w:sz w:val="24"/>
        </w:rPr>
      </w:pPr>
      <w:r>
        <w:rPr>
          <w:rFonts w:hint="eastAsia" w:eastAsiaTheme="minorEastAsia"/>
          <w:iCs/>
          <w:sz w:val="24"/>
        </w:rPr>
        <w:t xml:space="preserve">本专业为适应“数字中国”发展战略需要，培养德智体美劳全面发展，熟悉国际贸易、经济学、统计学、金融学等相关学科基础理论知识，掌握经济学基础知识和数字技术基本原理，紧跟国内外数字经济实践，具备数字分析及应用技能，能够在各类与数字经济相关的政府部门、外贸机构、金融机构及企业事业单位从事相关经济、外贸、金融分析和行业管理工作，具有高度的政治素养、扎实的专业知识、卓越的实践能力和全面的综合素质的数字学专业综合性人才。具体培养具体目标如下： </w:t>
      </w:r>
    </w:p>
    <w:p w14:paraId="5F6BA140">
      <w:pPr>
        <w:spacing w:line="360" w:lineRule="auto"/>
        <w:ind w:firstLine="482"/>
        <w:rPr>
          <w:rFonts w:eastAsiaTheme="minorEastAsia"/>
          <w:iCs/>
          <w:sz w:val="24"/>
        </w:rPr>
      </w:pPr>
      <w:r>
        <w:rPr>
          <w:rFonts w:hint="eastAsia" w:eastAsiaTheme="minorEastAsia"/>
          <w:iCs/>
          <w:sz w:val="24"/>
        </w:rPr>
        <w:t xml:space="preserve">1. 政治素养方面，数字经济专业学生需要具备高度的社会责任感，了解国家在数字经济领域的政策、法规，能正确理解和执行相关政策。 </w:t>
      </w:r>
    </w:p>
    <w:p w14:paraId="13376A2F">
      <w:pPr>
        <w:spacing w:line="360" w:lineRule="auto"/>
        <w:ind w:firstLine="482"/>
        <w:rPr>
          <w:rFonts w:eastAsiaTheme="minorEastAsia"/>
          <w:iCs/>
          <w:sz w:val="24"/>
        </w:rPr>
      </w:pPr>
      <w:r>
        <w:rPr>
          <w:rFonts w:hint="eastAsia" w:eastAsiaTheme="minorEastAsia"/>
          <w:iCs/>
          <w:sz w:val="24"/>
        </w:rPr>
        <w:t>2.基础知识方面，熟悉数字技术基本原理，具备经济思维和数字思维；掌握现代经济学的基本方法及数字技能，熟悉国内外数字经济实践与运行规律；能熟练运用一门外语（一般为英语）进行交流。</w:t>
      </w:r>
    </w:p>
    <w:p w14:paraId="4D8C3171">
      <w:pPr>
        <w:spacing w:line="360" w:lineRule="auto"/>
        <w:ind w:firstLine="482"/>
        <w:rPr>
          <w:rFonts w:eastAsiaTheme="minorEastAsia"/>
          <w:iCs/>
          <w:sz w:val="24"/>
        </w:rPr>
      </w:pPr>
      <w:r>
        <w:rPr>
          <w:rFonts w:hint="eastAsia" w:eastAsiaTheme="minorEastAsia"/>
          <w:iCs/>
          <w:sz w:val="24"/>
        </w:rPr>
        <w:t>3. 专业知识方面，学生应系统掌握数字经济的基本原理、发展动态、新兴业态，以及掌握经济大数据建模、分析与应用能力，熟悉中国数字经济运行规律与改革实践，了解数字经济的运行规律，掌握数字经济领域的前沿知识。</w:t>
      </w:r>
    </w:p>
    <w:p w14:paraId="48784D39">
      <w:pPr>
        <w:spacing w:line="360" w:lineRule="auto"/>
        <w:ind w:firstLine="480"/>
        <w:rPr>
          <w:rFonts w:eastAsiaTheme="minorEastAsia"/>
          <w:iCs/>
          <w:sz w:val="24"/>
        </w:rPr>
      </w:pPr>
      <w:r>
        <w:rPr>
          <w:rFonts w:hint="eastAsia" w:eastAsiaTheme="minorEastAsia"/>
          <w:iCs/>
          <w:sz w:val="24"/>
        </w:rPr>
        <w:t xml:space="preserve">4. 实践能力方面，通过与企业的合作项目、实验室的实践操作等方式，能够将理论知识应用于实际场景，提高解决实际问题的能力，包括数据分析与决策能力、数据挖掘能力和数字贸易等能力等，应在实践中做到经济思维与数字技能的有机结合，运用所学理论与方法解决实际问题，满足数字经济发展和治理的多层次需要。 </w:t>
      </w:r>
    </w:p>
    <w:p w14:paraId="1FCE232F">
      <w:pPr>
        <w:spacing w:line="360" w:lineRule="auto"/>
        <w:ind w:firstLine="480"/>
        <w:rPr>
          <w:rFonts w:eastAsiaTheme="minorEastAsia"/>
          <w:i/>
          <w:sz w:val="24"/>
        </w:rPr>
      </w:pPr>
      <w:r>
        <w:rPr>
          <w:rFonts w:hint="eastAsia" w:eastAsiaTheme="minorEastAsia"/>
          <w:iCs/>
          <w:sz w:val="24"/>
        </w:rPr>
        <w:t>5. 综合素质方面，除了专业技能，学生还应具备良好的沟通协作能力、创新能力和跨文化交流能力。他们应能在多变的环境中快速适应，具备国际视野和跨文化交流能力，为数字经济的全球化发展做出贡献。</w:t>
      </w:r>
    </w:p>
    <w:p w14:paraId="42287ED7">
      <w:pPr>
        <w:spacing w:line="360" w:lineRule="auto"/>
        <w:ind w:firstLine="560" w:firstLineChars="200"/>
        <w:rPr>
          <w:rFonts w:eastAsia="黑体"/>
          <w:bCs/>
          <w:sz w:val="28"/>
          <w:szCs w:val="28"/>
        </w:rPr>
      </w:pPr>
      <w:bookmarkStart w:id="2" w:name="OLE_LINK4"/>
      <w:r>
        <w:rPr>
          <w:rFonts w:eastAsia="黑体"/>
          <w:bCs/>
          <w:sz w:val="28"/>
          <w:szCs w:val="28"/>
        </w:rPr>
        <w:t>六、培养方式</w:t>
      </w:r>
    </w:p>
    <w:bookmarkEnd w:id="2"/>
    <w:p w14:paraId="3A02C019">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1.采取课程学习和论文研究工作相结合的方式，系统掌握所在学科领域的理论知识，以及培养分析问题和解决问题的能力。</w:t>
      </w:r>
    </w:p>
    <w:p w14:paraId="1937176C">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2.实行导师负责制，导师是研究生培养的第一责任人，对研究生培养的全过程进行全方位针对性指导，注重提升研究生思想政治素养，培养研究生学术创新能力和实践创新能力，增强研究生社会责任感，指导研究生恪守学术道德规范，优化研究生培养条件，注重对研究生人文关怀。</w:t>
      </w:r>
    </w:p>
    <w:p w14:paraId="6B23257E">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3.导师根据硕士研究生的知识结构、能力水平、研究兴趣和发展取向，指导研究生制定个性化的培养计划，督促和检查研究生课程修读，指导研究生开展文献阅读、学术活动、社会实践、学位论文开题和中期检查等必修环节。</w:t>
      </w:r>
    </w:p>
    <w:p w14:paraId="46A555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Cs/>
          <w:iCs/>
          <w:sz w:val="24"/>
          <w:lang w:val="en-US" w:eastAsia="zh-CN"/>
        </w:rPr>
      </w:pPr>
      <w:r>
        <w:rPr>
          <w:rFonts w:hint="eastAsia" w:asciiTheme="minorEastAsia" w:hAnsiTheme="minorEastAsia" w:eastAsiaTheme="minorEastAsia"/>
          <w:bCs/>
          <w:iCs/>
          <w:sz w:val="24"/>
        </w:rPr>
        <w:t>4.加强培养环节的规范管理、全程监控、自我评估，把抓督查、抓执行贯穿管理全过程。完善教学评价检查机制，提高课程教学质量。加强培养过程节点管理，强化学业预警机制，提高教育管理的规范化、信息化、精细化。严格学位论文开题审核、中期检查、论文送审等环节管理，强化论文选题前沿性、论文内容创新性、论文写作规范性。</w:t>
      </w:r>
      <w:r>
        <w:rPr>
          <w:rFonts w:hint="eastAsia" w:asciiTheme="minorEastAsia" w:hAnsiTheme="minorEastAsia" w:eastAsiaTheme="minorEastAsia"/>
          <w:bCs/>
          <w:iCs/>
          <w:sz w:val="24"/>
          <w:lang w:val="en-US" w:eastAsia="zh-CN"/>
        </w:rPr>
        <w:t xml:space="preserve"> </w:t>
      </w:r>
    </w:p>
    <w:p w14:paraId="05B03C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黑体"/>
          <w:bCs/>
          <w:sz w:val="28"/>
          <w:szCs w:val="28"/>
        </w:rPr>
      </w:pPr>
      <w:r>
        <w:rPr>
          <w:rFonts w:hint="eastAsia" w:asciiTheme="minorEastAsia" w:hAnsiTheme="minorEastAsia" w:eastAsiaTheme="minorEastAsia"/>
          <w:bCs/>
          <w:iCs/>
          <w:sz w:val="24"/>
          <w:lang w:val="en-US" w:eastAsia="zh-CN"/>
        </w:rPr>
        <w:t xml:space="preserve"> </w:t>
      </w:r>
      <w:r>
        <w:rPr>
          <w:rFonts w:hint="eastAsia" w:eastAsia="黑体"/>
          <w:bCs/>
          <w:sz w:val="28"/>
          <w:szCs w:val="28"/>
        </w:rPr>
        <w:t>七、</w:t>
      </w:r>
      <w:r>
        <w:rPr>
          <w:rFonts w:eastAsia="黑体"/>
          <w:bCs/>
          <w:sz w:val="28"/>
          <w:szCs w:val="28"/>
        </w:rPr>
        <w:t>中期筛选</w:t>
      </w:r>
    </w:p>
    <w:p w14:paraId="54FB887F">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50B05391">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1782BCF1">
      <w:pPr>
        <w:widowControl/>
        <w:spacing w:line="360" w:lineRule="auto"/>
        <w:ind w:firstLine="480"/>
        <w:jc w:val="left"/>
        <w:rPr>
          <w:i/>
          <w:kern w:val="0"/>
          <w:sz w:val="18"/>
          <w:szCs w:val="18"/>
        </w:rPr>
      </w:pPr>
      <w:r>
        <w:rPr>
          <w:bCs/>
          <w:kern w:val="0"/>
          <w:sz w:val="24"/>
        </w:rPr>
        <w:t>1.总体要求：</w:t>
      </w:r>
      <w:r>
        <w:rPr>
          <w:kern w:val="0"/>
          <w:sz w:val="24"/>
        </w:rPr>
        <w:t>按照《河北大学关于开展2025版研究生培养方案修订工作的指导意见》（校政字</w:t>
      </w:r>
      <w:r>
        <w:rPr>
          <w:rFonts w:eastAsiaTheme="minorEastAsia"/>
          <w:bCs/>
          <w:sz w:val="24"/>
        </w:rPr>
        <w:t>〔2025〕</w:t>
      </w:r>
      <w:r>
        <w:rPr>
          <w:rFonts w:hint="eastAsia" w:eastAsiaTheme="minorEastAsia"/>
          <w:bCs/>
          <w:sz w:val="24"/>
          <w:lang w:val="en-US" w:eastAsia="zh-CN"/>
        </w:rPr>
        <w:t>9</w:t>
      </w:r>
      <w:r>
        <w:rPr>
          <w:rFonts w:eastAsiaTheme="minorEastAsia"/>
          <w:bCs/>
          <w:sz w:val="24"/>
        </w:rPr>
        <w:t>号</w:t>
      </w:r>
      <w:r>
        <w:rPr>
          <w:kern w:val="0"/>
          <w:sz w:val="24"/>
        </w:rPr>
        <w:t>）规定，硕士研究生论文开题与答辩时间间隔原则上不少于12个月。</w:t>
      </w:r>
      <w:r>
        <w:rPr>
          <w:rFonts w:hint="eastAsia"/>
          <w:kern w:val="0"/>
          <w:sz w:val="24"/>
        </w:rPr>
        <w:t>学位论文选题应来源于数字经济实践，着重总结和提炼数字经济发展中的经验或为相关领域实践问题提供解决方案。论文选题需结合数字经济实际问题，立论新颖，结构合理，论据充分，逻辑严谨，行文流畅，严禁抄袭。</w:t>
      </w:r>
      <w:r>
        <w:rPr>
          <w:kern w:val="0"/>
          <w:sz w:val="24"/>
        </w:rPr>
        <w:t>学位（毕业）论文应当表明作者具有独立从事学术研究工作的能力，鼓励硕士研究生参与科学研究，取得创新性成果</w:t>
      </w:r>
      <w:r>
        <w:rPr>
          <w:rFonts w:hint="eastAsia"/>
          <w:kern w:val="0"/>
          <w:sz w:val="24"/>
        </w:rPr>
        <w:t>。</w:t>
      </w:r>
    </w:p>
    <w:p w14:paraId="7AA0176F">
      <w:pPr>
        <w:widowControl/>
        <w:spacing w:line="360" w:lineRule="auto"/>
        <w:ind w:firstLine="480"/>
        <w:jc w:val="left"/>
        <w:rPr>
          <w:i/>
          <w:kern w:val="0"/>
          <w:sz w:val="18"/>
          <w:szCs w:val="18"/>
        </w:rPr>
      </w:pPr>
      <w:r>
        <w:rPr>
          <w:bCs/>
          <w:kern w:val="0"/>
          <w:sz w:val="24"/>
        </w:rPr>
        <w:t>2.开题：</w:t>
      </w:r>
      <w:r>
        <w:rPr>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原则上在入学后第3学期（最迟不超过第4学期）完成开题。开题由3-5名具有高级专业技术职务人员参加，以学术报告的方式进行。</w:t>
      </w:r>
    </w:p>
    <w:p w14:paraId="6AAFF907">
      <w:pPr>
        <w:widowControl/>
        <w:spacing w:line="360" w:lineRule="auto"/>
        <w:ind w:firstLine="480"/>
        <w:jc w:val="left"/>
        <w:rPr>
          <w:i/>
          <w:kern w:val="0"/>
          <w:sz w:val="24"/>
        </w:rPr>
      </w:pPr>
      <w:r>
        <w:rPr>
          <w:bCs/>
          <w:kern w:val="0"/>
          <w:sz w:val="24"/>
        </w:rPr>
        <w:t>3.中期进展报告：</w:t>
      </w:r>
      <w:r>
        <w:rPr>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7BF17D8C">
      <w:pPr>
        <w:widowControl/>
        <w:spacing w:line="360" w:lineRule="auto"/>
        <w:ind w:firstLine="480"/>
        <w:jc w:val="left"/>
        <w:rPr>
          <w:iCs/>
          <w:kern w:val="0"/>
          <w:sz w:val="24"/>
        </w:rPr>
      </w:pPr>
      <w:r>
        <w:rPr>
          <w:bCs/>
          <w:kern w:val="0"/>
          <w:sz w:val="24"/>
        </w:rPr>
        <w:t>4.学位申请：</w:t>
      </w:r>
      <w:r>
        <w:rPr>
          <w:iCs/>
          <w:kern w:val="0"/>
          <w:sz w:val="24"/>
        </w:rPr>
        <w:t>达到学位授予条件的申请人，经导师同意后，应于答辩前三个月，向所属学位评定分委员会提出学位申请，提交学位申请材料。</w:t>
      </w:r>
    </w:p>
    <w:p w14:paraId="7A6A554C">
      <w:pPr>
        <w:widowControl/>
        <w:spacing w:line="360" w:lineRule="auto"/>
        <w:ind w:firstLine="480"/>
        <w:jc w:val="left"/>
        <w:rPr>
          <w:iCs/>
          <w:kern w:val="0"/>
          <w:sz w:val="24"/>
        </w:rPr>
      </w:pPr>
      <w:r>
        <w:rPr>
          <w:bCs/>
          <w:kern w:val="0"/>
          <w:sz w:val="24"/>
        </w:rPr>
        <w:t>5.预答辩：</w:t>
      </w:r>
      <w:r>
        <w:rPr>
          <w:iCs/>
          <w:kern w:val="0"/>
          <w:sz w:val="24"/>
        </w:rPr>
        <w:t>学位申请人须进行学位论文预答辩。预答辩通过者，方可进入学位论文评阅、学位论文答辩等环节。学位（毕业）论文预答辩在正式答辩前3个月进行。</w:t>
      </w:r>
    </w:p>
    <w:p w14:paraId="5C57451C">
      <w:pPr>
        <w:widowControl/>
        <w:spacing w:line="360" w:lineRule="auto"/>
        <w:ind w:firstLine="480"/>
        <w:jc w:val="left"/>
        <w:rPr>
          <w:kern w:val="0"/>
          <w:sz w:val="24"/>
        </w:rPr>
      </w:pPr>
      <w:r>
        <w:rPr>
          <w:bCs/>
          <w:kern w:val="0"/>
          <w:sz w:val="24"/>
        </w:rPr>
        <w:t>6.论文评阅：</w:t>
      </w:r>
      <w:r>
        <w:rPr>
          <w:iCs/>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kern w:val="0"/>
          <w:sz w:val="24"/>
        </w:rPr>
        <w:t>评阅结果及异议处理按照《河北大学研究生学位论文或者实践成果评审管理办法》（校政字〔2025〕8号）执行。</w:t>
      </w:r>
    </w:p>
    <w:p w14:paraId="1B0330CB">
      <w:pPr>
        <w:widowControl/>
        <w:spacing w:line="360" w:lineRule="auto"/>
        <w:ind w:firstLine="480"/>
        <w:jc w:val="left"/>
        <w:rPr>
          <w:rFonts w:eastAsiaTheme="minorEastAsia"/>
          <w:i/>
          <w:sz w:val="24"/>
        </w:rPr>
      </w:pPr>
      <w:r>
        <w:rPr>
          <w:b/>
          <w:bCs/>
          <w:kern w:val="0"/>
          <w:sz w:val="24"/>
        </w:rPr>
        <w:t>7.答辩：</w:t>
      </w:r>
      <w:r>
        <w:rPr>
          <w:bCs/>
          <w:kern w:val="0"/>
          <w:sz w:val="24"/>
        </w:rPr>
        <w:t>学位（毕业）论文答辩按照</w:t>
      </w:r>
      <w:r>
        <w:rPr>
          <w:kern w:val="0"/>
          <w:sz w:val="24"/>
        </w:rPr>
        <w:t>《河北大学博士、硕士学位授予工作实施细则》（校政字〔2025〕7号）执行。</w:t>
      </w:r>
    </w:p>
    <w:p w14:paraId="6473AB9E">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448BBE5D">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4012DA30">
      <w:pPr>
        <w:spacing w:line="360" w:lineRule="auto"/>
        <w:ind w:firstLine="480" w:firstLineChars="200"/>
        <w:rPr>
          <w:rFonts w:eastAsiaTheme="minorEastAsia"/>
          <w:bCs/>
          <w:sz w:val="24"/>
          <w:szCs w:val="22"/>
        </w:rPr>
      </w:pPr>
      <w:r>
        <w:rPr>
          <w:rFonts w:eastAsiaTheme="minorEastAsia"/>
          <w:bCs/>
          <w:sz w:val="24"/>
        </w:rPr>
        <w:t xml:space="preserve">2. </w:t>
      </w:r>
      <w:r>
        <w:rPr>
          <w:bCs/>
          <w:sz w:val="24"/>
        </w:rPr>
        <w:t>学术/实践活动。研究生在读期间至少需要完成两类活动中的一类：</w:t>
      </w:r>
    </w:p>
    <w:p w14:paraId="2E494C90">
      <w:pPr>
        <w:spacing w:line="360" w:lineRule="auto"/>
        <w:ind w:firstLine="480" w:firstLineChars="200"/>
        <w:rPr>
          <w:bCs/>
          <w:kern w:val="0"/>
          <w:sz w:val="24"/>
        </w:rPr>
      </w:pPr>
      <w:r>
        <w:rPr>
          <w:bCs/>
          <w:kern w:val="0"/>
          <w:sz w:val="24"/>
        </w:rPr>
        <w:t>（1）学术活动：研究生在读期间参加不少于10次学术活动，并撰写学术报告小结；以主讲人或宣讲人身份，参加在校内外举行的学术报告或学术讲座不少于1次。</w:t>
      </w:r>
    </w:p>
    <w:p w14:paraId="4D0B0415">
      <w:pPr>
        <w:spacing w:line="360" w:lineRule="auto"/>
        <w:ind w:firstLine="480" w:firstLineChars="200"/>
        <w:rPr>
          <w:rFonts w:eastAsiaTheme="minorEastAsia"/>
          <w:i/>
          <w:sz w:val="24"/>
        </w:rPr>
      </w:pPr>
      <w:r>
        <w:rPr>
          <w:bCs/>
          <w:kern w:val="0"/>
          <w:sz w:val="24"/>
        </w:rPr>
        <w:t>（2）实践活动：参与本专业相关的社会实践，由相关单位出具相关实践证明材料；或组织开展与本专业相关的调查、考察等活动，并提交相关报告。</w:t>
      </w:r>
      <w:r>
        <w:rPr>
          <w:rFonts w:hint="eastAsia"/>
          <w:bCs/>
          <w:kern w:val="0"/>
          <w:sz w:val="24"/>
        </w:rPr>
        <w:t>实践训练时间不少于 3 个月。</w:t>
      </w:r>
    </w:p>
    <w:p w14:paraId="3AA87651">
      <w:pPr>
        <w:spacing w:line="360" w:lineRule="auto"/>
        <w:ind w:firstLine="480" w:firstLineChars="200"/>
        <w:rPr>
          <w:rFonts w:eastAsiaTheme="minorEastAsia"/>
          <w:bCs/>
          <w:sz w:val="24"/>
        </w:rPr>
      </w:pPr>
      <w:r>
        <w:rPr>
          <w:rFonts w:eastAsiaTheme="minorEastAsia"/>
          <w:sz w:val="24"/>
        </w:rPr>
        <w:t>3. 符合提前毕业条件的研究生，可按照学校相关规定</w:t>
      </w:r>
      <w:r>
        <w:rPr>
          <w:rFonts w:eastAsiaTheme="minorEastAsia"/>
          <w:bCs/>
          <w:sz w:val="24"/>
        </w:rPr>
        <w:t>申请</w:t>
      </w:r>
      <w:r>
        <w:rPr>
          <w:rFonts w:eastAsiaTheme="minorEastAsia"/>
          <w:sz w:val="24"/>
        </w:rPr>
        <w:t>提前毕业。</w:t>
      </w:r>
    </w:p>
    <w:p w14:paraId="6BCFCF59">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1E5285F1">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0A75C1B8">
      <w:pPr>
        <w:spacing w:line="360" w:lineRule="auto"/>
        <w:ind w:firstLine="480" w:firstLineChars="200"/>
        <w:rPr>
          <w:rFonts w:eastAsiaTheme="minorEastAsia"/>
          <w:bCs/>
          <w:sz w:val="24"/>
        </w:rPr>
      </w:pPr>
      <w:r>
        <w:rPr>
          <w:bCs/>
          <w:sz w:val="24"/>
        </w:rPr>
        <w:t>研究生在读期间</w:t>
      </w:r>
      <w:r>
        <w:rPr>
          <w:rFonts w:hint="eastAsia" w:eastAsiaTheme="minorEastAsia"/>
          <w:bCs/>
          <w:sz w:val="24"/>
        </w:rPr>
        <w:t>至少完成以下成果中的一条：</w:t>
      </w:r>
    </w:p>
    <w:p w14:paraId="27FCADA5">
      <w:pPr>
        <w:spacing w:line="360" w:lineRule="auto"/>
        <w:ind w:firstLine="480" w:firstLineChars="200"/>
        <w:rPr>
          <w:rFonts w:eastAsiaTheme="minorEastAsia"/>
          <w:bCs/>
          <w:sz w:val="24"/>
        </w:rPr>
      </w:pPr>
      <w:r>
        <w:rPr>
          <w:rFonts w:hint="eastAsia" w:eastAsiaTheme="minorEastAsia"/>
          <w:bCs/>
          <w:sz w:val="24"/>
        </w:rPr>
        <w:t>（一）独立或与导师合作发表学术论文1篇，其中普刊论文原则上不少于5000字。</w:t>
      </w:r>
    </w:p>
    <w:p w14:paraId="4BE25707">
      <w:pPr>
        <w:spacing w:line="360" w:lineRule="auto"/>
        <w:ind w:firstLine="480" w:firstLineChars="200"/>
        <w:rPr>
          <w:rFonts w:eastAsiaTheme="minorEastAsia"/>
          <w:bCs/>
          <w:sz w:val="24"/>
        </w:rPr>
      </w:pPr>
      <w:r>
        <w:rPr>
          <w:rFonts w:hint="eastAsia" w:eastAsiaTheme="minorEastAsia"/>
          <w:bCs/>
          <w:sz w:val="24"/>
        </w:rPr>
        <w:t>（二）参与一项厅级及以上课题，项目未结项以申请书为准；项目结项以结项书为准。</w:t>
      </w:r>
    </w:p>
    <w:p w14:paraId="53F3231E">
      <w:pPr>
        <w:spacing w:line="360" w:lineRule="auto"/>
        <w:ind w:firstLine="480" w:firstLineChars="200"/>
        <w:rPr>
          <w:rFonts w:eastAsiaTheme="minorEastAsia"/>
          <w:bCs/>
          <w:sz w:val="24"/>
        </w:rPr>
      </w:pPr>
      <w:r>
        <w:rPr>
          <w:rFonts w:hint="eastAsia" w:eastAsiaTheme="minorEastAsia"/>
          <w:bCs/>
          <w:sz w:val="24"/>
        </w:rPr>
        <w:t>（三）参与导师的著作或教材，要求在封面、前言、后记有署名。</w:t>
      </w:r>
    </w:p>
    <w:p w14:paraId="58D230A7">
      <w:pPr>
        <w:spacing w:line="360" w:lineRule="auto"/>
        <w:ind w:firstLine="480" w:firstLineChars="200"/>
        <w:rPr>
          <w:rFonts w:eastAsiaTheme="minorEastAsia"/>
          <w:bCs/>
          <w:sz w:val="24"/>
        </w:rPr>
      </w:pPr>
      <w:r>
        <w:rPr>
          <w:rFonts w:hint="eastAsia" w:eastAsiaTheme="minorEastAsia"/>
          <w:bCs/>
          <w:sz w:val="24"/>
        </w:rPr>
        <w:t>（四）参与项目调研，需提供调研报告和相关证明。</w:t>
      </w:r>
    </w:p>
    <w:p w14:paraId="0670E0FF">
      <w:pPr>
        <w:spacing w:line="360" w:lineRule="auto"/>
        <w:ind w:firstLine="480" w:firstLineChars="200"/>
        <w:rPr>
          <w:rFonts w:eastAsiaTheme="minorEastAsia"/>
          <w:bCs/>
          <w:sz w:val="24"/>
        </w:rPr>
      </w:pPr>
      <w:r>
        <w:rPr>
          <w:rFonts w:hint="eastAsia" w:eastAsiaTheme="minorEastAsia"/>
          <w:bCs/>
          <w:sz w:val="24"/>
        </w:rPr>
        <w:t>（五）在学校认定的C级及以上学术科技竞赛中获得奖励1项。</w:t>
      </w:r>
    </w:p>
    <w:p w14:paraId="30CC8D2A">
      <w:pPr>
        <w:spacing w:line="360" w:lineRule="auto"/>
        <w:ind w:firstLine="480" w:firstLineChars="200"/>
        <w:rPr>
          <w:rFonts w:eastAsiaTheme="minorEastAsia"/>
          <w:bCs/>
          <w:sz w:val="24"/>
        </w:rPr>
      </w:pPr>
      <w:r>
        <w:rPr>
          <w:rFonts w:hint="eastAsia" w:eastAsiaTheme="minorEastAsia"/>
          <w:bCs/>
          <w:sz w:val="24"/>
        </w:rPr>
        <w:t>（六）参加全国性学术会议，参与的学术论文被会议录用。</w:t>
      </w:r>
    </w:p>
    <w:p w14:paraId="024BAC4E">
      <w:pPr>
        <w:spacing w:line="360" w:lineRule="auto"/>
        <w:ind w:firstLine="480" w:firstLineChars="200"/>
        <w:rPr>
          <w:rFonts w:eastAsiaTheme="minorEastAsia"/>
          <w:bCs/>
          <w:sz w:val="24"/>
        </w:rPr>
      </w:pPr>
      <w:r>
        <w:rPr>
          <w:rFonts w:hint="eastAsia" w:eastAsiaTheme="minorEastAsia"/>
          <w:bCs/>
          <w:sz w:val="24"/>
        </w:rPr>
        <w:t>（七）因各种原因未取得创新性成果，但硕士学位论文在原创性研究方面取得重要进展，并得到同行专家的高度认可（硕士学位论文评审一次性通过，评审结果全部为良好及以上，且至少有一个优秀）。</w:t>
      </w:r>
    </w:p>
    <w:p w14:paraId="3132B38F">
      <w:pPr>
        <w:spacing w:line="360" w:lineRule="auto"/>
        <w:ind w:firstLine="560" w:firstLineChars="200"/>
        <w:rPr>
          <w:rFonts w:eastAsia="黑体"/>
          <w:bCs/>
          <w:sz w:val="28"/>
          <w:szCs w:val="28"/>
        </w:rPr>
      </w:pPr>
      <w:r>
        <w:rPr>
          <w:rFonts w:eastAsia="黑体"/>
          <w:bCs/>
          <w:sz w:val="28"/>
          <w:szCs w:val="28"/>
        </w:rPr>
        <w:t>十一、学位授予</w:t>
      </w:r>
    </w:p>
    <w:p w14:paraId="011F5370">
      <w:pPr>
        <w:spacing w:line="360" w:lineRule="auto"/>
        <w:ind w:firstLine="480" w:firstLineChars="200"/>
        <w:rPr>
          <w:rFonts w:eastAsiaTheme="minorEastAsia"/>
          <w:bCs/>
          <w:sz w:val="24"/>
        </w:rPr>
      </w:pPr>
      <w:r>
        <w:rPr>
          <w:rFonts w:eastAsiaTheme="minorEastAsia"/>
          <w:bCs/>
          <w:sz w:val="24"/>
        </w:rPr>
        <w:t>研究生通过毕业资格审查，满足本学院制定的创新性成果要求，符合《河北大学博士、硕士学位授予工作实施细则》（校政字〔2025〕7号）的有关规定，达到学校学位授予标准，经学校学位评定委员会审议，授予硕士学位。</w:t>
      </w:r>
    </w:p>
    <w:p w14:paraId="29D0A50A">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06510D9F">
      <w:pPr>
        <w:spacing w:line="360" w:lineRule="auto"/>
        <w:ind w:firstLine="480" w:firstLineChars="200"/>
        <w:rPr>
          <w:sz w:val="24"/>
        </w:rPr>
      </w:pPr>
      <w:r>
        <w:rPr>
          <w:rFonts w:eastAsiaTheme="minorEastAsia"/>
          <w:sz w:val="24"/>
        </w:rPr>
        <w:t>本专业最低毕业学分为</w:t>
      </w:r>
      <w:r>
        <w:rPr>
          <w:rFonts w:hint="eastAsia" w:eastAsiaTheme="minorEastAsia"/>
          <w:sz w:val="24"/>
          <w:lang w:val="en-US" w:eastAsia="zh-CN"/>
        </w:rPr>
        <w:t>29</w:t>
      </w:r>
      <w:r>
        <w:rPr>
          <w:rFonts w:eastAsiaTheme="minorEastAsia"/>
          <w:sz w:val="24"/>
        </w:rPr>
        <w:t>分，其中学位课</w:t>
      </w:r>
      <w:r>
        <w:rPr>
          <w:rFonts w:hint="eastAsia" w:eastAsiaTheme="minorEastAsia"/>
          <w:sz w:val="24"/>
          <w:lang w:val="en-US" w:eastAsia="zh-CN"/>
        </w:rPr>
        <w:t>17</w:t>
      </w:r>
      <w:r>
        <w:rPr>
          <w:rFonts w:eastAsiaTheme="minorEastAsia"/>
          <w:sz w:val="24"/>
        </w:rPr>
        <w:t>学分，非学位课</w:t>
      </w:r>
      <w:r>
        <w:rPr>
          <w:rFonts w:hint="eastAsia" w:eastAsiaTheme="minorEastAsia"/>
          <w:sz w:val="24"/>
          <w:lang w:val="en-US" w:eastAsia="zh-CN"/>
        </w:rPr>
        <w:t>8</w:t>
      </w:r>
      <w:r>
        <w:rPr>
          <w:rFonts w:eastAsiaTheme="minorEastAsia"/>
          <w:sz w:val="24"/>
        </w:rPr>
        <w:t>学分，必修环节</w:t>
      </w:r>
      <w:r>
        <w:rPr>
          <w:rFonts w:hint="eastAsia" w:eastAsiaTheme="minorEastAsia"/>
          <w:sz w:val="24"/>
          <w:lang w:val="en-US" w:eastAsia="zh-CN"/>
        </w:rPr>
        <w:t>4</w:t>
      </w:r>
      <w:r>
        <w:rPr>
          <w:rFonts w:eastAsiaTheme="minorEastAsia"/>
          <w:sz w:val="24"/>
        </w:rPr>
        <w:t>分。课程考试不设补考环节，</w:t>
      </w:r>
      <w:r>
        <w:rPr>
          <w:sz w:val="24"/>
        </w:rPr>
        <w:t>考试成绩低于60分的需重修。</w:t>
      </w:r>
    </w:p>
    <w:p w14:paraId="6E844C99">
      <w:pPr>
        <w:spacing w:line="360" w:lineRule="auto"/>
        <w:rPr>
          <w:rFonts w:eastAsiaTheme="minorEastAsia"/>
          <w:sz w:val="24"/>
        </w:rPr>
      </w:pPr>
      <w:r>
        <w:rPr>
          <w:i/>
          <w:sz w:val="24"/>
        </w:rPr>
        <w:t xml:space="preserve">  </w:t>
      </w:r>
      <w:r>
        <w:rPr>
          <w:iCs/>
          <w:sz w:val="24"/>
        </w:rPr>
        <w:t xml:space="preserve">  课程考核方式包括考试和考查，</w:t>
      </w:r>
      <w:r>
        <w:rPr>
          <w:rFonts w:eastAsiaTheme="minorEastAsia"/>
          <w:iCs/>
          <w:sz w:val="24"/>
        </w:rPr>
        <w:t>可以采用口试、笔试或写读书报告、论文的形式，但应有—定数量的笔试（各专业根据实际情况填写）。无论采取何种考核方式，均应能真实反映学生对所学课程掌握的程度及运用知识的能力</w:t>
      </w:r>
      <w:r>
        <w:rPr>
          <w:rFonts w:hint="eastAsia" w:eastAsiaTheme="minorEastAsia"/>
          <w:iCs/>
          <w:sz w:val="24"/>
        </w:rPr>
        <w:t>，</w:t>
      </w:r>
      <w:r>
        <w:rPr>
          <w:iCs/>
          <w:sz w:val="24"/>
        </w:rPr>
        <w:t>成绩均按百分制成绩评定。</w:t>
      </w:r>
    </w:p>
    <w:p w14:paraId="647B807E">
      <w:pPr>
        <w:spacing w:after="156" w:afterLines="50" w:line="440" w:lineRule="exact"/>
        <w:ind w:firstLine="482" w:firstLineChars="200"/>
        <w:jc w:val="center"/>
        <w:rPr>
          <w:rFonts w:eastAsiaTheme="minorEastAsia"/>
          <w:b/>
          <w:bCs/>
          <w:sz w:val="24"/>
        </w:rPr>
      </w:pPr>
      <w:r>
        <w:rPr>
          <w:rFonts w:hint="eastAsia" w:eastAsiaTheme="minorEastAsia"/>
          <w:b/>
          <w:bCs/>
          <w:sz w:val="24"/>
        </w:rPr>
        <w:t>数字经济</w:t>
      </w:r>
      <w:r>
        <w:rPr>
          <w:rFonts w:eastAsiaTheme="minorEastAsia"/>
          <w:b/>
          <w:bCs/>
          <w:sz w:val="24"/>
        </w:rPr>
        <w:t>专业全日制专业学位硕士研究生课程及培养环节设置一览表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79D62E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70FD45CD">
            <w:pPr>
              <w:jc w:val="center"/>
              <w:rPr>
                <w:b/>
                <w:szCs w:val="21"/>
              </w:rPr>
            </w:pPr>
            <w:r>
              <w:rPr>
                <w:b/>
                <w:szCs w:val="21"/>
              </w:rPr>
              <w:t>课程类别</w:t>
            </w:r>
          </w:p>
        </w:tc>
        <w:tc>
          <w:tcPr>
            <w:tcW w:w="3516" w:type="dxa"/>
            <w:vAlign w:val="center"/>
          </w:tcPr>
          <w:p w14:paraId="3F6BB61E">
            <w:pPr>
              <w:jc w:val="center"/>
              <w:rPr>
                <w:b/>
                <w:szCs w:val="21"/>
              </w:rPr>
            </w:pPr>
            <w:r>
              <w:rPr>
                <w:b/>
                <w:szCs w:val="21"/>
              </w:rPr>
              <w:t>课程说明</w:t>
            </w:r>
          </w:p>
        </w:tc>
        <w:tc>
          <w:tcPr>
            <w:tcW w:w="1081" w:type="dxa"/>
            <w:vAlign w:val="center"/>
          </w:tcPr>
          <w:p w14:paraId="2236856D">
            <w:pPr>
              <w:jc w:val="center"/>
              <w:rPr>
                <w:b/>
                <w:szCs w:val="21"/>
              </w:rPr>
            </w:pPr>
            <w:r>
              <w:rPr>
                <w:b/>
                <w:szCs w:val="21"/>
              </w:rPr>
              <w:t>课程编号</w:t>
            </w:r>
          </w:p>
        </w:tc>
        <w:tc>
          <w:tcPr>
            <w:tcW w:w="709" w:type="dxa"/>
            <w:vAlign w:val="center"/>
          </w:tcPr>
          <w:p w14:paraId="20A968FD">
            <w:pPr>
              <w:jc w:val="center"/>
              <w:rPr>
                <w:b/>
                <w:szCs w:val="21"/>
              </w:rPr>
            </w:pPr>
            <w:r>
              <w:rPr>
                <w:b/>
                <w:szCs w:val="21"/>
              </w:rPr>
              <w:t>学分</w:t>
            </w:r>
          </w:p>
        </w:tc>
        <w:tc>
          <w:tcPr>
            <w:tcW w:w="709" w:type="dxa"/>
            <w:vAlign w:val="center"/>
          </w:tcPr>
          <w:p w14:paraId="1E2D62D7">
            <w:pPr>
              <w:jc w:val="center"/>
              <w:rPr>
                <w:b/>
                <w:szCs w:val="21"/>
              </w:rPr>
            </w:pPr>
            <w:r>
              <w:rPr>
                <w:b/>
                <w:szCs w:val="21"/>
              </w:rPr>
              <w:t>学期</w:t>
            </w:r>
          </w:p>
        </w:tc>
        <w:tc>
          <w:tcPr>
            <w:tcW w:w="1045" w:type="dxa"/>
            <w:vAlign w:val="center"/>
          </w:tcPr>
          <w:p w14:paraId="4E359D09">
            <w:pPr>
              <w:jc w:val="center"/>
              <w:rPr>
                <w:b/>
                <w:szCs w:val="21"/>
              </w:rPr>
            </w:pPr>
            <w:r>
              <w:rPr>
                <w:b/>
                <w:szCs w:val="21"/>
              </w:rPr>
              <w:t>备注</w:t>
            </w:r>
          </w:p>
        </w:tc>
      </w:tr>
      <w:tr w14:paraId="04091A9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28BBE7A4">
            <w:pPr>
              <w:jc w:val="center"/>
              <w:rPr>
                <w:b/>
                <w:sz w:val="18"/>
                <w:szCs w:val="18"/>
              </w:rPr>
            </w:pPr>
            <w:r>
              <w:rPr>
                <w:b/>
                <w:sz w:val="18"/>
                <w:szCs w:val="18"/>
              </w:rPr>
              <w:t>学位课</w:t>
            </w:r>
          </w:p>
        </w:tc>
        <w:tc>
          <w:tcPr>
            <w:tcW w:w="1226" w:type="dxa"/>
            <w:vMerge w:val="restart"/>
            <w:vAlign w:val="center"/>
          </w:tcPr>
          <w:p w14:paraId="4BB24F20">
            <w:pPr>
              <w:jc w:val="center"/>
              <w:rPr>
                <w:b/>
                <w:sz w:val="18"/>
                <w:szCs w:val="18"/>
              </w:rPr>
            </w:pPr>
            <w:r>
              <w:rPr>
                <w:b/>
                <w:sz w:val="18"/>
                <w:szCs w:val="18"/>
              </w:rPr>
              <w:t>公共必修课</w:t>
            </w:r>
          </w:p>
          <w:p w14:paraId="12926295">
            <w:pPr>
              <w:jc w:val="center"/>
              <w:rPr>
                <w:b/>
                <w:sz w:val="18"/>
                <w:szCs w:val="18"/>
              </w:rPr>
            </w:pPr>
            <w:r>
              <w:rPr>
                <w:b/>
                <w:sz w:val="18"/>
                <w:szCs w:val="18"/>
              </w:rPr>
              <w:t>（</w:t>
            </w:r>
            <w:r>
              <w:rPr>
                <w:rFonts w:hint="eastAsia"/>
                <w:b/>
                <w:sz w:val="18"/>
                <w:szCs w:val="18"/>
              </w:rPr>
              <w:t>4</w:t>
            </w:r>
            <w:r>
              <w:rPr>
                <w:b/>
                <w:sz w:val="18"/>
                <w:szCs w:val="18"/>
              </w:rPr>
              <w:t>学分）</w:t>
            </w:r>
          </w:p>
        </w:tc>
        <w:tc>
          <w:tcPr>
            <w:tcW w:w="3516" w:type="dxa"/>
            <w:vAlign w:val="center"/>
          </w:tcPr>
          <w:p w14:paraId="14DCAD72">
            <w:pPr>
              <w:rPr>
                <w:sz w:val="18"/>
                <w:szCs w:val="18"/>
              </w:rPr>
            </w:pPr>
            <w:r>
              <w:rPr>
                <w:sz w:val="18"/>
                <w:szCs w:val="18"/>
              </w:rPr>
              <w:t>新时代中国特色社会主义理论与实践</w:t>
            </w:r>
          </w:p>
        </w:tc>
        <w:tc>
          <w:tcPr>
            <w:tcW w:w="1081" w:type="dxa"/>
            <w:vAlign w:val="center"/>
          </w:tcPr>
          <w:p w14:paraId="70F6B48B">
            <w:pPr>
              <w:jc w:val="center"/>
              <w:rPr>
                <w:sz w:val="18"/>
                <w:szCs w:val="18"/>
              </w:rPr>
            </w:pPr>
            <w:r>
              <w:rPr>
                <w:sz w:val="18"/>
                <w:szCs w:val="18"/>
              </w:rPr>
              <w:t>TS0000001</w:t>
            </w:r>
          </w:p>
        </w:tc>
        <w:tc>
          <w:tcPr>
            <w:tcW w:w="709" w:type="dxa"/>
            <w:vAlign w:val="center"/>
          </w:tcPr>
          <w:p w14:paraId="4379394C">
            <w:pPr>
              <w:jc w:val="center"/>
              <w:rPr>
                <w:sz w:val="18"/>
                <w:szCs w:val="18"/>
              </w:rPr>
            </w:pPr>
            <w:r>
              <w:rPr>
                <w:sz w:val="18"/>
                <w:szCs w:val="18"/>
              </w:rPr>
              <w:t>2</w:t>
            </w:r>
          </w:p>
        </w:tc>
        <w:tc>
          <w:tcPr>
            <w:tcW w:w="709" w:type="dxa"/>
            <w:vAlign w:val="center"/>
          </w:tcPr>
          <w:p w14:paraId="1C97FBBE">
            <w:pPr>
              <w:jc w:val="center"/>
              <w:rPr>
                <w:sz w:val="18"/>
                <w:szCs w:val="18"/>
              </w:rPr>
            </w:pPr>
            <w:r>
              <w:rPr>
                <w:sz w:val="18"/>
                <w:szCs w:val="18"/>
              </w:rPr>
              <w:t>1</w:t>
            </w:r>
          </w:p>
        </w:tc>
        <w:tc>
          <w:tcPr>
            <w:tcW w:w="1045" w:type="dxa"/>
            <w:vAlign w:val="center"/>
          </w:tcPr>
          <w:p w14:paraId="0DA1676B">
            <w:pPr>
              <w:jc w:val="center"/>
              <w:rPr>
                <w:sz w:val="18"/>
                <w:szCs w:val="18"/>
              </w:rPr>
            </w:pPr>
            <w:r>
              <w:rPr>
                <w:rFonts w:hint="eastAsia"/>
                <w:sz w:val="18"/>
                <w:szCs w:val="18"/>
              </w:rPr>
              <w:t>考查</w:t>
            </w:r>
          </w:p>
        </w:tc>
      </w:tr>
      <w:tr w14:paraId="473EE5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6C4EA8FD">
            <w:pPr>
              <w:jc w:val="center"/>
              <w:rPr>
                <w:b/>
                <w:sz w:val="18"/>
                <w:szCs w:val="18"/>
              </w:rPr>
            </w:pPr>
          </w:p>
        </w:tc>
        <w:tc>
          <w:tcPr>
            <w:tcW w:w="1226" w:type="dxa"/>
            <w:vMerge w:val="continue"/>
            <w:vAlign w:val="center"/>
          </w:tcPr>
          <w:p w14:paraId="20B5D558">
            <w:pPr>
              <w:jc w:val="center"/>
              <w:rPr>
                <w:b/>
                <w:sz w:val="18"/>
                <w:szCs w:val="18"/>
              </w:rPr>
            </w:pPr>
          </w:p>
        </w:tc>
        <w:tc>
          <w:tcPr>
            <w:tcW w:w="3516" w:type="dxa"/>
            <w:vAlign w:val="center"/>
          </w:tcPr>
          <w:p w14:paraId="7AC645F1">
            <w:pPr>
              <w:rPr>
                <w:sz w:val="18"/>
                <w:szCs w:val="18"/>
              </w:rPr>
            </w:pPr>
            <w:r>
              <w:rPr>
                <w:sz w:val="18"/>
                <w:szCs w:val="18"/>
              </w:rPr>
              <w:t>通用学术英语</w:t>
            </w:r>
          </w:p>
        </w:tc>
        <w:tc>
          <w:tcPr>
            <w:tcW w:w="1081" w:type="dxa"/>
            <w:vAlign w:val="center"/>
          </w:tcPr>
          <w:p w14:paraId="23761880">
            <w:pPr>
              <w:jc w:val="center"/>
              <w:rPr>
                <w:sz w:val="18"/>
                <w:szCs w:val="18"/>
              </w:rPr>
            </w:pPr>
            <w:r>
              <w:rPr>
                <w:sz w:val="18"/>
                <w:szCs w:val="18"/>
              </w:rPr>
              <w:t>TS0000002</w:t>
            </w:r>
          </w:p>
        </w:tc>
        <w:tc>
          <w:tcPr>
            <w:tcW w:w="709" w:type="dxa"/>
            <w:vAlign w:val="center"/>
          </w:tcPr>
          <w:p w14:paraId="0496BA59">
            <w:pPr>
              <w:jc w:val="center"/>
              <w:rPr>
                <w:rFonts w:hint="eastAsia"/>
                <w:sz w:val="18"/>
                <w:szCs w:val="18"/>
                <w:lang w:val="en-US" w:eastAsia="zh-CN"/>
              </w:rPr>
            </w:pPr>
            <w:r>
              <w:rPr>
                <w:rFonts w:hint="eastAsia"/>
                <w:sz w:val="18"/>
                <w:szCs w:val="18"/>
                <w:lang w:val="en-US" w:eastAsia="zh-CN"/>
              </w:rPr>
              <w:t>2</w:t>
            </w:r>
          </w:p>
        </w:tc>
        <w:tc>
          <w:tcPr>
            <w:tcW w:w="709" w:type="dxa"/>
            <w:vAlign w:val="center"/>
          </w:tcPr>
          <w:p w14:paraId="2577A5A0">
            <w:pPr>
              <w:jc w:val="center"/>
              <w:rPr>
                <w:rFonts w:hint="eastAsia"/>
                <w:sz w:val="18"/>
                <w:szCs w:val="18"/>
                <w:lang w:val="en-US" w:eastAsia="zh-CN"/>
              </w:rPr>
            </w:pPr>
            <w:r>
              <w:rPr>
                <w:rFonts w:hint="eastAsia"/>
                <w:sz w:val="18"/>
                <w:szCs w:val="18"/>
                <w:lang w:val="en-US" w:eastAsia="zh-CN"/>
              </w:rPr>
              <w:t>1</w:t>
            </w:r>
          </w:p>
        </w:tc>
        <w:tc>
          <w:tcPr>
            <w:tcW w:w="1045" w:type="dxa"/>
            <w:vAlign w:val="center"/>
          </w:tcPr>
          <w:p w14:paraId="7A19B4ED">
            <w:pPr>
              <w:jc w:val="center"/>
              <w:rPr>
                <w:sz w:val="18"/>
                <w:szCs w:val="18"/>
              </w:rPr>
            </w:pPr>
            <w:r>
              <w:rPr>
                <w:rFonts w:hint="eastAsia"/>
                <w:sz w:val="18"/>
                <w:szCs w:val="18"/>
              </w:rPr>
              <w:t>考查</w:t>
            </w:r>
          </w:p>
        </w:tc>
      </w:tr>
      <w:tr w14:paraId="25E721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vAlign w:val="center"/>
          </w:tcPr>
          <w:p w14:paraId="52E70934">
            <w:pPr>
              <w:jc w:val="center"/>
              <w:rPr>
                <w:b/>
                <w:sz w:val="18"/>
                <w:szCs w:val="18"/>
              </w:rPr>
            </w:pPr>
          </w:p>
        </w:tc>
        <w:tc>
          <w:tcPr>
            <w:tcW w:w="1226" w:type="dxa"/>
            <w:vMerge w:val="restart"/>
            <w:vAlign w:val="center"/>
          </w:tcPr>
          <w:p w14:paraId="04590109">
            <w:pPr>
              <w:jc w:val="center"/>
              <w:rPr>
                <w:b/>
                <w:sz w:val="18"/>
                <w:szCs w:val="18"/>
              </w:rPr>
            </w:pPr>
            <w:r>
              <w:rPr>
                <w:b/>
                <w:sz w:val="18"/>
                <w:szCs w:val="18"/>
              </w:rPr>
              <w:t>学科基础课</w:t>
            </w:r>
          </w:p>
          <w:p w14:paraId="65897462">
            <w:pPr>
              <w:jc w:val="center"/>
              <w:rPr>
                <w:b/>
                <w:sz w:val="18"/>
                <w:szCs w:val="18"/>
              </w:rPr>
            </w:pPr>
            <w:r>
              <w:rPr>
                <w:b/>
                <w:sz w:val="18"/>
                <w:szCs w:val="18"/>
              </w:rPr>
              <w:t>（</w:t>
            </w:r>
            <w:r>
              <w:rPr>
                <w:rFonts w:hint="eastAsia"/>
                <w:b/>
                <w:sz w:val="18"/>
                <w:szCs w:val="18"/>
                <w:lang w:val="en-US" w:eastAsia="zh-CN"/>
              </w:rPr>
              <w:t>7</w:t>
            </w:r>
            <w:r>
              <w:rPr>
                <w:b/>
                <w:sz w:val="18"/>
                <w:szCs w:val="18"/>
              </w:rPr>
              <w:t>学分）</w:t>
            </w:r>
          </w:p>
        </w:tc>
        <w:tc>
          <w:tcPr>
            <w:tcW w:w="3516" w:type="dxa"/>
            <w:vAlign w:val="center"/>
          </w:tcPr>
          <w:p w14:paraId="6542C3B1">
            <w:pPr>
              <w:rPr>
                <w:sz w:val="18"/>
                <w:szCs w:val="18"/>
              </w:rPr>
            </w:pPr>
            <w:r>
              <w:rPr>
                <w:sz w:val="18"/>
                <w:szCs w:val="18"/>
              </w:rPr>
              <w:t>学术道德与论文写作</w:t>
            </w:r>
          </w:p>
        </w:tc>
        <w:tc>
          <w:tcPr>
            <w:tcW w:w="1081" w:type="dxa"/>
          </w:tcPr>
          <w:p w14:paraId="4D5A5350">
            <w:pPr>
              <w:jc w:val="center"/>
              <w:rPr>
                <w:iCs/>
                <w:sz w:val="18"/>
                <w:szCs w:val="18"/>
              </w:rPr>
            </w:pPr>
            <w:r>
              <w:rPr>
                <w:rFonts w:hint="eastAsia"/>
                <w:sz w:val="18"/>
                <w:szCs w:val="18"/>
              </w:rPr>
              <w:t>ZS0323001</w:t>
            </w:r>
          </w:p>
        </w:tc>
        <w:tc>
          <w:tcPr>
            <w:tcW w:w="709" w:type="dxa"/>
            <w:vAlign w:val="center"/>
          </w:tcPr>
          <w:p w14:paraId="1D3B0120">
            <w:pPr>
              <w:jc w:val="center"/>
              <w:rPr>
                <w:rFonts w:hint="eastAsia"/>
                <w:sz w:val="18"/>
                <w:szCs w:val="18"/>
                <w:lang w:val="en-US" w:eastAsia="zh-CN"/>
              </w:rPr>
            </w:pPr>
            <w:r>
              <w:rPr>
                <w:rFonts w:hint="eastAsia"/>
                <w:sz w:val="18"/>
                <w:szCs w:val="18"/>
                <w:lang w:val="en-US" w:eastAsia="zh-CN"/>
              </w:rPr>
              <w:t>1</w:t>
            </w:r>
          </w:p>
        </w:tc>
        <w:tc>
          <w:tcPr>
            <w:tcW w:w="709" w:type="dxa"/>
            <w:vAlign w:val="center"/>
          </w:tcPr>
          <w:p w14:paraId="7BA6F307">
            <w:pPr>
              <w:jc w:val="center"/>
              <w:rPr>
                <w:rFonts w:hint="eastAsia"/>
                <w:sz w:val="18"/>
                <w:szCs w:val="18"/>
                <w:lang w:val="en-US" w:eastAsia="zh-CN"/>
              </w:rPr>
            </w:pPr>
            <w:r>
              <w:rPr>
                <w:rFonts w:hint="eastAsia"/>
                <w:sz w:val="18"/>
                <w:szCs w:val="18"/>
                <w:lang w:val="en-US" w:eastAsia="zh-CN"/>
              </w:rPr>
              <w:t>1</w:t>
            </w:r>
          </w:p>
        </w:tc>
        <w:tc>
          <w:tcPr>
            <w:tcW w:w="1045" w:type="dxa"/>
          </w:tcPr>
          <w:p w14:paraId="4EC63B8B">
            <w:pPr>
              <w:jc w:val="center"/>
              <w:rPr>
                <w:iCs/>
                <w:sz w:val="18"/>
                <w:szCs w:val="18"/>
              </w:rPr>
            </w:pPr>
            <w:r>
              <w:rPr>
                <w:rFonts w:hint="eastAsia"/>
                <w:sz w:val="18"/>
                <w:szCs w:val="18"/>
              </w:rPr>
              <w:t>考查</w:t>
            </w:r>
          </w:p>
        </w:tc>
      </w:tr>
      <w:tr w14:paraId="6EB314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D258822">
            <w:pPr>
              <w:jc w:val="center"/>
              <w:rPr>
                <w:b/>
                <w:sz w:val="18"/>
                <w:szCs w:val="18"/>
              </w:rPr>
            </w:pPr>
          </w:p>
        </w:tc>
        <w:tc>
          <w:tcPr>
            <w:tcW w:w="1226" w:type="dxa"/>
            <w:vMerge w:val="continue"/>
            <w:vAlign w:val="center"/>
          </w:tcPr>
          <w:p w14:paraId="4CB44217">
            <w:pPr>
              <w:jc w:val="center"/>
              <w:rPr>
                <w:b/>
                <w:sz w:val="18"/>
                <w:szCs w:val="18"/>
              </w:rPr>
            </w:pPr>
          </w:p>
        </w:tc>
        <w:tc>
          <w:tcPr>
            <w:tcW w:w="3516" w:type="dxa"/>
            <w:vAlign w:val="center"/>
          </w:tcPr>
          <w:p w14:paraId="41B3BA8C">
            <w:pPr>
              <w:adjustRightInd w:val="0"/>
              <w:snapToGrid w:val="0"/>
              <w:rPr>
                <w:rFonts w:hint="eastAsia"/>
                <w:sz w:val="18"/>
                <w:szCs w:val="18"/>
              </w:rPr>
            </w:pPr>
            <w:r>
              <w:rPr>
                <w:rFonts w:hint="eastAsia"/>
                <w:sz w:val="18"/>
                <w:szCs w:val="18"/>
              </w:rPr>
              <w:t>计量经济学</w:t>
            </w:r>
          </w:p>
        </w:tc>
        <w:tc>
          <w:tcPr>
            <w:tcW w:w="1081" w:type="dxa"/>
            <w:vAlign w:val="top"/>
          </w:tcPr>
          <w:p w14:paraId="30402212">
            <w:pPr>
              <w:jc w:val="center"/>
              <w:rPr>
                <w:rFonts w:hint="eastAsia" w:eastAsia="宋体"/>
                <w:sz w:val="18"/>
                <w:szCs w:val="18"/>
                <w:lang w:val="en-US" w:eastAsia="zh-CN"/>
              </w:rPr>
            </w:pPr>
            <w:r>
              <w:rPr>
                <w:rFonts w:hint="eastAsia"/>
                <w:sz w:val="18"/>
                <w:szCs w:val="18"/>
              </w:rPr>
              <w:t>ZS032300</w:t>
            </w:r>
            <w:r>
              <w:rPr>
                <w:rFonts w:hint="eastAsia"/>
                <w:sz w:val="18"/>
                <w:szCs w:val="18"/>
                <w:lang w:val="en-US" w:eastAsia="zh-CN"/>
              </w:rPr>
              <w:t>2</w:t>
            </w:r>
          </w:p>
        </w:tc>
        <w:tc>
          <w:tcPr>
            <w:tcW w:w="709" w:type="dxa"/>
            <w:vAlign w:val="center"/>
          </w:tcPr>
          <w:p w14:paraId="1E994D3B">
            <w:pPr>
              <w:jc w:val="center"/>
              <w:rPr>
                <w:rFonts w:hint="eastAsia"/>
                <w:sz w:val="18"/>
                <w:szCs w:val="18"/>
                <w:lang w:val="en-US" w:eastAsia="zh-CN"/>
              </w:rPr>
            </w:pPr>
            <w:r>
              <w:rPr>
                <w:rFonts w:hint="eastAsia"/>
                <w:sz w:val="18"/>
                <w:szCs w:val="18"/>
                <w:lang w:val="en-US" w:eastAsia="zh-CN"/>
              </w:rPr>
              <w:t>2</w:t>
            </w:r>
          </w:p>
        </w:tc>
        <w:tc>
          <w:tcPr>
            <w:tcW w:w="709" w:type="dxa"/>
            <w:vAlign w:val="center"/>
          </w:tcPr>
          <w:p w14:paraId="63122E9E">
            <w:pPr>
              <w:jc w:val="center"/>
              <w:rPr>
                <w:rFonts w:hint="eastAsia"/>
                <w:sz w:val="18"/>
                <w:szCs w:val="18"/>
                <w:lang w:val="en-US" w:eastAsia="zh-CN"/>
              </w:rPr>
            </w:pPr>
            <w:r>
              <w:rPr>
                <w:rFonts w:hint="eastAsia"/>
                <w:sz w:val="18"/>
                <w:szCs w:val="18"/>
                <w:lang w:val="en-US" w:eastAsia="zh-CN"/>
              </w:rPr>
              <w:t>1</w:t>
            </w:r>
          </w:p>
        </w:tc>
        <w:tc>
          <w:tcPr>
            <w:tcW w:w="1045" w:type="dxa"/>
            <w:vAlign w:val="top"/>
          </w:tcPr>
          <w:p w14:paraId="5EC485C5">
            <w:pPr>
              <w:jc w:val="center"/>
              <w:rPr>
                <w:rFonts w:hint="eastAsia"/>
                <w:sz w:val="18"/>
                <w:szCs w:val="18"/>
              </w:rPr>
            </w:pPr>
            <w:r>
              <w:rPr>
                <w:rFonts w:hint="eastAsia"/>
                <w:sz w:val="18"/>
                <w:szCs w:val="18"/>
              </w:rPr>
              <w:t>考查</w:t>
            </w:r>
          </w:p>
        </w:tc>
      </w:tr>
      <w:tr w14:paraId="2E5B387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2316B98">
            <w:pPr>
              <w:jc w:val="center"/>
              <w:rPr>
                <w:b/>
                <w:sz w:val="18"/>
                <w:szCs w:val="18"/>
              </w:rPr>
            </w:pPr>
          </w:p>
        </w:tc>
        <w:tc>
          <w:tcPr>
            <w:tcW w:w="1226" w:type="dxa"/>
            <w:vMerge w:val="continue"/>
            <w:vAlign w:val="center"/>
          </w:tcPr>
          <w:p w14:paraId="3F8CB51A">
            <w:pPr>
              <w:jc w:val="center"/>
              <w:rPr>
                <w:b/>
                <w:sz w:val="18"/>
                <w:szCs w:val="18"/>
              </w:rPr>
            </w:pPr>
          </w:p>
        </w:tc>
        <w:tc>
          <w:tcPr>
            <w:tcW w:w="3516" w:type="dxa"/>
            <w:vAlign w:val="center"/>
          </w:tcPr>
          <w:p w14:paraId="60626822">
            <w:pPr>
              <w:adjustRightInd w:val="0"/>
              <w:snapToGrid w:val="0"/>
              <w:rPr>
                <w:rFonts w:hint="default" w:eastAsia="宋体"/>
                <w:sz w:val="18"/>
                <w:szCs w:val="18"/>
                <w:lang w:val="en-US" w:eastAsia="zh-CN"/>
              </w:rPr>
            </w:pPr>
            <w:r>
              <w:rPr>
                <w:rFonts w:hint="eastAsia"/>
                <w:sz w:val="18"/>
                <w:szCs w:val="18"/>
                <w:lang w:val="en-US" w:eastAsia="zh-CN"/>
              </w:rPr>
              <w:t>中级微观经济学</w:t>
            </w:r>
          </w:p>
        </w:tc>
        <w:tc>
          <w:tcPr>
            <w:tcW w:w="1081" w:type="dxa"/>
            <w:vAlign w:val="top"/>
          </w:tcPr>
          <w:p w14:paraId="648E57A8">
            <w:pPr>
              <w:jc w:val="center"/>
              <w:rPr>
                <w:rFonts w:hint="eastAsia"/>
                <w:sz w:val="18"/>
                <w:szCs w:val="18"/>
              </w:rPr>
            </w:pPr>
            <w:r>
              <w:rPr>
                <w:rFonts w:hint="eastAsia"/>
                <w:sz w:val="18"/>
                <w:szCs w:val="18"/>
              </w:rPr>
              <w:t>ZS032300</w:t>
            </w:r>
            <w:r>
              <w:rPr>
                <w:rFonts w:hint="eastAsia"/>
                <w:sz w:val="18"/>
                <w:szCs w:val="18"/>
                <w:lang w:val="en-US" w:eastAsia="zh-CN"/>
              </w:rPr>
              <w:t>3</w:t>
            </w:r>
          </w:p>
        </w:tc>
        <w:tc>
          <w:tcPr>
            <w:tcW w:w="709" w:type="dxa"/>
            <w:vAlign w:val="center"/>
          </w:tcPr>
          <w:p w14:paraId="3F4F17A3">
            <w:pPr>
              <w:jc w:val="center"/>
              <w:rPr>
                <w:rFonts w:hint="eastAsia"/>
                <w:sz w:val="18"/>
                <w:szCs w:val="18"/>
                <w:lang w:val="en-US" w:eastAsia="zh-CN"/>
              </w:rPr>
            </w:pPr>
            <w:r>
              <w:rPr>
                <w:rFonts w:hint="eastAsia"/>
                <w:sz w:val="18"/>
                <w:szCs w:val="18"/>
                <w:lang w:val="en-US" w:eastAsia="zh-CN"/>
              </w:rPr>
              <w:t>2</w:t>
            </w:r>
          </w:p>
        </w:tc>
        <w:tc>
          <w:tcPr>
            <w:tcW w:w="709" w:type="dxa"/>
            <w:vAlign w:val="center"/>
          </w:tcPr>
          <w:p w14:paraId="6C5AC231">
            <w:pPr>
              <w:jc w:val="center"/>
              <w:rPr>
                <w:rFonts w:hint="eastAsia"/>
                <w:sz w:val="18"/>
                <w:szCs w:val="18"/>
                <w:lang w:val="en-US" w:eastAsia="zh-CN"/>
              </w:rPr>
            </w:pPr>
            <w:r>
              <w:rPr>
                <w:rFonts w:hint="eastAsia"/>
                <w:sz w:val="18"/>
                <w:szCs w:val="18"/>
                <w:lang w:val="en-US" w:eastAsia="zh-CN"/>
              </w:rPr>
              <w:t>1</w:t>
            </w:r>
          </w:p>
        </w:tc>
        <w:tc>
          <w:tcPr>
            <w:tcW w:w="1045" w:type="dxa"/>
            <w:vAlign w:val="top"/>
          </w:tcPr>
          <w:p w14:paraId="64789D55">
            <w:pPr>
              <w:jc w:val="center"/>
              <w:rPr>
                <w:rFonts w:hint="eastAsia"/>
                <w:sz w:val="18"/>
                <w:szCs w:val="18"/>
              </w:rPr>
            </w:pPr>
            <w:r>
              <w:rPr>
                <w:rFonts w:hint="eastAsia"/>
                <w:sz w:val="18"/>
                <w:szCs w:val="18"/>
              </w:rPr>
              <w:t>考查</w:t>
            </w:r>
            <w:bookmarkStart w:id="4" w:name="_GoBack"/>
            <w:bookmarkEnd w:id="4"/>
          </w:p>
        </w:tc>
      </w:tr>
      <w:tr w14:paraId="101D48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vAlign w:val="center"/>
          </w:tcPr>
          <w:p w14:paraId="2BB10782">
            <w:pPr>
              <w:jc w:val="center"/>
              <w:rPr>
                <w:b/>
                <w:sz w:val="18"/>
                <w:szCs w:val="18"/>
              </w:rPr>
            </w:pPr>
          </w:p>
        </w:tc>
        <w:tc>
          <w:tcPr>
            <w:tcW w:w="1226" w:type="dxa"/>
            <w:vMerge w:val="continue"/>
            <w:vAlign w:val="center"/>
          </w:tcPr>
          <w:p w14:paraId="2F6465A5">
            <w:pPr>
              <w:jc w:val="center"/>
              <w:rPr>
                <w:b/>
                <w:sz w:val="18"/>
                <w:szCs w:val="18"/>
              </w:rPr>
            </w:pPr>
          </w:p>
        </w:tc>
        <w:tc>
          <w:tcPr>
            <w:tcW w:w="3516" w:type="dxa"/>
            <w:vAlign w:val="center"/>
          </w:tcPr>
          <w:p w14:paraId="399C2742">
            <w:pPr>
              <w:adjustRightInd w:val="0"/>
              <w:snapToGrid w:val="0"/>
              <w:rPr>
                <w:rFonts w:hint="default" w:eastAsia="宋体"/>
                <w:sz w:val="18"/>
                <w:szCs w:val="18"/>
                <w:lang w:val="en-US" w:eastAsia="zh-CN"/>
              </w:rPr>
            </w:pPr>
            <w:r>
              <w:rPr>
                <w:rFonts w:hint="eastAsia"/>
                <w:sz w:val="18"/>
                <w:szCs w:val="18"/>
                <w:lang w:val="en-US" w:eastAsia="zh-CN"/>
              </w:rPr>
              <w:t>中级宏观经济学</w:t>
            </w:r>
          </w:p>
        </w:tc>
        <w:tc>
          <w:tcPr>
            <w:tcW w:w="1081" w:type="dxa"/>
          </w:tcPr>
          <w:p w14:paraId="369AF149">
            <w:pPr>
              <w:jc w:val="center"/>
              <w:rPr>
                <w:rFonts w:hint="eastAsia" w:eastAsia="宋体"/>
                <w:iCs/>
                <w:sz w:val="18"/>
                <w:szCs w:val="18"/>
                <w:lang w:val="en-US" w:eastAsia="zh-CN"/>
              </w:rPr>
            </w:pPr>
            <w:r>
              <w:rPr>
                <w:rFonts w:hint="eastAsia"/>
                <w:sz w:val="18"/>
                <w:szCs w:val="18"/>
              </w:rPr>
              <w:t>ZS032300</w:t>
            </w:r>
            <w:r>
              <w:rPr>
                <w:rFonts w:hint="eastAsia"/>
                <w:sz w:val="18"/>
                <w:szCs w:val="18"/>
                <w:lang w:val="en-US" w:eastAsia="zh-CN"/>
              </w:rPr>
              <w:t>4</w:t>
            </w:r>
          </w:p>
        </w:tc>
        <w:tc>
          <w:tcPr>
            <w:tcW w:w="709" w:type="dxa"/>
            <w:vAlign w:val="center"/>
          </w:tcPr>
          <w:p w14:paraId="71273CFB">
            <w:pPr>
              <w:jc w:val="center"/>
              <w:rPr>
                <w:rFonts w:hint="eastAsia"/>
                <w:sz w:val="18"/>
                <w:szCs w:val="18"/>
                <w:lang w:val="en-US" w:eastAsia="zh-CN"/>
              </w:rPr>
            </w:pPr>
            <w:r>
              <w:rPr>
                <w:rFonts w:hint="eastAsia"/>
                <w:sz w:val="18"/>
                <w:szCs w:val="18"/>
                <w:lang w:val="en-US" w:eastAsia="zh-CN"/>
              </w:rPr>
              <w:t>2</w:t>
            </w:r>
          </w:p>
        </w:tc>
        <w:tc>
          <w:tcPr>
            <w:tcW w:w="709" w:type="dxa"/>
            <w:vAlign w:val="center"/>
          </w:tcPr>
          <w:p w14:paraId="095B639F">
            <w:pPr>
              <w:jc w:val="center"/>
              <w:rPr>
                <w:rFonts w:hint="eastAsia"/>
                <w:sz w:val="18"/>
                <w:szCs w:val="18"/>
                <w:lang w:val="en-US" w:eastAsia="zh-CN"/>
              </w:rPr>
            </w:pPr>
            <w:r>
              <w:rPr>
                <w:rFonts w:hint="eastAsia"/>
                <w:sz w:val="18"/>
                <w:szCs w:val="18"/>
                <w:lang w:val="en-US" w:eastAsia="zh-CN"/>
              </w:rPr>
              <w:t>2</w:t>
            </w:r>
          </w:p>
        </w:tc>
        <w:tc>
          <w:tcPr>
            <w:tcW w:w="1045" w:type="dxa"/>
          </w:tcPr>
          <w:p w14:paraId="120976BF">
            <w:pPr>
              <w:jc w:val="center"/>
              <w:rPr>
                <w:iCs/>
                <w:sz w:val="18"/>
                <w:szCs w:val="18"/>
              </w:rPr>
            </w:pPr>
            <w:r>
              <w:rPr>
                <w:rFonts w:hint="eastAsia"/>
                <w:sz w:val="18"/>
                <w:szCs w:val="18"/>
              </w:rPr>
              <w:t>考查</w:t>
            </w:r>
          </w:p>
        </w:tc>
      </w:tr>
      <w:tr w14:paraId="048534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vAlign w:val="center"/>
          </w:tcPr>
          <w:p w14:paraId="4E7D56B4">
            <w:pPr>
              <w:jc w:val="center"/>
              <w:rPr>
                <w:b/>
                <w:sz w:val="18"/>
                <w:szCs w:val="18"/>
              </w:rPr>
            </w:pPr>
          </w:p>
        </w:tc>
        <w:tc>
          <w:tcPr>
            <w:tcW w:w="1226" w:type="dxa"/>
            <w:vMerge w:val="restart"/>
            <w:vAlign w:val="center"/>
          </w:tcPr>
          <w:p w14:paraId="39740684">
            <w:pPr>
              <w:jc w:val="center"/>
              <w:rPr>
                <w:b/>
                <w:sz w:val="18"/>
                <w:szCs w:val="18"/>
              </w:rPr>
            </w:pPr>
            <w:r>
              <w:rPr>
                <w:b/>
                <w:sz w:val="18"/>
                <w:szCs w:val="18"/>
              </w:rPr>
              <w:t>专业必修课</w:t>
            </w:r>
          </w:p>
          <w:p w14:paraId="332AC89A">
            <w:pPr>
              <w:jc w:val="center"/>
              <w:rPr>
                <w:b/>
                <w:sz w:val="18"/>
                <w:szCs w:val="18"/>
              </w:rPr>
            </w:pPr>
            <w:r>
              <w:rPr>
                <w:b/>
                <w:sz w:val="18"/>
                <w:szCs w:val="18"/>
              </w:rPr>
              <w:t>（</w:t>
            </w:r>
            <w:r>
              <w:rPr>
                <w:rFonts w:hint="eastAsia"/>
                <w:b/>
                <w:sz w:val="18"/>
                <w:szCs w:val="18"/>
                <w:lang w:val="en-US" w:eastAsia="zh-CN"/>
              </w:rPr>
              <w:t>6</w:t>
            </w:r>
            <w:r>
              <w:rPr>
                <w:b/>
                <w:sz w:val="18"/>
                <w:szCs w:val="18"/>
              </w:rPr>
              <w:t>学分）</w:t>
            </w:r>
          </w:p>
        </w:tc>
        <w:tc>
          <w:tcPr>
            <w:tcW w:w="3516" w:type="dxa"/>
            <w:vAlign w:val="center"/>
          </w:tcPr>
          <w:p w14:paraId="0B5E7CD6">
            <w:r>
              <w:rPr>
                <w:rFonts w:hint="eastAsia"/>
                <w:sz w:val="18"/>
                <w:szCs w:val="18"/>
                <w:lang w:val="en-US" w:eastAsia="zh-CN"/>
              </w:rPr>
              <w:t>数字经济学概论</w:t>
            </w:r>
          </w:p>
        </w:tc>
        <w:tc>
          <w:tcPr>
            <w:tcW w:w="1081" w:type="dxa"/>
            <w:vAlign w:val="center"/>
          </w:tcPr>
          <w:p w14:paraId="42E7DCC2">
            <w:pPr>
              <w:jc w:val="center"/>
              <w:rPr>
                <w:rFonts w:hint="eastAsia" w:eastAsia="宋体"/>
                <w:sz w:val="18"/>
                <w:szCs w:val="18"/>
                <w:lang w:val="en-US" w:eastAsia="zh-CN"/>
              </w:rPr>
            </w:pPr>
            <w:r>
              <w:rPr>
                <w:rFonts w:hint="eastAsia"/>
                <w:sz w:val="18"/>
                <w:szCs w:val="18"/>
              </w:rPr>
              <w:t>ZS032300</w:t>
            </w:r>
            <w:r>
              <w:rPr>
                <w:rFonts w:hint="eastAsia"/>
                <w:sz w:val="18"/>
                <w:szCs w:val="18"/>
                <w:lang w:val="en-US" w:eastAsia="zh-CN"/>
              </w:rPr>
              <w:t>5</w:t>
            </w:r>
          </w:p>
        </w:tc>
        <w:tc>
          <w:tcPr>
            <w:tcW w:w="709" w:type="dxa"/>
            <w:vAlign w:val="center"/>
          </w:tcPr>
          <w:p w14:paraId="540CCF19">
            <w:pPr>
              <w:jc w:val="center"/>
              <w:rPr>
                <w:rFonts w:hint="eastAsia"/>
                <w:sz w:val="18"/>
                <w:szCs w:val="18"/>
                <w:lang w:val="en-US" w:eastAsia="zh-CN"/>
              </w:rPr>
            </w:pPr>
            <w:r>
              <w:rPr>
                <w:rFonts w:hint="eastAsia"/>
                <w:sz w:val="18"/>
                <w:szCs w:val="18"/>
                <w:lang w:val="en-US" w:eastAsia="zh-CN"/>
              </w:rPr>
              <w:t>2</w:t>
            </w:r>
          </w:p>
        </w:tc>
        <w:tc>
          <w:tcPr>
            <w:tcW w:w="709" w:type="dxa"/>
            <w:vAlign w:val="center"/>
          </w:tcPr>
          <w:p w14:paraId="0A71DD02">
            <w:pPr>
              <w:jc w:val="center"/>
              <w:rPr>
                <w:rFonts w:hint="eastAsia"/>
                <w:sz w:val="18"/>
                <w:szCs w:val="18"/>
                <w:lang w:val="en-US" w:eastAsia="zh-CN"/>
              </w:rPr>
            </w:pPr>
            <w:r>
              <w:rPr>
                <w:rFonts w:hint="eastAsia"/>
                <w:sz w:val="18"/>
                <w:szCs w:val="18"/>
                <w:lang w:val="en-US" w:eastAsia="zh-CN"/>
              </w:rPr>
              <w:t>2</w:t>
            </w:r>
          </w:p>
        </w:tc>
        <w:tc>
          <w:tcPr>
            <w:tcW w:w="1045" w:type="dxa"/>
          </w:tcPr>
          <w:p w14:paraId="4D3850EB">
            <w:pPr>
              <w:jc w:val="center"/>
              <w:rPr>
                <w:sz w:val="18"/>
                <w:szCs w:val="18"/>
              </w:rPr>
            </w:pPr>
            <w:r>
              <w:rPr>
                <w:rFonts w:hint="eastAsia"/>
                <w:sz w:val="18"/>
                <w:szCs w:val="18"/>
              </w:rPr>
              <w:t>必修/考试</w:t>
            </w:r>
          </w:p>
        </w:tc>
      </w:tr>
      <w:tr w14:paraId="45D1A0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6C70DEB">
            <w:pPr>
              <w:jc w:val="center"/>
              <w:rPr>
                <w:b/>
                <w:sz w:val="18"/>
                <w:szCs w:val="18"/>
              </w:rPr>
            </w:pPr>
          </w:p>
        </w:tc>
        <w:tc>
          <w:tcPr>
            <w:tcW w:w="1226" w:type="dxa"/>
            <w:vMerge w:val="continue"/>
            <w:vAlign w:val="center"/>
          </w:tcPr>
          <w:p w14:paraId="641447E7">
            <w:pPr>
              <w:jc w:val="center"/>
              <w:rPr>
                <w:b/>
                <w:sz w:val="18"/>
                <w:szCs w:val="18"/>
              </w:rPr>
            </w:pPr>
          </w:p>
        </w:tc>
        <w:tc>
          <w:tcPr>
            <w:tcW w:w="3516" w:type="dxa"/>
            <w:shd w:val="clear"/>
            <w:vAlign w:val="center"/>
          </w:tcPr>
          <w:p w14:paraId="11920D61">
            <w:pPr>
              <w:adjustRightInd w:val="0"/>
              <w:snapToGrid w:val="0"/>
              <w:rPr>
                <w:rFonts w:hint="default" w:ascii="Times New Roman" w:hAnsi="Times New Roman" w:eastAsia="宋体" w:cs="Times New Roman"/>
                <w:kern w:val="2"/>
                <w:sz w:val="18"/>
                <w:szCs w:val="18"/>
                <w:lang w:val="en-US" w:eastAsia="zh-CN" w:bidi="ar-SA"/>
              </w:rPr>
            </w:pPr>
            <w:r>
              <w:rPr>
                <w:rFonts w:hint="eastAsia"/>
                <w:sz w:val="18"/>
                <w:szCs w:val="18"/>
              </w:rPr>
              <w:t>数据挖掘与机器学习</w:t>
            </w:r>
          </w:p>
        </w:tc>
        <w:tc>
          <w:tcPr>
            <w:tcW w:w="1081" w:type="dxa"/>
            <w:vAlign w:val="center"/>
          </w:tcPr>
          <w:p w14:paraId="51A51911">
            <w:pPr>
              <w:jc w:val="center"/>
              <w:rPr>
                <w:rFonts w:hint="eastAsia" w:eastAsia="宋体"/>
                <w:sz w:val="18"/>
                <w:szCs w:val="18"/>
                <w:lang w:val="en-US" w:eastAsia="zh-CN"/>
              </w:rPr>
            </w:pPr>
            <w:r>
              <w:rPr>
                <w:rFonts w:hint="eastAsia"/>
                <w:sz w:val="18"/>
                <w:szCs w:val="18"/>
              </w:rPr>
              <w:t>ZS032300</w:t>
            </w:r>
            <w:r>
              <w:rPr>
                <w:rFonts w:hint="eastAsia"/>
                <w:sz w:val="18"/>
                <w:szCs w:val="18"/>
                <w:lang w:val="en-US" w:eastAsia="zh-CN"/>
              </w:rPr>
              <w:t>6</w:t>
            </w:r>
          </w:p>
        </w:tc>
        <w:tc>
          <w:tcPr>
            <w:tcW w:w="709" w:type="dxa"/>
            <w:vAlign w:val="center"/>
          </w:tcPr>
          <w:p w14:paraId="0B28C04B">
            <w:pPr>
              <w:jc w:val="center"/>
              <w:rPr>
                <w:rFonts w:hint="eastAsia"/>
                <w:sz w:val="18"/>
                <w:szCs w:val="18"/>
                <w:lang w:val="en-US" w:eastAsia="zh-CN"/>
              </w:rPr>
            </w:pPr>
            <w:r>
              <w:rPr>
                <w:rFonts w:hint="eastAsia"/>
                <w:sz w:val="18"/>
                <w:szCs w:val="18"/>
                <w:lang w:val="en-US" w:eastAsia="zh-CN"/>
              </w:rPr>
              <w:t>2</w:t>
            </w:r>
          </w:p>
        </w:tc>
        <w:tc>
          <w:tcPr>
            <w:tcW w:w="709" w:type="dxa"/>
            <w:vAlign w:val="center"/>
          </w:tcPr>
          <w:p w14:paraId="52BB7AE7">
            <w:pPr>
              <w:jc w:val="center"/>
              <w:rPr>
                <w:rFonts w:hint="default"/>
                <w:sz w:val="18"/>
                <w:szCs w:val="18"/>
                <w:lang w:val="en-US" w:eastAsia="zh-CN"/>
              </w:rPr>
            </w:pPr>
            <w:r>
              <w:rPr>
                <w:rFonts w:hint="eastAsia"/>
                <w:sz w:val="18"/>
                <w:szCs w:val="18"/>
                <w:lang w:val="en-US" w:eastAsia="zh-CN"/>
              </w:rPr>
              <w:t>2</w:t>
            </w:r>
          </w:p>
        </w:tc>
        <w:tc>
          <w:tcPr>
            <w:tcW w:w="1045" w:type="dxa"/>
          </w:tcPr>
          <w:p w14:paraId="10A0DABF">
            <w:pPr>
              <w:jc w:val="center"/>
              <w:rPr>
                <w:rFonts w:hint="eastAsia"/>
                <w:sz w:val="18"/>
                <w:szCs w:val="18"/>
              </w:rPr>
            </w:pPr>
            <w:r>
              <w:rPr>
                <w:rFonts w:hint="eastAsia"/>
                <w:sz w:val="18"/>
                <w:szCs w:val="18"/>
              </w:rPr>
              <w:t>必修/考试</w:t>
            </w:r>
          </w:p>
        </w:tc>
      </w:tr>
      <w:tr w14:paraId="219408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1086271">
            <w:pPr>
              <w:jc w:val="center"/>
              <w:rPr>
                <w:b/>
                <w:sz w:val="18"/>
                <w:szCs w:val="18"/>
              </w:rPr>
            </w:pPr>
          </w:p>
        </w:tc>
        <w:tc>
          <w:tcPr>
            <w:tcW w:w="1226" w:type="dxa"/>
            <w:vMerge w:val="continue"/>
            <w:vAlign w:val="center"/>
          </w:tcPr>
          <w:p w14:paraId="3CEEF1C5">
            <w:pPr>
              <w:jc w:val="center"/>
              <w:rPr>
                <w:b/>
                <w:sz w:val="18"/>
                <w:szCs w:val="18"/>
              </w:rPr>
            </w:pPr>
          </w:p>
        </w:tc>
        <w:tc>
          <w:tcPr>
            <w:tcW w:w="3516" w:type="dxa"/>
            <w:vAlign w:val="center"/>
          </w:tcPr>
          <w:p w14:paraId="51FF428E">
            <w:pPr>
              <w:rPr>
                <w:rFonts w:hint="eastAsia"/>
                <w:sz w:val="18"/>
                <w:szCs w:val="18"/>
                <w:lang w:val="en-US" w:eastAsia="zh-CN"/>
              </w:rPr>
            </w:pPr>
            <w:r>
              <w:rPr>
                <w:rFonts w:hint="eastAsia"/>
                <w:sz w:val="18"/>
                <w:szCs w:val="18"/>
                <w:lang w:val="en-US" w:eastAsia="zh-CN"/>
              </w:rPr>
              <w:t>数字产业经济学</w:t>
            </w:r>
          </w:p>
        </w:tc>
        <w:tc>
          <w:tcPr>
            <w:tcW w:w="1081" w:type="dxa"/>
            <w:vAlign w:val="center"/>
          </w:tcPr>
          <w:p w14:paraId="6FDF1AA4">
            <w:pPr>
              <w:jc w:val="center"/>
              <w:rPr>
                <w:rFonts w:hint="eastAsia" w:eastAsia="宋体"/>
                <w:sz w:val="18"/>
                <w:szCs w:val="18"/>
                <w:lang w:val="en-US" w:eastAsia="zh-CN"/>
              </w:rPr>
            </w:pPr>
            <w:r>
              <w:rPr>
                <w:rFonts w:hint="eastAsia"/>
                <w:sz w:val="18"/>
                <w:szCs w:val="18"/>
              </w:rPr>
              <w:t>ZS032300</w:t>
            </w:r>
            <w:r>
              <w:rPr>
                <w:rFonts w:hint="eastAsia"/>
                <w:sz w:val="18"/>
                <w:szCs w:val="18"/>
                <w:lang w:val="en-US" w:eastAsia="zh-CN"/>
              </w:rPr>
              <w:t>7</w:t>
            </w:r>
          </w:p>
        </w:tc>
        <w:tc>
          <w:tcPr>
            <w:tcW w:w="709" w:type="dxa"/>
            <w:vAlign w:val="center"/>
          </w:tcPr>
          <w:p w14:paraId="05FB614C">
            <w:pPr>
              <w:jc w:val="center"/>
              <w:rPr>
                <w:rFonts w:hint="eastAsia"/>
                <w:sz w:val="18"/>
                <w:szCs w:val="18"/>
                <w:lang w:val="en-US" w:eastAsia="zh-CN"/>
              </w:rPr>
            </w:pPr>
            <w:r>
              <w:rPr>
                <w:rFonts w:hint="eastAsia"/>
                <w:sz w:val="18"/>
                <w:szCs w:val="18"/>
                <w:lang w:val="en-US" w:eastAsia="zh-CN"/>
              </w:rPr>
              <w:t>2</w:t>
            </w:r>
          </w:p>
        </w:tc>
        <w:tc>
          <w:tcPr>
            <w:tcW w:w="709" w:type="dxa"/>
            <w:vAlign w:val="center"/>
          </w:tcPr>
          <w:p w14:paraId="5E355657">
            <w:pPr>
              <w:jc w:val="center"/>
              <w:rPr>
                <w:rFonts w:hint="default"/>
                <w:sz w:val="18"/>
                <w:szCs w:val="18"/>
                <w:lang w:val="en-US" w:eastAsia="zh-CN"/>
              </w:rPr>
            </w:pPr>
            <w:r>
              <w:rPr>
                <w:rFonts w:hint="eastAsia"/>
                <w:sz w:val="18"/>
                <w:szCs w:val="18"/>
                <w:lang w:val="en-US" w:eastAsia="zh-CN"/>
              </w:rPr>
              <w:t>3</w:t>
            </w:r>
          </w:p>
        </w:tc>
        <w:tc>
          <w:tcPr>
            <w:tcW w:w="1045" w:type="dxa"/>
          </w:tcPr>
          <w:p w14:paraId="781179B0">
            <w:pPr>
              <w:jc w:val="center"/>
              <w:rPr>
                <w:rFonts w:hint="eastAsia"/>
                <w:sz w:val="18"/>
                <w:szCs w:val="18"/>
              </w:rPr>
            </w:pPr>
            <w:r>
              <w:rPr>
                <w:rFonts w:hint="eastAsia"/>
                <w:sz w:val="18"/>
                <w:szCs w:val="18"/>
              </w:rPr>
              <w:t>必修/考试</w:t>
            </w:r>
          </w:p>
        </w:tc>
      </w:tr>
      <w:tr w14:paraId="03C734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5DD16C80">
            <w:pPr>
              <w:jc w:val="center"/>
              <w:rPr>
                <w:b/>
                <w:sz w:val="18"/>
                <w:szCs w:val="18"/>
              </w:rPr>
            </w:pPr>
            <w:r>
              <w:rPr>
                <w:b/>
                <w:sz w:val="18"/>
                <w:szCs w:val="18"/>
              </w:rPr>
              <w:t>非学位课</w:t>
            </w:r>
          </w:p>
        </w:tc>
        <w:tc>
          <w:tcPr>
            <w:tcW w:w="1226" w:type="dxa"/>
            <w:vMerge w:val="restart"/>
            <w:vAlign w:val="center"/>
          </w:tcPr>
          <w:p w14:paraId="463C4C0E">
            <w:pPr>
              <w:jc w:val="center"/>
              <w:rPr>
                <w:b/>
                <w:sz w:val="18"/>
                <w:szCs w:val="18"/>
              </w:rPr>
            </w:pPr>
            <w:r>
              <w:rPr>
                <w:b/>
                <w:sz w:val="18"/>
                <w:szCs w:val="18"/>
              </w:rPr>
              <w:t>公共通识课</w:t>
            </w:r>
          </w:p>
          <w:p w14:paraId="123EA1F6">
            <w:pPr>
              <w:jc w:val="center"/>
              <w:rPr>
                <w:b/>
                <w:sz w:val="18"/>
                <w:szCs w:val="18"/>
              </w:rPr>
            </w:pPr>
            <w:r>
              <w:rPr>
                <w:b/>
                <w:sz w:val="18"/>
                <w:szCs w:val="18"/>
              </w:rPr>
              <w:t>（2学分）</w:t>
            </w:r>
          </w:p>
        </w:tc>
        <w:tc>
          <w:tcPr>
            <w:tcW w:w="3516" w:type="dxa"/>
            <w:vAlign w:val="center"/>
          </w:tcPr>
          <w:p w14:paraId="07D80AED">
            <w:pPr>
              <w:rPr>
                <w:rFonts w:hint="eastAsia"/>
                <w:sz w:val="18"/>
                <w:szCs w:val="18"/>
                <w:lang w:val="en-US" w:eastAsia="zh-CN"/>
              </w:rPr>
            </w:pPr>
            <w:r>
              <w:rPr>
                <w:rFonts w:hint="eastAsia"/>
                <w:sz w:val="18"/>
                <w:szCs w:val="18"/>
                <w:lang w:val="en-US" w:eastAsia="zh-CN"/>
              </w:rPr>
              <w:t>《习近平谈治国理政》研读</w:t>
            </w:r>
          </w:p>
        </w:tc>
        <w:tc>
          <w:tcPr>
            <w:tcW w:w="1081" w:type="dxa"/>
            <w:vAlign w:val="center"/>
          </w:tcPr>
          <w:p w14:paraId="0627CE30">
            <w:pPr>
              <w:jc w:val="center"/>
              <w:rPr>
                <w:sz w:val="18"/>
                <w:szCs w:val="18"/>
              </w:rPr>
            </w:pPr>
            <w:r>
              <w:rPr>
                <w:sz w:val="18"/>
                <w:szCs w:val="18"/>
              </w:rPr>
              <w:t>TT0000101</w:t>
            </w:r>
          </w:p>
        </w:tc>
        <w:tc>
          <w:tcPr>
            <w:tcW w:w="709" w:type="dxa"/>
            <w:vAlign w:val="center"/>
          </w:tcPr>
          <w:p w14:paraId="401DC1BB">
            <w:pPr>
              <w:jc w:val="center"/>
              <w:rPr>
                <w:rFonts w:hint="eastAsia"/>
                <w:sz w:val="18"/>
                <w:szCs w:val="18"/>
                <w:lang w:val="en-US" w:eastAsia="zh-CN"/>
              </w:rPr>
            </w:pPr>
            <w:r>
              <w:rPr>
                <w:rFonts w:hint="eastAsia"/>
                <w:sz w:val="18"/>
                <w:szCs w:val="18"/>
                <w:lang w:val="en-US" w:eastAsia="zh-CN"/>
              </w:rPr>
              <w:t>1</w:t>
            </w:r>
          </w:p>
        </w:tc>
        <w:tc>
          <w:tcPr>
            <w:tcW w:w="709" w:type="dxa"/>
            <w:vAlign w:val="center"/>
          </w:tcPr>
          <w:p w14:paraId="509E08E9">
            <w:pPr>
              <w:jc w:val="center"/>
              <w:rPr>
                <w:rFonts w:hint="eastAsia"/>
                <w:sz w:val="18"/>
                <w:szCs w:val="18"/>
                <w:lang w:val="en-US" w:eastAsia="zh-CN"/>
              </w:rPr>
            </w:pPr>
            <w:r>
              <w:rPr>
                <w:rFonts w:hint="eastAsia"/>
                <w:sz w:val="18"/>
                <w:szCs w:val="18"/>
                <w:lang w:val="en-US" w:eastAsia="zh-CN"/>
              </w:rPr>
              <w:t>2</w:t>
            </w:r>
          </w:p>
        </w:tc>
        <w:tc>
          <w:tcPr>
            <w:tcW w:w="1045" w:type="dxa"/>
            <w:vAlign w:val="center"/>
          </w:tcPr>
          <w:p w14:paraId="59C8B4A6">
            <w:pPr>
              <w:jc w:val="center"/>
              <w:rPr>
                <w:sz w:val="18"/>
                <w:szCs w:val="18"/>
              </w:rPr>
            </w:pPr>
            <w:r>
              <w:rPr>
                <w:sz w:val="18"/>
                <w:szCs w:val="18"/>
              </w:rPr>
              <w:t>考查</w:t>
            </w:r>
          </w:p>
        </w:tc>
      </w:tr>
      <w:tr w14:paraId="526E3D0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C3A9C52">
            <w:pPr>
              <w:jc w:val="center"/>
              <w:rPr>
                <w:b/>
                <w:sz w:val="18"/>
                <w:szCs w:val="18"/>
              </w:rPr>
            </w:pPr>
          </w:p>
        </w:tc>
        <w:tc>
          <w:tcPr>
            <w:tcW w:w="1226" w:type="dxa"/>
            <w:vMerge w:val="continue"/>
            <w:vAlign w:val="center"/>
          </w:tcPr>
          <w:p w14:paraId="3F8BA020">
            <w:pPr>
              <w:jc w:val="center"/>
              <w:rPr>
                <w:b/>
                <w:sz w:val="18"/>
                <w:szCs w:val="18"/>
              </w:rPr>
            </w:pPr>
          </w:p>
        </w:tc>
        <w:tc>
          <w:tcPr>
            <w:tcW w:w="3516" w:type="dxa"/>
            <w:vAlign w:val="center"/>
          </w:tcPr>
          <w:p w14:paraId="6A8AB727">
            <w:pPr>
              <w:rPr>
                <w:rFonts w:hint="eastAsia"/>
                <w:sz w:val="18"/>
                <w:szCs w:val="18"/>
                <w:lang w:val="en-US" w:eastAsia="zh-CN"/>
              </w:rPr>
            </w:pPr>
            <w:r>
              <w:rPr>
                <w:rFonts w:hint="eastAsia"/>
                <w:sz w:val="18"/>
                <w:szCs w:val="18"/>
                <w:lang w:val="en-US" w:eastAsia="zh-CN"/>
              </w:rPr>
              <w:t>马克思主义与社会科学方法论</w:t>
            </w:r>
          </w:p>
        </w:tc>
        <w:tc>
          <w:tcPr>
            <w:tcW w:w="1081" w:type="dxa"/>
            <w:vAlign w:val="center"/>
          </w:tcPr>
          <w:p w14:paraId="66A1309A">
            <w:pPr>
              <w:jc w:val="center"/>
              <w:rPr>
                <w:sz w:val="18"/>
                <w:szCs w:val="18"/>
              </w:rPr>
            </w:pPr>
            <w:r>
              <w:rPr>
                <w:sz w:val="18"/>
                <w:szCs w:val="18"/>
              </w:rPr>
              <w:t>TS0000101</w:t>
            </w:r>
          </w:p>
        </w:tc>
        <w:tc>
          <w:tcPr>
            <w:tcW w:w="709" w:type="dxa"/>
            <w:vAlign w:val="center"/>
          </w:tcPr>
          <w:p w14:paraId="50D27131">
            <w:pPr>
              <w:jc w:val="center"/>
              <w:rPr>
                <w:sz w:val="18"/>
                <w:szCs w:val="18"/>
              </w:rPr>
            </w:pPr>
            <w:r>
              <w:rPr>
                <w:sz w:val="18"/>
                <w:szCs w:val="18"/>
              </w:rPr>
              <w:t>1</w:t>
            </w:r>
          </w:p>
        </w:tc>
        <w:tc>
          <w:tcPr>
            <w:tcW w:w="709" w:type="dxa"/>
            <w:vAlign w:val="center"/>
          </w:tcPr>
          <w:p w14:paraId="344D3832">
            <w:pPr>
              <w:jc w:val="center"/>
              <w:rPr>
                <w:sz w:val="18"/>
                <w:szCs w:val="18"/>
              </w:rPr>
            </w:pPr>
            <w:r>
              <w:rPr>
                <w:sz w:val="18"/>
                <w:szCs w:val="18"/>
              </w:rPr>
              <w:t>2</w:t>
            </w:r>
          </w:p>
        </w:tc>
        <w:tc>
          <w:tcPr>
            <w:tcW w:w="1045" w:type="dxa"/>
            <w:vAlign w:val="center"/>
          </w:tcPr>
          <w:p w14:paraId="1171B660">
            <w:pPr>
              <w:jc w:val="center"/>
              <w:rPr>
                <w:sz w:val="18"/>
                <w:szCs w:val="18"/>
              </w:rPr>
            </w:pPr>
            <w:r>
              <w:rPr>
                <w:sz w:val="18"/>
                <w:szCs w:val="18"/>
              </w:rPr>
              <w:t>考查</w:t>
            </w:r>
          </w:p>
        </w:tc>
      </w:tr>
      <w:tr w14:paraId="69037F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1" w:hRule="atLeast"/>
          <w:jc w:val="center"/>
        </w:trPr>
        <w:tc>
          <w:tcPr>
            <w:tcW w:w="571" w:type="dxa"/>
            <w:vMerge w:val="continue"/>
          </w:tcPr>
          <w:p w14:paraId="30985BEB">
            <w:pPr>
              <w:rPr>
                <w:b/>
                <w:sz w:val="18"/>
                <w:szCs w:val="18"/>
              </w:rPr>
            </w:pPr>
            <w:bookmarkStart w:id="3" w:name="_Hlk194311373"/>
          </w:p>
        </w:tc>
        <w:tc>
          <w:tcPr>
            <w:tcW w:w="1226" w:type="dxa"/>
            <w:vMerge w:val="restart"/>
            <w:vAlign w:val="center"/>
          </w:tcPr>
          <w:p w14:paraId="22647162">
            <w:pPr>
              <w:adjustRightInd w:val="0"/>
              <w:snapToGrid w:val="0"/>
              <w:jc w:val="center"/>
              <w:rPr>
                <w:b/>
                <w:sz w:val="18"/>
                <w:szCs w:val="18"/>
              </w:rPr>
            </w:pPr>
            <w:r>
              <w:rPr>
                <w:b/>
                <w:sz w:val="18"/>
                <w:szCs w:val="18"/>
              </w:rPr>
              <w:t>方向选修课</w:t>
            </w:r>
          </w:p>
        </w:tc>
        <w:tc>
          <w:tcPr>
            <w:tcW w:w="3516" w:type="dxa"/>
            <w:vAlign w:val="center"/>
          </w:tcPr>
          <w:p w14:paraId="025E7B2C">
            <w:pPr>
              <w:rPr>
                <w:rFonts w:hint="eastAsia"/>
                <w:sz w:val="18"/>
                <w:szCs w:val="18"/>
                <w:lang w:val="en-US" w:eastAsia="zh-CN"/>
              </w:rPr>
            </w:pPr>
            <w:r>
              <w:rPr>
                <w:rFonts w:hint="eastAsia"/>
                <w:sz w:val="18"/>
                <w:szCs w:val="18"/>
                <w:lang w:val="en-US" w:eastAsia="zh-CN"/>
              </w:rPr>
              <w:t>平台经济</w:t>
            </w:r>
          </w:p>
        </w:tc>
        <w:tc>
          <w:tcPr>
            <w:tcW w:w="1081" w:type="dxa"/>
            <w:vAlign w:val="center"/>
          </w:tcPr>
          <w:p w14:paraId="7DA7EDCB">
            <w:pPr>
              <w:jc w:val="center"/>
              <w:rPr>
                <w:rFonts w:hint="default" w:eastAsia="宋体"/>
                <w:sz w:val="18"/>
                <w:szCs w:val="18"/>
                <w:lang w:val="en-US" w:eastAsia="zh-CN"/>
              </w:rPr>
            </w:pPr>
            <w:r>
              <w:rPr>
                <w:rFonts w:hint="eastAsia"/>
                <w:sz w:val="18"/>
                <w:szCs w:val="18"/>
              </w:rPr>
              <w:t>ZS0323</w:t>
            </w:r>
            <w:r>
              <w:rPr>
                <w:rFonts w:hint="eastAsia"/>
                <w:sz w:val="18"/>
                <w:szCs w:val="18"/>
                <w:lang w:val="en-US" w:eastAsia="zh-CN"/>
              </w:rPr>
              <w:t>201</w:t>
            </w:r>
          </w:p>
        </w:tc>
        <w:tc>
          <w:tcPr>
            <w:tcW w:w="709" w:type="dxa"/>
            <w:vAlign w:val="center"/>
          </w:tcPr>
          <w:p w14:paraId="2E5A8866">
            <w:pPr>
              <w:jc w:val="center"/>
              <w:rPr>
                <w:iCs/>
              </w:rPr>
            </w:pPr>
            <w:r>
              <w:rPr>
                <w:rFonts w:hint="eastAsia"/>
                <w:iCs/>
              </w:rPr>
              <w:t>2</w:t>
            </w:r>
          </w:p>
        </w:tc>
        <w:tc>
          <w:tcPr>
            <w:tcW w:w="709" w:type="dxa"/>
            <w:vAlign w:val="center"/>
          </w:tcPr>
          <w:p w14:paraId="622F8100">
            <w:pPr>
              <w:jc w:val="center"/>
              <w:rPr>
                <w:iCs/>
              </w:rPr>
            </w:pPr>
            <w:r>
              <w:rPr>
                <w:rFonts w:hint="eastAsia"/>
                <w:iCs/>
                <w:sz w:val="18"/>
                <w:szCs w:val="18"/>
                <w:lang w:val="en-US" w:eastAsia="zh-CN"/>
              </w:rPr>
              <w:t>3</w:t>
            </w:r>
          </w:p>
        </w:tc>
        <w:tc>
          <w:tcPr>
            <w:tcW w:w="1045" w:type="dxa"/>
            <w:vMerge w:val="restart"/>
            <w:vAlign w:val="center"/>
          </w:tcPr>
          <w:p w14:paraId="5374D5EF">
            <w:pPr>
              <w:adjustRightInd w:val="0"/>
              <w:snapToGrid w:val="0"/>
              <w:jc w:val="center"/>
              <w:rPr>
                <w:sz w:val="18"/>
                <w:szCs w:val="18"/>
              </w:rPr>
            </w:pPr>
            <w:r>
              <w:rPr>
                <w:sz w:val="18"/>
                <w:szCs w:val="18"/>
              </w:rPr>
              <w:t>本方向研究生至少选修</w:t>
            </w:r>
          </w:p>
          <w:p w14:paraId="4440121B">
            <w:pPr>
              <w:adjustRightInd w:val="0"/>
              <w:snapToGrid w:val="0"/>
              <w:jc w:val="center"/>
              <w:rPr>
                <w:sz w:val="18"/>
                <w:szCs w:val="18"/>
              </w:rPr>
            </w:pPr>
            <w:r>
              <w:rPr>
                <w:rFonts w:hint="eastAsia"/>
                <w:sz w:val="18"/>
                <w:szCs w:val="18"/>
                <w:lang w:val="en-US" w:eastAsia="zh-CN"/>
              </w:rPr>
              <w:t>6</w:t>
            </w:r>
            <w:r>
              <w:rPr>
                <w:sz w:val="18"/>
                <w:szCs w:val="18"/>
              </w:rPr>
              <w:t>学分</w:t>
            </w:r>
            <w:r>
              <w:rPr>
                <w:rFonts w:hint="eastAsia"/>
                <w:sz w:val="18"/>
                <w:szCs w:val="18"/>
              </w:rPr>
              <w:t>，考查</w:t>
            </w:r>
          </w:p>
        </w:tc>
      </w:tr>
      <w:bookmarkEnd w:id="3"/>
      <w:tr w14:paraId="1C3C119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637C9F3">
            <w:pPr>
              <w:rPr>
                <w:b/>
                <w:sz w:val="18"/>
                <w:szCs w:val="18"/>
              </w:rPr>
            </w:pPr>
          </w:p>
        </w:tc>
        <w:tc>
          <w:tcPr>
            <w:tcW w:w="1226" w:type="dxa"/>
            <w:vMerge w:val="continue"/>
            <w:vAlign w:val="center"/>
          </w:tcPr>
          <w:p w14:paraId="654B375B">
            <w:pPr>
              <w:adjustRightInd w:val="0"/>
              <w:snapToGrid w:val="0"/>
              <w:jc w:val="center"/>
              <w:rPr>
                <w:b/>
                <w:sz w:val="18"/>
                <w:szCs w:val="18"/>
              </w:rPr>
            </w:pPr>
          </w:p>
        </w:tc>
        <w:tc>
          <w:tcPr>
            <w:tcW w:w="3516" w:type="dxa"/>
            <w:vAlign w:val="center"/>
          </w:tcPr>
          <w:p w14:paraId="11979439">
            <w:pPr>
              <w:rPr>
                <w:rFonts w:hint="eastAsia"/>
                <w:sz w:val="18"/>
                <w:szCs w:val="18"/>
                <w:lang w:val="en-US" w:eastAsia="zh-CN"/>
              </w:rPr>
            </w:pPr>
            <w:r>
              <w:rPr>
                <w:rFonts w:hint="eastAsia"/>
                <w:sz w:val="18"/>
                <w:szCs w:val="18"/>
                <w:lang w:val="en-US" w:eastAsia="zh-CN"/>
              </w:rPr>
              <w:t>数字贸易</w:t>
            </w:r>
          </w:p>
        </w:tc>
        <w:tc>
          <w:tcPr>
            <w:tcW w:w="1081" w:type="dxa"/>
            <w:vAlign w:val="center"/>
          </w:tcPr>
          <w:p w14:paraId="7F1E1356">
            <w:pPr>
              <w:jc w:val="center"/>
              <w:rPr>
                <w:rFonts w:hint="eastAsia" w:eastAsia="宋体"/>
                <w:sz w:val="18"/>
                <w:szCs w:val="18"/>
                <w:lang w:val="en-US" w:eastAsia="zh-CN"/>
              </w:rPr>
            </w:pPr>
            <w:r>
              <w:rPr>
                <w:rFonts w:hint="eastAsia"/>
                <w:sz w:val="18"/>
                <w:szCs w:val="18"/>
              </w:rPr>
              <w:t>ZS0323</w:t>
            </w:r>
            <w:r>
              <w:rPr>
                <w:rFonts w:hint="eastAsia"/>
                <w:sz w:val="18"/>
                <w:szCs w:val="18"/>
                <w:lang w:val="en-US" w:eastAsia="zh-CN"/>
              </w:rPr>
              <w:t>202</w:t>
            </w:r>
          </w:p>
        </w:tc>
        <w:tc>
          <w:tcPr>
            <w:tcW w:w="709" w:type="dxa"/>
            <w:vAlign w:val="center"/>
          </w:tcPr>
          <w:p w14:paraId="3FD8D921">
            <w:pPr>
              <w:jc w:val="center"/>
              <w:rPr>
                <w:iCs/>
              </w:rPr>
            </w:pPr>
            <w:r>
              <w:rPr>
                <w:rFonts w:hint="eastAsia"/>
                <w:iCs/>
                <w:sz w:val="18"/>
                <w:szCs w:val="18"/>
              </w:rPr>
              <w:t>2</w:t>
            </w:r>
          </w:p>
        </w:tc>
        <w:tc>
          <w:tcPr>
            <w:tcW w:w="709" w:type="dxa"/>
            <w:vAlign w:val="center"/>
          </w:tcPr>
          <w:p w14:paraId="7D0EAFCF">
            <w:pPr>
              <w:jc w:val="center"/>
              <w:rPr>
                <w:rFonts w:hint="eastAsia" w:eastAsia="宋体"/>
                <w:iCs/>
                <w:lang w:eastAsia="zh-CN"/>
              </w:rPr>
            </w:pPr>
            <w:r>
              <w:rPr>
                <w:rFonts w:hint="eastAsia"/>
                <w:iCs/>
                <w:sz w:val="18"/>
                <w:szCs w:val="18"/>
                <w:lang w:val="en-US" w:eastAsia="zh-CN"/>
              </w:rPr>
              <w:t>3</w:t>
            </w:r>
          </w:p>
        </w:tc>
        <w:tc>
          <w:tcPr>
            <w:tcW w:w="1045" w:type="dxa"/>
            <w:vMerge w:val="continue"/>
            <w:vAlign w:val="center"/>
          </w:tcPr>
          <w:p w14:paraId="377B9CD3">
            <w:pPr>
              <w:adjustRightInd w:val="0"/>
              <w:snapToGrid w:val="0"/>
              <w:jc w:val="center"/>
              <w:rPr>
                <w:sz w:val="18"/>
                <w:szCs w:val="18"/>
              </w:rPr>
            </w:pPr>
          </w:p>
        </w:tc>
      </w:tr>
      <w:tr w14:paraId="50101B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8" w:hRule="atLeast"/>
          <w:jc w:val="center"/>
        </w:trPr>
        <w:tc>
          <w:tcPr>
            <w:tcW w:w="571" w:type="dxa"/>
            <w:vMerge w:val="continue"/>
          </w:tcPr>
          <w:p w14:paraId="72639D32">
            <w:pPr>
              <w:rPr>
                <w:b/>
                <w:sz w:val="18"/>
                <w:szCs w:val="18"/>
              </w:rPr>
            </w:pPr>
          </w:p>
        </w:tc>
        <w:tc>
          <w:tcPr>
            <w:tcW w:w="1226" w:type="dxa"/>
            <w:vMerge w:val="continue"/>
            <w:vAlign w:val="center"/>
          </w:tcPr>
          <w:p w14:paraId="492EBD9D">
            <w:pPr>
              <w:jc w:val="center"/>
              <w:rPr>
                <w:b/>
                <w:sz w:val="18"/>
                <w:szCs w:val="18"/>
              </w:rPr>
            </w:pPr>
          </w:p>
        </w:tc>
        <w:tc>
          <w:tcPr>
            <w:tcW w:w="3516" w:type="dxa"/>
            <w:vAlign w:val="center"/>
          </w:tcPr>
          <w:p w14:paraId="03F5FF7A">
            <w:pPr>
              <w:rPr>
                <w:rFonts w:hint="eastAsia"/>
                <w:sz w:val="18"/>
                <w:szCs w:val="18"/>
                <w:lang w:val="en-US" w:eastAsia="zh-CN"/>
              </w:rPr>
            </w:pPr>
            <w:r>
              <w:rPr>
                <w:rFonts w:hint="eastAsia"/>
                <w:sz w:val="18"/>
                <w:szCs w:val="18"/>
                <w:lang w:val="en-US" w:eastAsia="zh-CN"/>
              </w:rPr>
              <w:t>数字金融</w:t>
            </w:r>
          </w:p>
        </w:tc>
        <w:tc>
          <w:tcPr>
            <w:tcW w:w="1081" w:type="dxa"/>
            <w:vAlign w:val="center"/>
          </w:tcPr>
          <w:p w14:paraId="45422D13">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ZS0323</w:t>
            </w:r>
            <w:r>
              <w:rPr>
                <w:rFonts w:hint="eastAsia"/>
                <w:color w:val="000000" w:themeColor="text1"/>
                <w:sz w:val="18"/>
                <w:szCs w:val="18"/>
                <w:lang w:val="en-US" w:eastAsia="zh-CN"/>
                <w14:textFill>
                  <w14:solidFill>
                    <w14:schemeClr w14:val="tx1"/>
                  </w14:solidFill>
                </w14:textFill>
              </w:rPr>
              <w:t>203</w:t>
            </w:r>
          </w:p>
        </w:tc>
        <w:tc>
          <w:tcPr>
            <w:tcW w:w="709" w:type="dxa"/>
            <w:vAlign w:val="center"/>
          </w:tcPr>
          <w:p w14:paraId="2C82F7D3">
            <w:pPr>
              <w:jc w:val="center"/>
              <w:rPr>
                <w:rFonts w:hint="eastAsia" w:eastAsia="宋体"/>
                <w:iCs/>
                <w:color w:val="000000" w:themeColor="text1"/>
                <w:sz w:val="18"/>
                <w:szCs w:val="18"/>
                <w:lang w:val="en-US" w:eastAsia="zh-CN"/>
                <w14:textFill>
                  <w14:solidFill>
                    <w14:schemeClr w14:val="tx1"/>
                  </w14:solidFill>
                </w14:textFill>
              </w:rPr>
            </w:pPr>
            <w:r>
              <w:rPr>
                <w:rFonts w:hint="eastAsia"/>
                <w:iCs/>
                <w:color w:val="000000" w:themeColor="text1"/>
                <w:sz w:val="18"/>
                <w:szCs w:val="18"/>
                <w:lang w:val="en-US" w:eastAsia="zh-CN"/>
                <w14:textFill>
                  <w14:solidFill>
                    <w14:schemeClr w14:val="tx1"/>
                  </w14:solidFill>
                </w14:textFill>
              </w:rPr>
              <w:t>2</w:t>
            </w:r>
          </w:p>
        </w:tc>
        <w:tc>
          <w:tcPr>
            <w:tcW w:w="709" w:type="dxa"/>
            <w:vAlign w:val="center"/>
          </w:tcPr>
          <w:p w14:paraId="2C5F1F83">
            <w:pPr>
              <w:jc w:val="center"/>
              <w:rPr>
                <w:rFonts w:hint="eastAsia" w:eastAsia="宋体"/>
                <w:iCs/>
                <w:color w:val="000000" w:themeColor="text1"/>
                <w:sz w:val="18"/>
                <w:szCs w:val="18"/>
                <w:lang w:val="en-US" w:eastAsia="zh-CN"/>
                <w14:textFill>
                  <w14:solidFill>
                    <w14:schemeClr w14:val="tx1"/>
                  </w14:solidFill>
                </w14:textFill>
              </w:rPr>
            </w:pPr>
            <w:r>
              <w:rPr>
                <w:rFonts w:hint="eastAsia"/>
                <w:iCs/>
                <w:color w:val="000000" w:themeColor="text1"/>
                <w:sz w:val="18"/>
                <w:szCs w:val="18"/>
                <w:lang w:val="en-US" w:eastAsia="zh-CN"/>
                <w14:textFill>
                  <w14:solidFill>
                    <w14:schemeClr w14:val="tx1"/>
                  </w14:solidFill>
                </w14:textFill>
              </w:rPr>
              <w:t>3</w:t>
            </w:r>
          </w:p>
        </w:tc>
        <w:tc>
          <w:tcPr>
            <w:tcW w:w="1045" w:type="dxa"/>
            <w:vMerge w:val="continue"/>
            <w:vAlign w:val="center"/>
          </w:tcPr>
          <w:p w14:paraId="3D3B0666">
            <w:pPr>
              <w:jc w:val="center"/>
              <w:rPr>
                <w:sz w:val="18"/>
                <w:szCs w:val="18"/>
              </w:rPr>
            </w:pPr>
          </w:p>
        </w:tc>
      </w:tr>
      <w:tr w14:paraId="121422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8" w:hRule="atLeast"/>
          <w:jc w:val="center"/>
        </w:trPr>
        <w:tc>
          <w:tcPr>
            <w:tcW w:w="571" w:type="dxa"/>
            <w:vMerge w:val="continue"/>
          </w:tcPr>
          <w:p w14:paraId="1C4E66B4">
            <w:pPr>
              <w:rPr>
                <w:b/>
                <w:sz w:val="18"/>
                <w:szCs w:val="18"/>
              </w:rPr>
            </w:pPr>
          </w:p>
        </w:tc>
        <w:tc>
          <w:tcPr>
            <w:tcW w:w="1226" w:type="dxa"/>
            <w:vMerge w:val="continue"/>
            <w:vAlign w:val="center"/>
          </w:tcPr>
          <w:p w14:paraId="6BE52B79">
            <w:pPr>
              <w:jc w:val="center"/>
              <w:rPr>
                <w:b/>
                <w:sz w:val="18"/>
                <w:szCs w:val="18"/>
              </w:rPr>
            </w:pPr>
          </w:p>
        </w:tc>
        <w:tc>
          <w:tcPr>
            <w:tcW w:w="3516" w:type="dxa"/>
            <w:vAlign w:val="center"/>
          </w:tcPr>
          <w:p w14:paraId="6F62CFE4">
            <w:pPr>
              <w:rPr>
                <w:rFonts w:hint="eastAsia"/>
                <w:iCs/>
                <w:color w:val="000000" w:themeColor="text1"/>
                <w:sz w:val="18"/>
                <w:szCs w:val="18"/>
                <w14:textFill>
                  <w14:solidFill>
                    <w14:schemeClr w14:val="tx1"/>
                  </w14:solidFill>
                </w14:textFill>
              </w:rPr>
            </w:pPr>
            <w:r>
              <w:rPr>
                <w:rFonts w:hint="eastAsia"/>
                <w:iCs/>
                <w:sz w:val="18"/>
                <w:szCs w:val="18"/>
              </w:rPr>
              <w:t>数字商务</w:t>
            </w:r>
          </w:p>
        </w:tc>
        <w:tc>
          <w:tcPr>
            <w:tcW w:w="1081" w:type="dxa"/>
            <w:vAlign w:val="center"/>
          </w:tcPr>
          <w:p w14:paraId="4A56B369">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ZS0323</w:t>
            </w:r>
            <w:r>
              <w:rPr>
                <w:rFonts w:hint="eastAsia"/>
                <w:color w:val="000000" w:themeColor="text1"/>
                <w:sz w:val="18"/>
                <w:szCs w:val="18"/>
                <w:lang w:val="en-US" w:eastAsia="zh-CN"/>
                <w14:textFill>
                  <w14:solidFill>
                    <w14:schemeClr w14:val="tx1"/>
                  </w14:solidFill>
                </w14:textFill>
              </w:rPr>
              <w:t>204</w:t>
            </w:r>
          </w:p>
        </w:tc>
        <w:tc>
          <w:tcPr>
            <w:tcW w:w="709" w:type="dxa"/>
            <w:vAlign w:val="center"/>
          </w:tcPr>
          <w:p w14:paraId="6E2B508F">
            <w:pPr>
              <w:jc w:val="center"/>
              <w:rPr>
                <w:rFonts w:hint="eastAsia"/>
                <w:iCs/>
                <w:color w:val="000000" w:themeColor="text1"/>
                <w:sz w:val="18"/>
                <w:szCs w:val="18"/>
                <w:lang w:val="en-US" w:eastAsia="zh-CN"/>
                <w14:textFill>
                  <w14:solidFill>
                    <w14:schemeClr w14:val="tx1"/>
                  </w14:solidFill>
                </w14:textFill>
              </w:rPr>
            </w:pPr>
            <w:r>
              <w:rPr>
                <w:rFonts w:hint="eastAsia"/>
                <w:iCs/>
                <w:color w:val="000000" w:themeColor="text1"/>
                <w:sz w:val="18"/>
                <w:szCs w:val="18"/>
                <w:lang w:val="en-US" w:eastAsia="zh-CN"/>
                <w14:textFill>
                  <w14:solidFill>
                    <w14:schemeClr w14:val="tx1"/>
                  </w14:solidFill>
                </w14:textFill>
              </w:rPr>
              <w:t>2</w:t>
            </w:r>
          </w:p>
        </w:tc>
        <w:tc>
          <w:tcPr>
            <w:tcW w:w="709" w:type="dxa"/>
            <w:vAlign w:val="center"/>
          </w:tcPr>
          <w:p w14:paraId="1DB90C8C">
            <w:pPr>
              <w:jc w:val="center"/>
              <w:rPr>
                <w:rFonts w:hint="eastAsia"/>
                <w:iCs/>
                <w:color w:val="000000" w:themeColor="text1"/>
                <w:sz w:val="18"/>
                <w:szCs w:val="18"/>
                <w:lang w:val="en-US" w:eastAsia="zh-CN"/>
                <w14:textFill>
                  <w14:solidFill>
                    <w14:schemeClr w14:val="tx1"/>
                  </w14:solidFill>
                </w14:textFill>
              </w:rPr>
            </w:pPr>
            <w:r>
              <w:rPr>
                <w:rFonts w:hint="eastAsia"/>
                <w:iCs/>
                <w:color w:val="000000" w:themeColor="text1"/>
                <w:sz w:val="18"/>
                <w:szCs w:val="18"/>
                <w:lang w:val="en-US" w:eastAsia="zh-CN"/>
                <w14:textFill>
                  <w14:solidFill>
                    <w14:schemeClr w14:val="tx1"/>
                  </w14:solidFill>
                </w14:textFill>
              </w:rPr>
              <w:t>3</w:t>
            </w:r>
          </w:p>
        </w:tc>
        <w:tc>
          <w:tcPr>
            <w:tcW w:w="1045" w:type="dxa"/>
            <w:vMerge w:val="continue"/>
            <w:vAlign w:val="center"/>
          </w:tcPr>
          <w:p w14:paraId="5AF1DDD9">
            <w:pPr>
              <w:jc w:val="center"/>
              <w:rPr>
                <w:sz w:val="18"/>
                <w:szCs w:val="18"/>
              </w:rPr>
            </w:pPr>
          </w:p>
        </w:tc>
      </w:tr>
      <w:tr w14:paraId="4DD871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8" w:hRule="atLeast"/>
          <w:jc w:val="center"/>
        </w:trPr>
        <w:tc>
          <w:tcPr>
            <w:tcW w:w="571" w:type="dxa"/>
            <w:vMerge w:val="continue"/>
          </w:tcPr>
          <w:p w14:paraId="4324968A">
            <w:pPr>
              <w:rPr>
                <w:b/>
                <w:sz w:val="18"/>
                <w:szCs w:val="18"/>
              </w:rPr>
            </w:pPr>
          </w:p>
        </w:tc>
        <w:tc>
          <w:tcPr>
            <w:tcW w:w="1226" w:type="dxa"/>
            <w:vMerge w:val="continue"/>
            <w:vAlign w:val="center"/>
          </w:tcPr>
          <w:p w14:paraId="39B63D92">
            <w:pPr>
              <w:jc w:val="center"/>
              <w:rPr>
                <w:b/>
                <w:sz w:val="18"/>
                <w:szCs w:val="18"/>
              </w:rPr>
            </w:pPr>
          </w:p>
        </w:tc>
        <w:tc>
          <w:tcPr>
            <w:tcW w:w="3516" w:type="dxa"/>
            <w:vAlign w:val="center"/>
          </w:tcPr>
          <w:p w14:paraId="6291EFA1">
            <w:pPr>
              <w:adjustRightInd w:val="0"/>
              <w:snapToGrid w:val="0"/>
              <w:rPr>
                <w:rFonts w:hint="eastAsia"/>
                <w:iCs/>
                <w:color w:val="000000" w:themeColor="text1"/>
                <w:sz w:val="18"/>
                <w:szCs w:val="18"/>
                <w14:textFill>
                  <w14:solidFill>
                    <w14:schemeClr w14:val="tx1"/>
                  </w14:solidFill>
                </w14:textFill>
              </w:rPr>
            </w:pPr>
            <w:r>
              <w:rPr>
                <w:rFonts w:hint="eastAsia"/>
                <w:iCs/>
                <w:sz w:val="18"/>
                <w:szCs w:val="18"/>
              </w:rPr>
              <w:t>数据要素理论与实践</w:t>
            </w:r>
          </w:p>
        </w:tc>
        <w:tc>
          <w:tcPr>
            <w:tcW w:w="1081" w:type="dxa"/>
            <w:vAlign w:val="center"/>
          </w:tcPr>
          <w:p w14:paraId="21293AC7">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ZS0323</w:t>
            </w:r>
            <w:r>
              <w:rPr>
                <w:rFonts w:hint="eastAsia"/>
                <w:color w:val="000000" w:themeColor="text1"/>
                <w:sz w:val="18"/>
                <w:szCs w:val="18"/>
                <w:lang w:val="en-US" w:eastAsia="zh-CN"/>
                <w14:textFill>
                  <w14:solidFill>
                    <w14:schemeClr w14:val="tx1"/>
                  </w14:solidFill>
                </w14:textFill>
              </w:rPr>
              <w:t>205</w:t>
            </w:r>
          </w:p>
        </w:tc>
        <w:tc>
          <w:tcPr>
            <w:tcW w:w="709" w:type="dxa"/>
            <w:vAlign w:val="center"/>
          </w:tcPr>
          <w:p w14:paraId="61667167">
            <w:pPr>
              <w:jc w:val="center"/>
              <w:rPr>
                <w:rFonts w:hint="eastAsia"/>
                <w:iCs/>
                <w:color w:val="000000" w:themeColor="text1"/>
                <w:sz w:val="18"/>
                <w:szCs w:val="18"/>
                <w:lang w:val="en-US" w:eastAsia="zh-CN"/>
                <w14:textFill>
                  <w14:solidFill>
                    <w14:schemeClr w14:val="tx1"/>
                  </w14:solidFill>
                </w14:textFill>
              </w:rPr>
            </w:pPr>
            <w:r>
              <w:rPr>
                <w:rFonts w:hint="eastAsia"/>
                <w:iCs/>
                <w:color w:val="000000" w:themeColor="text1"/>
                <w:sz w:val="18"/>
                <w:szCs w:val="18"/>
                <w:lang w:val="en-US" w:eastAsia="zh-CN"/>
                <w14:textFill>
                  <w14:solidFill>
                    <w14:schemeClr w14:val="tx1"/>
                  </w14:solidFill>
                </w14:textFill>
              </w:rPr>
              <w:t>2</w:t>
            </w:r>
          </w:p>
        </w:tc>
        <w:tc>
          <w:tcPr>
            <w:tcW w:w="709" w:type="dxa"/>
            <w:vAlign w:val="center"/>
          </w:tcPr>
          <w:p w14:paraId="16952865">
            <w:pPr>
              <w:jc w:val="center"/>
              <w:rPr>
                <w:rFonts w:hint="eastAsia"/>
                <w:iCs/>
                <w:color w:val="000000" w:themeColor="text1"/>
                <w:sz w:val="18"/>
                <w:szCs w:val="18"/>
                <w:lang w:val="en-US" w:eastAsia="zh-CN"/>
                <w14:textFill>
                  <w14:solidFill>
                    <w14:schemeClr w14:val="tx1"/>
                  </w14:solidFill>
                </w14:textFill>
              </w:rPr>
            </w:pPr>
            <w:r>
              <w:rPr>
                <w:rFonts w:hint="eastAsia"/>
                <w:iCs/>
                <w:color w:val="000000" w:themeColor="text1"/>
                <w:sz w:val="18"/>
                <w:szCs w:val="18"/>
                <w:lang w:val="en-US" w:eastAsia="zh-CN"/>
                <w14:textFill>
                  <w14:solidFill>
                    <w14:schemeClr w14:val="tx1"/>
                  </w14:solidFill>
                </w14:textFill>
              </w:rPr>
              <w:t>3</w:t>
            </w:r>
          </w:p>
        </w:tc>
        <w:tc>
          <w:tcPr>
            <w:tcW w:w="1045" w:type="dxa"/>
            <w:vMerge w:val="continue"/>
            <w:vAlign w:val="center"/>
          </w:tcPr>
          <w:p w14:paraId="00C1C6AD">
            <w:pPr>
              <w:jc w:val="center"/>
              <w:rPr>
                <w:sz w:val="18"/>
                <w:szCs w:val="18"/>
              </w:rPr>
            </w:pPr>
          </w:p>
        </w:tc>
      </w:tr>
      <w:tr w14:paraId="0CD048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8" w:hRule="atLeast"/>
          <w:jc w:val="center"/>
        </w:trPr>
        <w:tc>
          <w:tcPr>
            <w:tcW w:w="571" w:type="dxa"/>
            <w:vMerge w:val="continue"/>
          </w:tcPr>
          <w:p w14:paraId="6356CDA4">
            <w:pPr>
              <w:rPr>
                <w:b/>
                <w:sz w:val="18"/>
                <w:szCs w:val="18"/>
              </w:rPr>
            </w:pPr>
          </w:p>
        </w:tc>
        <w:tc>
          <w:tcPr>
            <w:tcW w:w="1226" w:type="dxa"/>
            <w:vMerge w:val="continue"/>
            <w:vAlign w:val="center"/>
          </w:tcPr>
          <w:p w14:paraId="7516D773">
            <w:pPr>
              <w:jc w:val="center"/>
              <w:rPr>
                <w:b/>
                <w:sz w:val="18"/>
                <w:szCs w:val="18"/>
              </w:rPr>
            </w:pPr>
          </w:p>
        </w:tc>
        <w:tc>
          <w:tcPr>
            <w:tcW w:w="3516" w:type="dxa"/>
            <w:vAlign w:val="center"/>
          </w:tcPr>
          <w:p w14:paraId="7D50FBD6">
            <w:pPr>
              <w:adjustRightInd w:val="0"/>
              <w:snapToGrid w:val="0"/>
              <w:rPr>
                <w:rFonts w:hint="eastAsia"/>
                <w:iCs/>
                <w:color w:val="000000" w:themeColor="text1"/>
                <w:sz w:val="18"/>
                <w:szCs w:val="18"/>
                <w14:textFill>
                  <w14:solidFill>
                    <w14:schemeClr w14:val="tx1"/>
                  </w14:solidFill>
                </w14:textFill>
              </w:rPr>
            </w:pPr>
            <w:r>
              <w:rPr>
                <w:rFonts w:hint="eastAsia"/>
                <w:iCs/>
                <w:color w:val="000000" w:themeColor="text1"/>
                <w:sz w:val="18"/>
                <w:szCs w:val="18"/>
                <w14:textFill>
                  <w14:solidFill>
                    <w14:schemeClr w14:val="tx1"/>
                  </w14:solidFill>
                </w14:textFill>
              </w:rPr>
              <w:t>金融科技</w:t>
            </w:r>
          </w:p>
        </w:tc>
        <w:tc>
          <w:tcPr>
            <w:tcW w:w="1081" w:type="dxa"/>
            <w:vAlign w:val="center"/>
          </w:tcPr>
          <w:p w14:paraId="22DE0195">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ZS0323</w:t>
            </w:r>
            <w:r>
              <w:rPr>
                <w:rFonts w:hint="eastAsia"/>
                <w:color w:val="000000" w:themeColor="text1"/>
                <w:sz w:val="18"/>
                <w:szCs w:val="18"/>
                <w:lang w:val="en-US" w:eastAsia="zh-CN"/>
                <w14:textFill>
                  <w14:solidFill>
                    <w14:schemeClr w14:val="tx1"/>
                  </w14:solidFill>
                </w14:textFill>
              </w:rPr>
              <w:t>206</w:t>
            </w:r>
          </w:p>
        </w:tc>
        <w:tc>
          <w:tcPr>
            <w:tcW w:w="709" w:type="dxa"/>
            <w:vAlign w:val="center"/>
          </w:tcPr>
          <w:p w14:paraId="0292A92F">
            <w:pPr>
              <w:jc w:val="center"/>
              <w:rPr>
                <w:rFonts w:hint="eastAsia"/>
                <w:iCs/>
                <w:color w:val="000000" w:themeColor="text1"/>
                <w:sz w:val="18"/>
                <w:szCs w:val="18"/>
                <w:lang w:val="en-US" w:eastAsia="zh-CN"/>
                <w14:textFill>
                  <w14:solidFill>
                    <w14:schemeClr w14:val="tx1"/>
                  </w14:solidFill>
                </w14:textFill>
              </w:rPr>
            </w:pPr>
            <w:r>
              <w:rPr>
                <w:rFonts w:hint="eastAsia"/>
                <w:iCs/>
                <w:color w:val="000000" w:themeColor="text1"/>
                <w:sz w:val="18"/>
                <w:szCs w:val="18"/>
                <w:lang w:val="en-US" w:eastAsia="zh-CN"/>
                <w14:textFill>
                  <w14:solidFill>
                    <w14:schemeClr w14:val="tx1"/>
                  </w14:solidFill>
                </w14:textFill>
              </w:rPr>
              <w:t>2</w:t>
            </w:r>
          </w:p>
        </w:tc>
        <w:tc>
          <w:tcPr>
            <w:tcW w:w="709" w:type="dxa"/>
            <w:vAlign w:val="center"/>
          </w:tcPr>
          <w:p w14:paraId="4AE9ABC1">
            <w:pPr>
              <w:jc w:val="center"/>
              <w:rPr>
                <w:rFonts w:hint="eastAsia"/>
                <w:iCs/>
                <w:color w:val="000000" w:themeColor="text1"/>
                <w:sz w:val="18"/>
                <w:szCs w:val="18"/>
                <w:lang w:val="en-US" w:eastAsia="zh-CN"/>
                <w14:textFill>
                  <w14:solidFill>
                    <w14:schemeClr w14:val="tx1"/>
                  </w14:solidFill>
                </w14:textFill>
              </w:rPr>
            </w:pPr>
            <w:r>
              <w:rPr>
                <w:rFonts w:hint="eastAsia"/>
                <w:iCs/>
                <w:color w:val="000000" w:themeColor="text1"/>
                <w:sz w:val="18"/>
                <w:szCs w:val="18"/>
                <w:lang w:val="en-US" w:eastAsia="zh-CN"/>
                <w14:textFill>
                  <w14:solidFill>
                    <w14:schemeClr w14:val="tx1"/>
                  </w14:solidFill>
                </w14:textFill>
              </w:rPr>
              <w:t>3</w:t>
            </w:r>
          </w:p>
        </w:tc>
        <w:tc>
          <w:tcPr>
            <w:tcW w:w="1045" w:type="dxa"/>
            <w:vMerge w:val="continue"/>
            <w:vAlign w:val="center"/>
          </w:tcPr>
          <w:p w14:paraId="10589D4A">
            <w:pPr>
              <w:jc w:val="center"/>
              <w:rPr>
                <w:sz w:val="18"/>
                <w:szCs w:val="18"/>
              </w:rPr>
            </w:pPr>
          </w:p>
        </w:tc>
      </w:tr>
      <w:tr w14:paraId="24356D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8" w:hRule="atLeast"/>
          <w:jc w:val="center"/>
        </w:trPr>
        <w:tc>
          <w:tcPr>
            <w:tcW w:w="571" w:type="dxa"/>
            <w:vMerge w:val="continue"/>
          </w:tcPr>
          <w:p w14:paraId="72156600">
            <w:pPr>
              <w:rPr>
                <w:b/>
                <w:sz w:val="18"/>
                <w:szCs w:val="18"/>
              </w:rPr>
            </w:pPr>
          </w:p>
        </w:tc>
        <w:tc>
          <w:tcPr>
            <w:tcW w:w="1226" w:type="dxa"/>
            <w:vMerge w:val="continue"/>
            <w:vAlign w:val="center"/>
          </w:tcPr>
          <w:p w14:paraId="35C09A15">
            <w:pPr>
              <w:jc w:val="center"/>
              <w:rPr>
                <w:b/>
                <w:sz w:val="18"/>
                <w:szCs w:val="18"/>
              </w:rPr>
            </w:pPr>
          </w:p>
        </w:tc>
        <w:tc>
          <w:tcPr>
            <w:tcW w:w="3516" w:type="dxa"/>
            <w:vAlign w:val="center"/>
          </w:tcPr>
          <w:p w14:paraId="48713C7D">
            <w:pPr>
              <w:rPr>
                <w:rFonts w:hint="default" w:cs="Times New Roman"/>
                <w:color w:val="000000" w:themeColor="text1"/>
                <w:sz w:val="18"/>
                <w:szCs w:val="18"/>
                <w:lang w:val="en-US" w:eastAsia="zh-CN"/>
                <w14:textFill>
                  <w14:solidFill>
                    <w14:schemeClr w14:val="tx1"/>
                  </w14:solidFill>
                </w14:textFill>
              </w:rPr>
            </w:pPr>
            <w:r>
              <w:rPr>
                <w:rFonts w:hint="default" w:eastAsia="宋体"/>
                <w:iCs/>
                <w:color w:val="000000" w:themeColor="text1"/>
                <w:sz w:val="18"/>
                <w:szCs w:val="18"/>
                <w:lang w:val="en-US" w:eastAsia="zh-CN"/>
                <w14:textFill>
                  <w14:solidFill>
                    <w14:schemeClr w14:val="tx1"/>
                  </w14:solidFill>
                </w14:textFill>
              </w:rPr>
              <w:t>数据分析与经济决策</w:t>
            </w:r>
          </w:p>
        </w:tc>
        <w:tc>
          <w:tcPr>
            <w:tcW w:w="1081" w:type="dxa"/>
            <w:shd w:val="clear" w:color="auto" w:fill="auto"/>
            <w:vAlign w:val="center"/>
          </w:tcPr>
          <w:p w14:paraId="0C11D77E">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ZS0323</w:t>
            </w:r>
            <w:r>
              <w:rPr>
                <w:rFonts w:hint="eastAsia"/>
                <w:color w:val="000000" w:themeColor="text1"/>
                <w:sz w:val="18"/>
                <w:szCs w:val="18"/>
                <w:lang w:val="en-US" w:eastAsia="zh-CN"/>
                <w14:textFill>
                  <w14:solidFill>
                    <w14:schemeClr w14:val="tx1"/>
                  </w14:solidFill>
                </w14:textFill>
              </w:rPr>
              <w:t>207</w:t>
            </w:r>
          </w:p>
        </w:tc>
        <w:tc>
          <w:tcPr>
            <w:tcW w:w="709" w:type="dxa"/>
            <w:vAlign w:val="center"/>
          </w:tcPr>
          <w:p w14:paraId="57DACF9B">
            <w:pPr>
              <w:jc w:val="center"/>
              <w:rPr>
                <w:rFonts w:hint="default"/>
                <w:iCs/>
                <w:color w:val="000000" w:themeColor="text1"/>
                <w:sz w:val="18"/>
                <w:szCs w:val="18"/>
                <w:lang w:val="en-US" w:eastAsia="zh-CN"/>
                <w14:textFill>
                  <w14:solidFill>
                    <w14:schemeClr w14:val="tx1"/>
                  </w14:solidFill>
                </w14:textFill>
              </w:rPr>
            </w:pPr>
            <w:r>
              <w:rPr>
                <w:rFonts w:hint="eastAsia"/>
                <w:iCs/>
                <w:color w:val="000000" w:themeColor="text1"/>
                <w:sz w:val="18"/>
                <w:szCs w:val="18"/>
                <w:lang w:val="en-US" w:eastAsia="zh-CN"/>
                <w14:textFill>
                  <w14:solidFill>
                    <w14:schemeClr w14:val="tx1"/>
                  </w14:solidFill>
                </w14:textFill>
              </w:rPr>
              <w:t>2</w:t>
            </w:r>
          </w:p>
        </w:tc>
        <w:tc>
          <w:tcPr>
            <w:tcW w:w="709" w:type="dxa"/>
            <w:vAlign w:val="center"/>
          </w:tcPr>
          <w:p w14:paraId="37F3BF55">
            <w:pPr>
              <w:jc w:val="center"/>
              <w:rPr>
                <w:rFonts w:hint="default"/>
                <w:iCs/>
                <w:color w:val="000000" w:themeColor="text1"/>
                <w:sz w:val="18"/>
                <w:szCs w:val="18"/>
                <w:lang w:val="en-US" w:eastAsia="zh-CN"/>
                <w14:textFill>
                  <w14:solidFill>
                    <w14:schemeClr w14:val="tx1"/>
                  </w14:solidFill>
                </w14:textFill>
              </w:rPr>
            </w:pPr>
            <w:r>
              <w:rPr>
                <w:rFonts w:hint="eastAsia"/>
                <w:iCs/>
                <w:color w:val="000000" w:themeColor="text1"/>
                <w:sz w:val="18"/>
                <w:szCs w:val="18"/>
                <w:lang w:val="en-US" w:eastAsia="zh-CN"/>
                <w14:textFill>
                  <w14:solidFill>
                    <w14:schemeClr w14:val="tx1"/>
                  </w14:solidFill>
                </w14:textFill>
              </w:rPr>
              <w:t>3</w:t>
            </w:r>
          </w:p>
        </w:tc>
        <w:tc>
          <w:tcPr>
            <w:tcW w:w="1045" w:type="dxa"/>
            <w:vMerge w:val="continue"/>
            <w:vAlign w:val="center"/>
          </w:tcPr>
          <w:p w14:paraId="27DA951D">
            <w:pPr>
              <w:jc w:val="center"/>
              <w:rPr>
                <w:sz w:val="18"/>
                <w:szCs w:val="18"/>
              </w:rPr>
            </w:pPr>
          </w:p>
        </w:tc>
      </w:tr>
      <w:tr w14:paraId="19E644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5F8BABAE">
            <w:pPr>
              <w:jc w:val="center"/>
              <w:rPr>
                <w:b/>
                <w:sz w:val="18"/>
                <w:szCs w:val="18"/>
              </w:rPr>
            </w:pPr>
            <w:r>
              <w:rPr>
                <w:b/>
                <w:sz w:val="18"/>
                <w:szCs w:val="18"/>
              </w:rPr>
              <w:t>必修环节</w:t>
            </w:r>
          </w:p>
          <w:p w14:paraId="0C4613D9">
            <w:pPr>
              <w:jc w:val="center"/>
              <w:rPr>
                <w:b/>
                <w:sz w:val="18"/>
                <w:szCs w:val="18"/>
              </w:rPr>
            </w:pPr>
          </w:p>
        </w:tc>
        <w:tc>
          <w:tcPr>
            <w:tcW w:w="1226" w:type="dxa"/>
            <w:vMerge w:val="restart"/>
            <w:vAlign w:val="center"/>
          </w:tcPr>
          <w:p w14:paraId="777412F1">
            <w:pPr>
              <w:jc w:val="center"/>
              <w:rPr>
                <w:b/>
                <w:sz w:val="18"/>
                <w:szCs w:val="18"/>
              </w:rPr>
            </w:pPr>
            <w:r>
              <w:rPr>
                <w:b/>
                <w:sz w:val="18"/>
                <w:szCs w:val="18"/>
              </w:rPr>
              <w:t>素质拓展</w:t>
            </w:r>
          </w:p>
        </w:tc>
        <w:tc>
          <w:tcPr>
            <w:tcW w:w="3516" w:type="dxa"/>
            <w:vAlign w:val="center"/>
          </w:tcPr>
          <w:p w14:paraId="3B07A0B6">
            <w:pPr>
              <w:rPr>
                <w:sz w:val="18"/>
                <w:szCs w:val="18"/>
              </w:rPr>
            </w:pPr>
            <w:r>
              <w:rPr>
                <w:sz w:val="18"/>
                <w:szCs w:val="18"/>
              </w:rPr>
              <w:t>入学教育</w:t>
            </w:r>
          </w:p>
        </w:tc>
        <w:tc>
          <w:tcPr>
            <w:tcW w:w="1081" w:type="dxa"/>
            <w:vAlign w:val="center"/>
          </w:tcPr>
          <w:p w14:paraId="2EAD3505">
            <w:pPr>
              <w:jc w:val="center"/>
              <w:rPr>
                <w:sz w:val="18"/>
                <w:szCs w:val="18"/>
              </w:rPr>
            </w:pPr>
          </w:p>
        </w:tc>
        <w:tc>
          <w:tcPr>
            <w:tcW w:w="709" w:type="dxa"/>
            <w:vAlign w:val="center"/>
          </w:tcPr>
          <w:p w14:paraId="45D7BE8F">
            <w:pPr>
              <w:jc w:val="center"/>
              <w:rPr>
                <w:rFonts w:hint="eastAsia" w:eastAsia="宋体"/>
                <w:iCs/>
                <w:sz w:val="18"/>
                <w:szCs w:val="18"/>
                <w:lang w:eastAsia="zh-CN"/>
              </w:rPr>
            </w:pPr>
            <w:r>
              <w:rPr>
                <w:rFonts w:hint="eastAsia"/>
                <w:iCs/>
                <w:sz w:val="18"/>
                <w:szCs w:val="18"/>
                <w:lang w:val="en-US" w:eastAsia="zh-CN"/>
              </w:rPr>
              <w:t>0</w:t>
            </w:r>
          </w:p>
        </w:tc>
        <w:tc>
          <w:tcPr>
            <w:tcW w:w="709" w:type="dxa"/>
            <w:vAlign w:val="center"/>
          </w:tcPr>
          <w:p w14:paraId="00B64134">
            <w:pPr>
              <w:jc w:val="center"/>
              <w:rPr>
                <w:sz w:val="18"/>
                <w:szCs w:val="18"/>
              </w:rPr>
            </w:pPr>
            <w:r>
              <w:rPr>
                <w:sz w:val="18"/>
                <w:szCs w:val="18"/>
              </w:rPr>
              <w:t>1</w:t>
            </w:r>
          </w:p>
        </w:tc>
        <w:tc>
          <w:tcPr>
            <w:tcW w:w="1045" w:type="dxa"/>
            <w:vMerge w:val="restart"/>
            <w:vAlign w:val="center"/>
          </w:tcPr>
          <w:p w14:paraId="6AF025C7">
            <w:pPr>
              <w:jc w:val="center"/>
              <w:rPr>
                <w:i/>
                <w:sz w:val="18"/>
                <w:szCs w:val="18"/>
              </w:rPr>
            </w:pPr>
            <w:r>
              <w:rPr>
                <w:rFonts w:hint="eastAsia"/>
                <w:sz w:val="18"/>
                <w:szCs w:val="18"/>
              </w:rPr>
              <w:t>考查</w:t>
            </w:r>
          </w:p>
        </w:tc>
      </w:tr>
      <w:tr w14:paraId="4212B7C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8" w:hRule="atLeast"/>
          <w:jc w:val="center"/>
        </w:trPr>
        <w:tc>
          <w:tcPr>
            <w:tcW w:w="571" w:type="dxa"/>
            <w:vMerge w:val="continue"/>
            <w:vAlign w:val="center"/>
          </w:tcPr>
          <w:p w14:paraId="21558530">
            <w:pPr>
              <w:jc w:val="center"/>
              <w:rPr>
                <w:b/>
                <w:sz w:val="18"/>
                <w:szCs w:val="18"/>
              </w:rPr>
            </w:pPr>
          </w:p>
        </w:tc>
        <w:tc>
          <w:tcPr>
            <w:tcW w:w="1226" w:type="dxa"/>
            <w:vMerge w:val="continue"/>
            <w:vAlign w:val="center"/>
          </w:tcPr>
          <w:p w14:paraId="68E34E0A">
            <w:pPr>
              <w:jc w:val="center"/>
              <w:rPr>
                <w:b/>
                <w:sz w:val="18"/>
                <w:szCs w:val="18"/>
              </w:rPr>
            </w:pPr>
          </w:p>
        </w:tc>
        <w:tc>
          <w:tcPr>
            <w:tcW w:w="3516" w:type="dxa"/>
            <w:vAlign w:val="center"/>
          </w:tcPr>
          <w:p w14:paraId="7335BA09">
            <w:pPr>
              <w:adjustRightInd w:val="0"/>
              <w:snapToGrid w:val="0"/>
              <w:rPr>
                <w:sz w:val="18"/>
                <w:szCs w:val="18"/>
              </w:rPr>
            </w:pPr>
            <w:r>
              <w:rPr>
                <w:sz w:val="18"/>
                <w:szCs w:val="18"/>
              </w:rPr>
              <w:t>学术/实践活动</w:t>
            </w:r>
          </w:p>
        </w:tc>
        <w:tc>
          <w:tcPr>
            <w:tcW w:w="1081" w:type="dxa"/>
            <w:vAlign w:val="center"/>
          </w:tcPr>
          <w:p w14:paraId="6F2ED464">
            <w:pPr>
              <w:jc w:val="center"/>
              <w:rPr>
                <w:rFonts w:hint="default"/>
                <w:sz w:val="18"/>
                <w:szCs w:val="18"/>
                <w:lang w:val="en-US"/>
              </w:rPr>
            </w:pPr>
            <w:r>
              <w:rPr>
                <w:rFonts w:hint="eastAsia"/>
                <w:color w:val="000000" w:themeColor="text1"/>
                <w:sz w:val="18"/>
                <w:szCs w:val="18"/>
                <w14:textFill>
                  <w14:solidFill>
                    <w14:schemeClr w14:val="tx1"/>
                  </w14:solidFill>
                </w14:textFill>
              </w:rPr>
              <w:t>ZS03</w:t>
            </w:r>
            <w:r>
              <w:rPr>
                <w:rFonts w:hint="eastAsia"/>
                <w:color w:val="000000" w:themeColor="text1"/>
                <w:sz w:val="18"/>
                <w:szCs w:val="18"/>
                <w:lang w:val="en-US" w:eastAsia="zh-CN"/>
                <w14:textFill>
                  <w14:solidFill>
                    <w14:schemeClr w14:val="tx1"/>
                  </w14:solidFill>
                </w14:textFill>
              </w:rPr>
              <w:t>24301</w:t>
            </w:r>
          </w:p>
        </w:tc>
        <w:tc>
          <w:tcPr>
            <w:tcW w:w="709" w:type="dxa"/>
            <w:vAlign w:val="center"/>
          </w:tcPr>
          <w:p w14:paraId="7296FA89">
            <w:pPr>
              <w:jc w:val="center"/>
              <w:rPr>
                <w:rFonts w:hint="eastAsia" w:eastAsia="宋体"/>
                <w:sz w:val="18"/>
                <w:szCs w:val="18"/>
                <w:lang w:eastAsia="zh-CN"/>
              </w:rPr>
            </w:pPr>
            <w:r>
              <w:rPr>
                <w:rFonts w:hint="eastAsia"/>
                <w:sz w:val="18"/>
                <w:szCs w:val="18"/>
                <w:lang w:val="en-US" w:eastAsia="zh-CN"/>
              </w:rPr>
              <w:t>4</w:t>
            </w:r>
          </w:p>
        </w:tc>
        <w:tc>
          <w:tcPr>
            <w:tcW w:w="709" w:type="dxa"/>
            <w:vAlign w:val="center"/>
          </w:tcPr>
          <w:p w14:paraId="25163D80">
            <w:pPr>
              <w:jc w:val="center"/>
              <w:rPr>
                <w:rFonts w:hint="default" w:eastAsia="宋体"/>
                <w:sz w:val="18"/>
                <w:szCs w:val="18"/>
                <w:lang w:val="en-US" w:eastAsia="zh-CN"/>
              </w:rPr>
            </w:pPr>
            <w:r>
              <w:rPr>
                <w:rFonts w:hint="eastAsia"/>
                <w:sz w:val="18"/>
                <w:szCs w:val="18"/>
                <w:lang w:val="en-US" w:eastAsia="zh-CN"/>
              </w:rPr>
              <w:t>4-5</w:t>
            </w:r>
          </w:p>
        </w:tc>
        <w:tc>
          <w:tcPr>
            <w:tcW w:w="1045" w:type="dxa"/>
            <w:vMerge w:val="continue"/>
            <w:vAlign w:val="center"/>
          </w:tcPr>
          <w:p w14:paraId="61422859">
            <w:pPr>
              <w:jc w:val="center"/>
              <w:rPr>
                <w:sz w:val="18"/>
                <w:szCs w:val="18"/>
              </w:rPr>
            </w:pPr>
          </w:p>
        </w:tc>
      </w:tr>
      <w:tr w14:paraId="323563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321E24D">
            <w:pPr>
              <w:rPr>
                <w:b/>
                <w:sz w:val="18"/>
                <w:szCs w:val="18"/>
              </w:rPr>
            </w:pPr>
          </w:p>
        </w:tc>
        <w:tc>
          <w:tcPr>
            <w:tcW w:w="1226" w:type="dxa"/>
            <w:vMerge w:val="restart"/>
            <w:vAlign w:val="center"/>
          </w:tcPr>
          <w:p w14:paraId="25F391F8">
            <w:pPr>
              <w:jc w:val="center"/>
              <w:rPr>
                <w:b/>
                <w:sz w:val="18"/>
                <w:szCs w:val="18"/>
              </w:rPr>
            </w:pPr>
            <w:r>
              <w:rPr>
                <w:b/>
                <w:sz w:val="18"/>
                <w:szCs w:val="18"/>
              </w:rPr>
              <w:t>学术训练</w:t>
            </w:r>
          </w:p>
        </w:tc>
        <w:tc>
          <w:tcPr>
            <w:tcW w:w="3516" w:type="dxa"/>
            <w:vAlign w:val="center"/>
          </w:tcPr>
          <w:p w14:paraId="0C33A373">
            <w:pPr>
              <w:rPr>
                <w:sz w:val="18"/>
                <w:szCs w:val="18"/>
              </w:rPr>
            </w:pPr>
            <w:r>
              <w:rPr>
                <w:sz w:val="18"/>
                <w:szCs w:val="18"/>
              </w:rPr>
              <w:t>中期筛选</w:t>
            </w:r>
          </w:p>
        </w:tc>
        <w:tc>
          <w:tcPr>
            <w:tcW w:w="1081" w:type="dxa"/>
            <w:vAlign w:val="center"/>
          </w:tcPr>
          <w:p w14:paraId="341229C7">
            <w:pPr>
              <w:jc w:val="center"/>
              <w:rPr>
                <w:sz w:val="18"/>
                <w:szCs w:val="18"/>
              </w:rPr>
            </w:pPr>
          </w:p>
        </w:tc>
        <w:tc>
          <w:tcPr>
            <w:tcW w:w="709" w:type="dxa"/>
            <w:vAlign w:val="center"/>
          </w:tcPr>
          <w:p w14:paraId="37D97735">
            <w:pPr>
              <w:jc w:val="center"/>
              <w:rPr>
                <w:sz w:val="18"/>
                <w:szCs w:val="18"/>
              </w:rPr>
            </w:pPr>
          </w:p>
        </w:tc>
        <w:tc>
          <w:tcPr>
            <w:tcW w:w="709" w:type="dxa"/>
            <w:vAlign w:val="center"/>
          </w:tcPr>
          <w:p w14:paraId="2CBF03C6">
            <w:pPr>
              <w:jc w:val="center"/>
              <w:rPr>
                <w:sz w:val="18"/>
                <w:szCs w:val="18"/>
              </w:rPr>
            </w:pPr>
            <w:r>
              <w:rPr>
                <w:rFonts w:hint="eastAsia"/>
                <w:sz w:val="18"/>
                <w:szCs w:val="18"/>
              </w:rPr>
              <w:t>3</w:t>
            </w:r>
          </w:p>
        </w:tc>
        <w:tc>
          <w:tcPr>
            <w:tcW w:w="1045" w:type="dxa"/>
            <w:vMerge w:val="restart"/>
            <w:vAlign w:val="center"/>
          </w:tcPr>
          <w:p w14:paraId="37007C67">
            <w:pPr>
              <w:jc w:val="center"/>
              <w:rPr>
                <w:sz w:val="18"/>
                <w:szCs w:val="18"/>
              </w:rPr>
            </w:pPr>
            <w:r>
              <w:rPr>
                <w:sz w:val="18"/>
                <w:szCs w:val="18"/>
              </w:rPr>
              <w:t>过程管理</w:t>
            </w:r>
          </w:p>
          <w:p w14:paraId="28B13B1C">
            <w:pPr>
              <w:jc w:val="center"/>
              <w:rPr>
                <w:sz w:val="18"/>
                <w:szCs w:val="18"/>
              </w:rPr>
            </w:pPr>
            <w:r>
              <w:rPr>
                <w:sz w:val="18"/>
                <w:szCs w:val="18"/>
              </w:rPr>
              <w:t>无学分</w:t>
            </w:r>
          </w:p>
        </w:tc>
      </w:tr>
      <w:tr w14:paraId="420463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541DBDA">
            <w:pPr>
              <w:rPr>
                <w:b/>
                <w:sz w:val="18"/>
                <w:szCs w:val="18"/>
              </w:rPr>
            </w:pPr>
          </w:p>
        </w:tc>
        <w:tc>
          <w:tcPr>
            <w:tcW w:w="1226" w:type="dxa"/>
            <w:vMerge w:val="continue"/>
            <w:vAlign w:val="center"/>
          </w:tcPr>
          <w:p w14:paraId="0A9C1F21">
            <w:pPr>
              <w:jc w:val="center"/>
              <w:rPr>
                <w:b/>
                <w:sz w:val="18"/>
                <w:szCs w:val="18"/>
              </w:rPr>
            </w:pPr>
          </w:p>
        </w:tc>
        <w:tc>
          <w:tcPr>
            <w:tcW w:w="3516" w:type="dxa"/>
            <w:vAlign w:val="center"/>
          </w:tcPr>
          <w:p w14:paraId="2262DBCE">
            <w:pPr>
              <w:rPr>
                <w:sz w:val="18"/>
                <w:szCs w:val="18"/>
              </w:rPr>
            </w:pPr>
            <w:r>
              <w:rPr>
                <w:sz w:val="18"/>
                <w:szCs w:val="18"/>
              </w:rPr>
              <w:t>论文开题</w:t>
            </w:r>
          </w:p>
        </w:tc>
        <w:tc>
          <w:tcPr>
            <w:tcW w:w="1081" w:type="dxa"/>
            <w:vAlign w:val="center"/>
          </w:tcPr>
          <w:p w14:paraId="459724C2">
            <w:pPr>
              <w:jc w:val="center"/>
              <w:rPr>
                <w:sz w:val="18"/>
                <w:szCs w:val="18"/>
              </w:rPr>
            </w:pPr>
          </w:p>
        </w:tc>
        <w:tc>
          <w:tcPr>
            <w:tcW w:w="709" w:type="dxa"/>
            <w:vAlign w:val="center"/>
          </w:tcPr>
          <w:p w14:paraId="526A05C9">
            <w:pPr>
              <w:jc w:val="center"/>
              <w:rPr>
                <w:sz w:val="18"/>
                <w:szCs w:val="18"/>
              </w:rPr>
            </w:pPr>
          </w:p>
        </w:tc>
        <w:tc>
          <w:tcPr>
            <w:tcW w:w="709" w:type="dxa"/>
            <w:vAlign w:val="center"/>
          </w:tcPr>
          <w:p w14:paraId="486CCBA8">
            <w:pPr>
              <w:jc w:val="center"/>
              <w:rPr>
                <w:iCs/>
                <w:sz w:val="18"/>
                <w:szCs w:val="18"/>
              </w:rPr>
            </w:pPr>
            <w:r>
              <w:rPr>
                <w:rFonts w:hint="eastAsia"/>
                <w:iCs/>
                <w:sz w:val="18"/>
                <w:szCs w:val="18"/>
              </w:rPr>
              <w:t>4</w:t>
            </w:r>
          </w:p>
        </w:tc>
        <w:tc>
          <w:tcPr>
            <w:tcW w:w="1045" w:type="dxa"/>
            <w:vMerge w:val="continue"/>
            <w:vAlign w:val="center"/>
          </w:tcPr>
          <w:p w14:paraId="10CDCB7E">
            <w:pPr>
              <w:jc w:val="center"/>
              <w:rPr>
                <w:sz w:val="18"/>
                <w:szCs w:val="18"/>
              </w:rPr>
            </w:pPr>
          </w:p>
        </w:tc>
      </w:tr>
      <w:tr w14:paraId="2D8FF0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D7C91C4">
            <w:pPr>
              <w:rPr>
                <w:b/>
                <w:sz w:val="18"/>
                <w:szCs w:val="18"/>
              </w:rPr>
            </w:pPr>
          </w:p>
        </w:tc>
        <w:tc>
          <w:tcPr>
            <w:tcW w:w="1226" w:type="dxa"/>
            <w:vMerge w:val="continue"/>
            <w:vAlign w:val="center"/>
          </w:tcPr>
          <w:p w14:paraId="6EF0D029">
            <w:pPr>
              <w:jc w:val="center"/>
              <w:rPr>
                <w:b/>
                <w:sz w:val="18"/>
                <w:szCs w:val="18"/>
              </w:rPr>
            </w:pPr>
          </w:p>
        </w:tc>
        <w:tc>
          <w:tcPr>
            <w:tcW w:w="3516" w:type="dxa"/>
            <w:vAlign w:val="center"/>
          </w:tcPr>
          <w:p w14:paraId="276EAB6F">
            <w:pPr>
              <w:rPr>
                <w:sz w:val="18"/>
                <w:szCs w:val="18"/>
              </w:rPr>
            </w:pPr>
            <w:r>
              <w:rPr>
                <w:sz w:val="18"/>
                <w:szCs w:val="18"/>
              </w:rPr>
              <w:t>论文中期进展报告</w:t>
            </w:r>
          </w:p>
        </w:tc>
        <w:tc>
          <w:tcPr>
            <w:tcW w:w="1081" w:type="dxa"/>
            <w:vAlign w:val="center"/>
          </w:tcPr>
          <w:p w14:paraId="5BB38296">
            <w:pPr>
              <w:jc w:val="center"/>
              <w:rPr>
                <w:sz w:val="18"/>
                <w:szCs w:val="18"/>
              </w:rPr>
            </w:pPr>
          </w:p>
        </w:tc>
        <w:tc>
          <w:tcPr>
            <w:tcW w:w="709" w:type="dxa"/>
            <w:vAlign w:val="center"/>
          </w:tcPr>
          <w:p w14:paraId="10A5965A">
            <w:pPr>
              <w:jc w:val="center"/>
              <w:rPr>
                <w:sz w:val="18"/>
                <w:szCs w:val="18"/>
              </w:rPr>
            </w:pPr>
          </w:p>
        </w:tc>
        <w:tc>
          <w:tcPr>
            <w:tcW w:w="709" w:type="dxa"/>
            <w:vAlign w:val="center"/>
          </w:tcPr>
          <w:p w14:paraId="3B85B6B7">
            <w:pPr>
              <w:jc w:val="center"/>
              <w:rPr>
                <w:iCs/>
                <w:sz w:val="18"/>
                <w:szCs w:val="18"/>
              </w:rPr>
            </w:pPr>
            <w:r>
              <w:rPr>
                <w:rFonts w:hint="eastAsia"/>
                <w:iCs/>
                <w:sz w:val="18"/>
                <w:szCs w:val="18"/>
              </w:rPr>
              <w:t>5</w:t>
            </w:r>
          </w:p>
        </w:tc>
        <w:tc>
          <w:tcPr>
            <w:tcW w:w="1045" w:type="dxa"/>
            <w:vMerge w:val="continue"/>
          </w:tcPr>
          <w:p w14:paraId="13BF50EB">
            <w:pPr>
              <w:jc w:val="center"/>
              <w:rPr>
                <w:sz w:val="18"/>
                <w:szCs w:val="18"/>
              </w:rPr>
            </w:pPr>
          </w:p>
        </w:tc>
      </w:tr>
      <w:tr w14:paraId="6F5BDB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1BB994">
            <w:pPr>
              <w:rPr>
                <w:b/>
                <w:sz w:val="18"/>
                <w:szCs w:val="18"/>
              </w:rPr>
            </w:pPr>
          </w:p>
        </w:tc>
        <w:tc>
          <w:tcPr>
            <w:tcW w:w="1226" w:type="dxa"/>
            <w:vMerge w:val="continue"/>
            <w:vAlign w:val="center"/>
          </w:tcPr>
          <w:p w14:paraId="70AB1CAF">
            <w:pPr>
              <w:jc w:val="center"/>
              <w:rPr>
                <w:b/>
                <w:sz w:val="18"/>
                <w:szCs w:val="18"/>
              </w:rPr>
            </w:pPr>
          </w:p>
        </w:tc>
        <w:tc>
          <w:tcPr>
            <w:tcW w:w="3516" w:type="dxa"/>
            <w:vAlign w:val="center"/>
          </w:tcPr>
          <w:p w14:paraId="6F784F12">
            <w:pPr>
              <w:rPr>
                <w:sz w:val="18"/>
                <w:szCs w:val="18"/>
              </w:rPr>
            </w:pPr>
            <w:r>
              <w:rPr>
                <w:sz w:val="18"/>
                <w:szCs w:val="18"/>
              </w:rPr>
              <w:t>论文预答辩</w:t>
            </w:r>
          </w:p>
        </w:tc>
        <w:tc>
          <w:tcPr>
            <w:tcW w:w="1081" w:type="dxa"/>
            <w:vAlign w:val="center"/>
          </w:tcPr>
          <w:p w14:paraId="757E5C26">
            <w:pPr>
              <w:jc w:val="center"/>
              <w:rPr>
                <w:sz w:val="18"/>
                <w:szCs w:val="18"/>
              </w:rPr>
            </w:pPr>
          </w:p>
        </w:tc>
        <w:tc>
          <w:tcPr>
            <w:tcW w:w="709" w:type="dxa"/>
            <w:vAlign w:val="center"/>
          </w:tcPr>
          <w:p w14:paraId="0BA20C54">
            <w:pPr>
              <w:jc w:val="center"/>
              <w:rPr>
                <w:sz w:val="18"/>
                <w:szCs w:val="18"/>
              </w:rPr>
            </w:pPr>
          </w:p>
        </w:tc>
        <w:tc>
          <w:tcPr>
            <w:tcW w:w="709" w:type="dxa"/>
            <w:vAlign w:val="center"/>
          </w:tcPr>
          <w:p w14:paraId="62BFA2FE">
            <w:pPr>
              <w:jc w:val="center"/>
              <w:rPr>
                <w:iCs/>
                <w:sz w:val="18"/>
                <w:szCs w:val="18"/>
              </w:rPr>
            </w:pPr>
            <w:r>
              <w:rPr>
                <w:rFonts w:hint="eastAsia"/>
                <w:iCs/>
                <w:sz w:val="18"/>
                <w:szCs w:val="18"/>
              </w:rPr>
              <w:t>6</w:t>
            </w:r>
          </w:p>
        </w:tc>
        <w:tc>
          <w:tcPr>
            <w:tcW w:w="1045" w:type="dxa"/>
            <w:vMerge w:val="continue"/>
          </w:tcPr>
          <w:p w14:paraId="6CDCD81E">
            <w:pPr>
              <w:jc w:val="center"/>
              <w:rPr>
                <w:sz w:val="18"/>
                <w:szCs w:val="18"/>
              </w:rPr>
            </w:pPr>
          </w:p>
        </w:tc>
      </w:tr>
      <w:tr w14:paraId="12094F0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2076187">
            <w:pPr>
              <w:rPr>
                <w:sz w:val="18"/>
                <w:szCs w:val="18"/>
              </w:rPr>
            </w:pPr>
          </w:p>
        </w:tc>
        <w:tc>
          <w:tcPr>
            <w:tcW w:w="1226" w:type="dxa"/>
            <w:vMerge w:val="continue"/>
          </w:tcPr>
          <w:p w14:paraId="60353E40">
            <w:pPr>
              <w:jc w:val="center"/>
              <w:rPr>
                <w:sz w:val="18"/>
                <w:szCs w:val="18"/>
              </w:rPr>
            </w:pPr>
          </w:p>
        </w:tc>
        <w:tc>
          <w:tcPr>
            <w:tcW w:w="3516" w:type="dxa"/>
            <w:vAlign w:val="center"/>
          </w:tcPr>
          <w:p w14:paraId="75A1FEA7">
            <w:pPr>
              <w:rPr>
                <w:sz w:val="18"/>
                <w:szCs w:val="18"/>
              </w:rPr>
            </w:pPr>
            <w:r>
              <w:rPr>
                <w:sz w:val="18"/>
                <w:szCs w:val="18"/>
              </w:rPr>
              <w:t>论文评审</w:t>
            </w:r>
          </w:p>
        </w:tc>
        <w:tc>
          <w:tcPr>
            <w:tcW w:w="1081" w:type="dxa"/>
            <w:vAlign w:val="center"/>
          </w:tcPr>
          <w:p w14:paraId="62B351F7">
            <w:pPr>
              <w:jc w:val="center"/>
              <w:rPr>
                <w:sz w:val="18"/>
                <w:szCs w:val="18"/>
              </w:rPr>
            </w:pPr>
          </w:p>
        </w:tc>
        <w:tc>
          <w:tcPr>
            <w:tcW w:w="709" w:type="dxa"/>
            <w:vAlign w:val="center"/>
          </w:tcPr>
          <w:p w14:paraId="145C4FF8">
            <w:pPr>
              <w:jc w:val="center"/>
              <w:rPr>
                <w:sz w:val="18"/>
                <w:szCs w:val="18"/>
              </w:rPr>
            </w:pPr>
          </w:p>
        </w:tc>
        <w:tc>
          <w:tcPr>
            <w:tcW w:w="709" w:type="dxa"/>
            <w:vAlign w:val="center"/>
          </w:tcPr>
          <w:p w14:paraId="34748B67">
            <w:pPr>
              <w:jc w:val="center"/>
              <w:rPr>
                <w:sz w:val="18"/>
                <w:szCs w:val="18"/>
              </w:rPr>
            </w:pPr>
            <w:r>
              <w:rPr>
                <w:sz w:val="18"/>
                <w:szCs w:val="18"/>
              </w:rPr>
              <w:t>6</w:t>
            </w:r>
          </w:p>
        </w:tc>
        <w:tc>
          <w:tcPr>
            <w:tcW w:w="1045" w:type="dxa"/>
            <w:vMerge w:val="continue"/>
          </w:tcPr>
          <w:p w14:paraId="7614ABA2">
            <w:pPr>
              <w:jc w:val="center"/>
              <w:rPr>
                <w:sz w:val="18"/>
                <w:szCs w:val="18"/>
              </w:rPr>
            </w:pPr>
          </w:p>
        </w:tc>
      </w:tr>
      <w:tr w14:paraId="29862F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A2A8077">
            <w:pPr>
              <w:rPr>
                <w:sz w:val="18"/>
                <w:szCs w:val="18"/>
              </w:rPr>
            </w:pPr>
          </w:p>
        </w:tc>
        <w:tc>
          <w:tcPr>
            <w:tcW w:w="1226" w:type="dxa"/>
            <w:vMerge w:val="continue"/>
          </w:tcPr>
          <w:p w14:paraId="1B8F076F">
            <w:pPr>
              <w:jc w:val="center"/>
              <w:rPr>
                <w:sz w:val="18"/>
                <w:szCs w:val="18"/>
              </w:rPr>
            </w:pPr>
          </w:p>
        </w:tc>
        <w:tc>
          <w:tcPr>
            <w:tcW w:w="3516" w:type="dxa"/>
            <w:vAlign w:val="center"/>
          </w:tcPr>
          <w:p w14:paraId="591CFBA0">
            <w:pPr>
              <w:rPr>
                <w:sz w:val="18"/>
                <w:szCs w:val="18"/>
              </w:rPr>
            </w:pPr>
            <w:r>
              <w:rPr>
                <w:sz w:val="18"/>
                <w:szCs w:val="18"/>
              </w:rPr>
              <w:t>论文答辩</w:t>
            </w:r>
          </w:p>
        </w:tc>
        <w:tc>
          <w:tcPr>
            <w:tcW w:w="1081" w:type="dxa"/>
            <w:vAlign w:val="center"/>
          </w:tcPr>
          <w:p w14:paraId="47EDFBD8">
            <w:pPr>
              <w:jc w:val="center"/>
              <w:rPr>
                <w:sz w:val="18"/>
                <w:szCs w:val="18"/>
              </w:rPr>
            </w:pPr>
          </w:p>
        </w:tc>
        <w:tc>
          <w:tcPr>
            <w:tcW w:w="709" w:type="dxa"/>
            <w:vAlign w:val="center"/>
          </w:tcPr>
          <w:p w14:paraId="0FE37BB1">
            <w:pPr>
              <w:jc w:val="center"/>
              <w:rPr>
                <w:sz w:val="18"/>
                <w:szCs w:val="18"/>
              </w:rPr>
            </w:pPr>
          </w:p>
        </w:tc>
        <w:tc>
          <w:tcPr>
            <w:tcW w:w="709" w:type="dxa"/>
            <w:vAlign w:val="center"/>
          </w:tcPr>
          <w:p w14:paraId="250CF032">
            <w:pPr>
              <w:jc w:val="center"/>
              <w:rPr>
                <w:sz w:val="18"/>
                <w:szCs w:val="18"/>
              </w:rPr>
            </w:pPr>
            <w:r>
              <w:rPr>
                <w:sz w:val="18"/>
                <w:szCs w:val="18"/>
              </w:rPr>
              <w:t>6</w:t>
            </w:r>
          </w:p>
        </w:tc>
        <w:tc>
          <w:tcPr>
            <w:tcW w:w="1045" w:type="dxa"/>
            <w:vMerge w:val="continue"/>
          </w:tcPr>
          <w:p w14:paraId="7C677F28">
            <w:pPr>
              <w:jc w:val="center"/>
              <w:rPr>
                <w:sz w:val="18"/>
                <w:szCs w:val="18"/>
              </w:rPr>
            </w:pPr>
          </w:p>
        </w:tc>
      </w:tr>
    </w:tbl>
    <w:p w14:paraId="1BD14390">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4619B3B1">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30F78F9">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bookmarkEnd w:id="0"/>
    <w:bookmarkEnd w:id="1"/>
    <w:p w14:paraId="3217BC59">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4618"/>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220E"/>
    <w:rsid w:val="0005309E"/>
    <w:rsid w:val="00053173"/>
    <w:rsid w:val="00053E11"/>
    <w:rsid w:val="00054712"/>
    <w:rsid w:val="00054B7F"/>
    <w:rsid w:val="00054F25"/>
    <w:rsid w:val="00060C9E"/>
    <w:rsid w:val="00060E5A"/>
    <w:rsid w:val="00061443"/>
    <w:rsid w:val="00061DCD"/>
    <w:rsid w:val="000627FF"/>
    <w:rsid w:val="00065525"/>
    <w:rsid w:val="00065668"/>
    <w:rsid w:val="00065862"/>
    <w:rsid w:val="00067644"/>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5CC"/>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23B"/>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970"/>
    <w:rsid w:val="001E4A22"/>
    <w:rsid w:val="001E5492"/>
    <w:rsid w:val="001E57D0"/>
    <w:rsid w:val="001F03A6"/>
    <w:rsid w:val="001F0AE0"/>
    <w:rsid w:val="001F11BA"/>
    <w:rsid w:val="001F1A8A"/>
    <w:rsid w:val="001F1F2E"/>
    <w:rsid w:val="001F1F8B"/>
    <w:rsid w:val="001F2A73"/>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C3F"/>
    <w:rsid w:val="00216D4F"/>
    <w:rsid w:val="00217554"/>
    <w:rsid w:val="00217A8B"/>
    <w:rsid w:val="0022264F"/>
    <w:rsid w:val="00222A5E"/>
    <w:rsid w:val="002231B6"/>
    <w:rsid w:val="00224514"/>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5A"/>
    <w:rsid w:val="002661C1"/>
    <w:rsid w:val="002666C6"/>
    <w:rsid w:val="00266D07"/>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2F87"/>
    <w:rsid w:val="002C3AB3"/>
    <w:rsid w:val="002C44BA"/>
    <w:rsid w:val="002C4D22"/>
    <w:rsid w:val="002C531D"/>
    <w:rsid w:val="002C5839"/>
    <w:rsid w:val="002C5D7C"/>
    <w:rsid w:val="002C68F2"/>
    <w:rsid w:val="002C6CF4"/>
    <w:rsid w:val="002C7D60"/>
    <w:rsid w:val="002D257F"/>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67A5"/>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6E0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65C"/>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408"/>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C7E7E"/>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0511"/>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361"/>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A"/>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4E97"/>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2800"/>
    <w:rsid w:val="005A3159"/>
    <w:rsid w:val="005A411E"/>
    <w:rsid w:val="005A5206"/>
    <w:rsid w:val="005A62AC"/>
    <w:rsid w:val="005A746C"/>
    <w:rsid w:val="005A75E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C7B1A"/>
    <w:rsid w:val="005D14BA"/>
    <w:rsid w:val="005D17B7"/>
    <w:rsid w:val="005D22F5"/>
    <w:rsid w:val="005D32A3"/>
    <w:rsid w:val="005D3952"/>
    <w:rsid w:val="005D3E43"/>
    <w:rsid w:val="005D40D4"/>
    <w:rsid w:val="005D5C84"/>
    <w:rsid w:val="005D79EF"/>
    <w:rsid w:val="005D7BE7"/>
    <w:rsid w:val="005E1061"/>
    <w:rsid w:val="005E1B84"/>
    <w:rsid w:val="005E2A0E"/>
    <w:rsid w:val="005E3AAB"/>
    <w:rsid w:val="005E5DC2"/>
    <w:rsid w:val="005E62E3"/>
    <w:rsid w:val="005E64E5"/>
    <w:rsid w:val="005E7735"/>
    <w:rsid w:val="005F06F9"/>
    <w:rsid w:val="005F0D62"/>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75E"/>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15A"/>
    <w:rsid w:val="0068580C"/>
    <w:rsid w:val="00687FF2"/>
    <w:rsid w:val="00690C5E"/>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0680"/>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85D"/>
    <w:rsid w:val="006F1B05"/>
    <w:rsid w:val="006F342D"/>
    <w:rsid w:val="006F3FD5"/>
    <w:rsid w:val="006F44CB"/>
    <w:rsid w:val="006F4E9A"/>
    <w:rsid w:val="006F56D8"/>
    <w:rsid w:val="0070093D"/>
    <w:rsid w:val="007009E3"/>
    <w:rsid w:val="00701AF0"/>
    <w:rsid w:val="00702631"/>
    <w:rsid w:val="007028F7"/>
    <w:rsid w:val="00704290"/>
    <w:rsid w:val="0070590A"/>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09BA"/>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5853"/>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48F5"/>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67409"/>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3E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4E1D"/>
    <w:rsid w:val="008B6A84"/>
    <w:rsid w:val="008B79F0"/>
    <w:rsid w:val="008C0847"/>
    <w:rsid w:val="008C0CD5"/>
    <w:rsid w:val="008C3036"/>
    <w:rsid w:val="008C35AC"/>
    <w:rsid w:val="008C3DA2"/>
    <w:rsid w:val="008C51D2"/>
    <w:rsid w:val="008C6307"/>
    <w:rsid w:val="008C786F"/>
    <w:rsid w:val="008D02C0"/>
    <w:rsid w:val="008D050B"/>
    <w:rsid w:val="008D1109"/>
    <w:rsid w:val="008D1674"/>
    <w:rsid w:val="008D169C"/>
    <w:rsid w:val="008D28EB"/>
    <w:rsid w:val="008D3790"/>
    <w:rsid w:val="008D3D16"/>
    <w:rsid w:val="008D505D"/>
    <w:rsid w:val="008D57A3"/>
    <w:rsid w:val="008D5B96"/>
    <w:rsid w:val="008D5D80"/>
    <w:rsid w:val="008D6259"/>
    <w:rsid w:val="008D6481"/>
    <w:rsid w:val="008D68AE"/>
    <w:rsid w:val="008D7BB3"/>
    <w:rsid w:val="008E0764"/>
    <w:rsid w:val="008E165B"/>
    <w:rsid w:val="008E191D"/>
    <w:rsid w:val="008E3835"/>
    <w:rsid w:val="008E4D6E"/>
    <w:rsid w:val="008E545B"/>
    <w:rsid w:val="008F11C2"/>
    <w:rsid w:val="008F1554"/>
    <w:rsid w:val="008F2DD5"/>
    <w:rsid w:val="008F3868"/>
    <w:rsid w:val="008F4EE3"/>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673"/>
    <w:rsid w:val="00905AC8"/>
    <w:rsid w:val="009062FB"/>
    <w:rsid w:val="0091015C"/>
    <w:rsid w:val="00910B32"/>
    <w:rsid w:val="00910C3B"/>
    <w:rsid w:val="00911AC4"/>
    <w:rsid w:val="00911D0A"/>
    <w:rsid w:val="00911ED2"/>
    <w:rsid w:val="009120C5"/>
    <w:rsid w:val="00916058"/>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26B87"/>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133"/>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540B"/>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4A1"/>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07B98"/>
    <w:rsid w:val="00B10337"/>
    <w:rsid w:val="00B108D6"/>
    <w:rsid w:val="00B10BF6"/>
    <w:rsid w:val="00B111DB"/>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3FD7"/>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4B49"/>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06D4"/>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1F4D"/>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5864"/>
    <w:rsid w:val="00CA6DCE"/>
    <w:rsid w:val="00CA7018"/>
    <w:rsid w:val="00CB0A42"/>
    <w:rsid w:val="00CB1865"/>
    <w:rsid w:val="00CB29E9"/>
    <w:rsid w:val="00CB3BAA"/>
    <w:rsid w:val="00CB4C98"/>
    <w:rsid w:val="00CB4F81"/>
    <w:rsid w:val="00CB597F"/>
    <w:rsid w:val="00CB5CBA"/>
    <w:rsid w:val="00CB6A1F"/>
    <w:rsid w:val="00CB720B"/>
    <w:rsid w:val="00CC130B"/>
    <w:rsid w:val="00CC2B1C"/>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2B7E"/>
    <w:rsid w:val="00CF501B"/>
    <w:rsid w:val="00CF7899"/>
    <w:rsid w:val="00D00C15"/>
    <w:rsid w:val="00D0114D"/>
    <w:rsid w:val="00D01D1A"/>
    <w:rsid w:val="00D02082"/>
    <w:rsid w:val="00D02606"/>
    <w:rsid w:val="00D03967"/>
    <w:rsid w:val="00D042F5"/>
    <w:rsid w:val="00D04AF2"/>
    <w:rsid w:val="00D06384"/>
    <w:rsid w:val="00D06419"/>
    <w:rsid w:val="00D06A68"/>
    <w:rsid w:val="00D07459"/>
    <w:rsid w:val="00D12FC0"/>
    <w:rsid w:val="00D146A1"/>
    <w:rsid w:val="00D15AB1"/>
    <w:rsid w:val="00D16345"/>
    <w:rsid w:val="00D16FE0"/>
    <w:rsid w:val="00D175EE"/>
    <w:rsid w:val="00D1783C"/>
    <w:rsid w:val="00D22502"/>
    <w:rsid w:val="00D22644"/>
    <w:rsid w:val="00D22B96"/>
    <w:rsid w:val="00D22D5C"/>
    <w:rsid w:val="00D22FC3"/>
    <w:rsid w:val="00D241DB"/>
    <w:rsid w:val="00D246B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51F0"/>
    <w:rsid w:val="00D56471"/>
    <w:rsid w:val="00D564BE"/>
    <w:rsid w:val="00D567EA"/>
    <w:rsid w:val="00D57D1E"/>
    <w:rsid w:val="00D60260"/>
    <w:rsid w:val="00D60EAF"/>
    <w:rsid w:val="00D61107"/>
    <w:rsid w:val="00D616B6"/>
    <w:rsid w:val="00D62555"/>
    <w:rsid w:val="00D628FB"/>
    <w:rsid w:val="00D64B18"/>
    <w:rsid w:val="00D64B40"/>
    <w:rsid w:val="00D64F08"/>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438D"/>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32E1"/>
    <w:rsid w:val="00DC4AE3"/>
    <w:rsid w:val="00DC4C92"/>
    <w:rsid w:val="00DC4EDA"/>
    <w:rsid w:val="00DC57C5"/>
    <w:rsid w:val="00DC5B1C"/>
    <w:rsid w:val="00DC7593"/>
    <w:rsid w:val="00DC7EBA"/>
    <w:rsid w:val="00DD0C1A"/>
    <w:rsid w:val="00DD16B2"/>
    <w:rsid w:val="00DD2CBE"/>
    <w:rsid w:val="00DD3522"/>
    <w:rsid w:val="00DD4C58"/>
    <w:rsid w:val="00DD5963"/>
    <w:rsid w:val="00DD5D92"/>
    <w:rsid w:val="00DD63B4"/>
    <w:rsid w:val="00DD67AA"/>
    <w:rsid w:val="00DD76C5"/>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4437"/>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0B6"/>
    <w:rsid w:val="00E80227"/>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735"/>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BBF"/>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49D7"/>
    <w:rsid w:val="00F052F1"/>
    <w:rsid w:val="00F05345"/>
    <w:rsid w:val="00F055F6"/>
    <w:rsid w:val="00F05B41"/>
    <w:rsid w:val="00F0693E"/>
    <w:rsid w:val="00F07DEA"/>
    <w:rsid w:val="00F10D70"/>
    <w:rsid w:val="00F11158"/>
    <w:rsid w:val="00F1478F"/>
    <w:rsid w:val="00F147B2"/>
    <w:rsid w:val="00F15066"/>
    <w:rsid w:val="00F157D2"/>
    <w:rsid w:val="00F16E5E"/>
    <w:rsid w:val="00F17D4A"/>
    <w:rsid w:val="00F206A9"/>
    <w:rsid w:val="00F219A5"/>
    <w:rsid w:val="00F22C36"/>
    <w:rsid w:val="00F230F4"/>
    <w:rsid w:val="00F23433"/>
    <w:rsid w:val="00F23490"/>
    <w:rsid w:val="00F239F2"/>
    <w:rsid w:val="00F24DE8"/>
    <w:rsid w:val="00F2541C"/>
    <w:rsid w:val="00F25EC3"/>
    <w:rsid w:val="00F26C37"/>
    <w:rsid w:val="00F30376"/>
    <w:rsid w:val="00F3045D"/>
    <w:rsid w:val="00F314FA"/>
    <w:rsid w:val="00F31ED1"/>
    <w:rsid w:val="00F32EB3"/>
    <w:rsid w:val="00F35EF6"/>
    <w:rsid w:val="00F40FDE"/>
    <w:rsid w:val="00F415B1"/>
    <w:rsid w:val="00F42341"/>
    <w:rsid w:val="00F43DC0"/>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0F96"/>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5E1"/>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21A6"/>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5F7A"/>
    <w:rsid w:val="00FC75C9"/>
    <w:rsid w:val="00FD0159"/>
    <w:rsid w:val="00FD0BBA"/>
    <w:rsid w:val="00FD20E1"/>
    <w:rsid w:val="00FD2818"/>
    <w:rsid w:val="00FD4A30"/>
    <w:rsid w:val="00FD5808"/>
    <w:rsid w:val="00FD625A"/>
    <w:rsid w:val="00FD627D"/>
    <w:rsid w:val="00FD6382"/>
    <w:rsid w:val="00FD74CE"/>
    <w:rsid w:val="00FD7B4A"/>
    <w:rsid w:val="00FD7D67"/>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56177E"/>
    <w:rsid w:val="023C403F"/>
    <w:rsid w:val="03B409DD"/>
    <w:rsid w:val="0496637E"/>
    <w:rsid w:val="04AE4E20"/>
    <w:rsid w:val="05EF419F"/>
    <w:rsid w:val="063846E2"/>
    <w:rsid w:val="078D5897"/>
    <w:rsid w:val="0AC74BA8"/>
    <w:rsid w:val="0E884F40"/>
    <w:rsid w:val="0EDE77FA"/>
    <w:rsid w:val="135B52E2"/>
    <w:rsid w:val="14B27262"/>
    <w:rsid w:val="16302145"/>
    <w:rsid w:val="16C32FBA"/>
    <w:rsid w:val="185B1A9C"/>
    <w:rsid w:val="187A731C"/>
    <w:rsid w:val="18890233"/>
    <w:rsid w:val="19135D94"/>
    <w:rsid w:val="194C5DB6"/>
    <w:rsid w:val="19681948"/>
    <w:rsid w:val="1A45672D"/>
    <w:rsid w:val="1BE91714"/>
    <w:rsid w:val="1C915908"/>
    <w:rsid w:val="1D7856D5"/>
    <w:rsid w:val="1D927837"/>
    <w:rsid w:val="1EE937D9"/>
    <w:rsid w:val="1FE96C05"/>
    <w:rsid w:val="2208041A"/>
    <w:rsid w:val="24134E54"/>
    <w:rsid w:val="24DE0E76"/>
    <w:rsid w:val="25515515"/>
    <w:rsid w:val="26E06270"/>
    <w:rsid w:val="27231852"/>
    <w:rsid w:val="280A5199"/>
    <w:rsid w:val="28706D19"/>
    <w:rsid w:val="2A7E571E"/>
    <w:rsid w:val="2B4104F9"/>
    <w:rsid w:val="2C1B6FB7"/>
    <w:rsid w:val="2EF17758"/>
    <w:rsid w:val="2F136A07"/>
    <w:rsid w:val="2F7F4ABD"/>
    <w:rsid w:val="3012081C"/>
    <w:rsid w:val="30763D16"/>
    <w:rsid w:val="31316DFF"/>
    <w:rsid w:val="36A31CDC"/>
    <w:rsid w:val="388C6932"/>
    <w:rsid w:val="38EE7F12"/>
    <w:rsid w:val="390455DA"/>
    <w:rsid w:val="3E4B3711"/>
    <w:rsid w:val="40D06148"/>
    <w:rsid w:val="412F2E76"/>
    <w:rsid w:val="436816B1"/>
    <w:rsid w:val="43D933D6"/>
    <w:rsid w:val="43E57158"/>
    <w:rsid w:val="445D2BF8"/>
    <w:rsid w:val="44652664"/>
    <w:rsid w:val="44A421F9"/>
    <w:rsid w:val="44EE4DF6"/>
    <w:rsid w:val="4528655A"/>
    <w:rsid w:val="45B46040"/>
    <w:rsid w:val="48136630"/>
    <w:rsid w:val="48E1714C"/>
    <w:rsid w:val="4B732B24"/>
    <w:rsid w:val="4BEE392E"/>
    <w:rsid w:val="4CD07C03"/>
    <w:rsid w:val="4CDC27FF"/>
    <w:rsid w:val="4E2669EA"/>
    <w:rsid w:val="50412F69"/>
    <w:rsid w:val="51782617"/>
    <w:rsid w:val="51A67184"/>
    <w:rsid w:val="51DB080A"/>
    <w:rsid w:val="5385202A"/>
    <w:rsid w:val="56ED339B"/>
    <w:rsid w:val="57367F90"/>
    <w:rsid w:val="576F1DC6"/>
    <w:rsid w:val="579E0408"/>
    <w:rsid w:val="58FC7ACA"/>
    <w:rsid w:val="5AB22A83"/>
    <w:rsid w:val="5ACB5664"/>
    <w:rsid w:val="5B3B312F"/>
    <w:rsid w:val="5B587EBA"/>
    <w:rsid w:val="5B973E65"/>
    <w:rsid w:val="5CB77792"/>
    <w:rsid w:val="5CDC2706"/>
    <w:rsid w:val="5D953CD4"/>
    <w:rsid w:val="5DB22A0D"/>
    <w:rsid w:val="5DC41AD2"/>
    <w:rsid w:val="5E1753DB"/>
    <w:rsid w:val="5E7B3747"/>
    <w:rsid w:val="5F893C41"/>
    <w:rsid w:val="614147D4"/>
    <w:rsid w:val="65C634F9"/>
    <w:rsid w:val="66502145"/>
    <w:rsid w:val="67277FC8"/>
    <w:rsid w:val="686B4ECE"/>
    <w:rsid w:val="694855A7"/>
    <w:rsid w:val="694E2184"/>
    <w:rsid w:val="696574CD"/>
    <w:rsid w:val="69E623BC"/>
    <w:rsid w:val="6ACC7244"/>
    <w:rsid w:val="6B142F59"/>
    <w:rsid w:val="6C6A1536"/>
    <w:rsid w:val="6EB13BD5"/>
    <w:rsid w:val="6F6A106F"/>
    <w:rsid w:val="704C0A9F"/>
    <w:rsid w:val="758008A1"/>
    <w:rsid w:val="758E689F"/>
    <w:rsid w:val="793B73B7"/>
    <w:rsid w:val="7B400342"/>
    <w:rsid w:val="7D3814E0"/>
    <w:rsid w:val="7DF95C2F"/>
    <w:rsid w:val="7E013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6</Pages>
  <Words>4122</Words>
  <Characters>4345</Characters>
  <Lines>28</Lines>
  <Paragraphs>8</Paragraphs>
  <TotalTime>0</TotalTime>
  <ScaleCrop>false</ScaleCrop>
  <LinksUpToDate>false</LinksUpToDate>
  <CharactersWithSpaces>4367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袁青川</cp:lastModifiedBy>
  <cp:lastPrinted>2025-06-11T07:50:52Z</cp:lastPrinted>
  <dcterms:modified xsi:type="dcterms:W3CDTF">2025-06-11T09:10:42Z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eyJoZGlkIjoiN2QyYTkyMWI2NGIzOTM5ZDVhZTIwYjY5OThhNTIyNmYiLCJ1c2VySWQiOiI0MzY0ODI3ODIifQ==</vt:lpwstr>
  </property>
  <property fmtid="{D5CDD505-2E9C-101B-9397-08002B2CF9AE}" pid="4" name="ICV">
    <vt:lpwstr>0CCD53B491C34344806D4835E8ADAE7F_12</vt:lpwstr>
  </property>
</Properties>
</file>