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E4CEF6">
      <w:pPr>
        <w:ind w:left="321" w:leftChars="153" w:right="227"/>
        <w:jc w:val="center"/>
        <w:rPr>
          <w:rFonts w:ascii="黑体" w:hAnsi="黑体" w:eastAsia="黑体"/>
          <w:b/>
          <w:bCs/>
          <w:sz w:val="36"/>
          <w:szCs w:val="36"/>
        </w:rPr>
      </w:pPr>
      <w:r>
        <w:rPr>
          <w:rFonts w:hint="eastAsia" w:ascii="黑体" w:hAnsi="黑体" w:eastAsia="黑体"/>
          <w:b/>
          <w:bCs/>
          <w:sz w:val="36"/>
          <w:szCs w:val="36"/>
          <w:u w:val="single"/>
        </w:rPr>
        <w:t>经济史</w:t>
      </w:r>
      <w:r>
        <w:rPr>
          <w:rFonts w:hint="eastAsia" w:ascii="黑体" w:hAnsi="黑体" w:eastAsia="黑体"/>
          <w:b/>
          <w:bCs/>
          <w:sz w:val="36"/>
          <w:szCs w:val="36"/>
        </w:rPr>
        <w:t>专业学术</w:t>
      </w:r>
      <w:r>
        <w:rPr>
          <w:rFonts w:ascii="黑体" w:hAnsi="黑体" w:eastAsia="黑体"/>
          <w:b/>
          <w:bCs/>
          <w:sz w:val="36"/>
          <w:szCs w:val="36"/>
        </w:rPr>
        <w:t>学位硕士研究生培养方案</w:t>
      </w:r>
    </w:p>
    <w:p w14:paraId="025169C7">
      <w:pPr>
        <w:ind w:left="321" w:leftChars="153" w:right="227"/>
        <w:jc w:val="center"/>
        <w:rPr>
          <w:rFonts w:eastAsia="黑体"/>
          <w:b/>
          <w:bCs/>
          <w:sz w:val="28"/>
          <w:szCs w:val="28"/>
        </w:rPr>
      </w:pPr>
      <w:r>
        <w:rPr>
          <w:rFonts w:eastAsia="黑体"/>
          <w:b/>
          <w:bCs/>
          <w:sz w:val="28"/>
          <w:szCs w:val="28"/>
        </w:rPr>
        <w:t>（</w:t>
      </w:r>
      <w:r>
        <w:rPr>
          <w:rFonts w:hint="eastAsia" w:eastAsia="黑体"/>
          <w:b/>
          <w:bCs/>
          <w:sz w:val="28"/>
          <w:szCs w:val="28"/>
        </w:rPr>
        <w:t>经济</w:t>
      </w:r>
      <w:r>
        <w:rPr>
          <w:rFonts w:eastAsia="黑体"/>
          <w:b/>
          <w:bCs/>
          <w:sz w:val="28"/>
          <w:szCs w:val="28"/>
        </w:rPr>
        <w:t>学院</w:t>
      </w:r>
      <w:r>
        <w:rPr>
          <w:rFonts w:hint="eastAsia" w:eastAsia="黑体"/>
          <w:b/>
          <w:bCs/>
          <w:sz w:val="28"/>
          <w:szCs w:val="28"/>
        </w:rPr>
        <w:t>）</w:t>
      </w:r>
    </w:p>
    <w:p w14:paraId="78D7E990">
      <w:pPr>
        <w:spacing w:line="360" w:lineRule="auto"/>
        <w:ind w:firstLine="560"/>
        <w:rPr>
          <w:rFonts w:eastAsia="黑体"/>
          <w:b/>
          <w:sz w:val="28"/>
          <w:szCs w:val="28"/>
        </w:rPr>
      </w:pPr>
      <w:r>
        <w:rPr>
          <w:rFonts w:eastAsia="黑体"/>
          <w:b/>
          <w:sz w:val="28"/>
          <w:szCs w:val="28"/>
        </w:rPr>
        <w:t>一、专业名称、代码</w:t>
      </w:r>
    </w:p>
    <w:p w14:paraId="101A9B1D">
      <w:pPr>
        <w:widowControl/>
        <w:spacing w:before="100" w:beforeAutospacing="1" w:after="100" w:afterAutospacing="1" w:line="360" w:lineRule="auto"/>
        <w:ind w:firstLine="960" w:firstLineChars="400"/>
        <w:jc w:val="left"/>
        <w:rPr>
          <w:color w:val="222222"/>
          <w:kern w:val="0"/>
          <w:sz w:val="18"/>
          <w:szCs w:val="18"/>
        </w:rPr>
      </w:pPr>
      <w:r>
        <w:rPr>
          <w:color w:val="222222"/>
          <w:kern w:val="0"/>
          <w:sz w:val="24"/>
        </w:rPr>
        <w:t>专业名称：</w:t>
      </w:r>
      <w:r>
        <w:rPr>
          <w:rFonts w:hint="eastAsia"/>
          <w:color w:val="222222"/>
          <w:kern w:val="0"/>
          <w:sz w:val="24"/>
        </w:rPr>
        <w:t>经济史</w:t>
      </w:r>
    </w:p>
    <w:p w14:paraId="6ED79E46">
      <w:pPr>
        <w:widowControl/>
        <w:spacing w:before="100" w:beforeAutospacing="1" w:after="100" w:afterAutospacing="1" w:line="360" w:lineRule="auto"/>
        <w:ind w:firstLine="960" w:firstLineChars="400"/>
        <w:jc w:val="left"/>
        <w:rPr>
          <w:color w:val="222222"/>
          <w:kern w:val="0"/>
          <w:sz w:val="18"/>
          <w:szCs w:val="18"/>
        </w:rPr>
      </w:pPr>
      <w:r>
        <w:rPr>
          <w:color w:val="222222"/>
          <w:kern w:val="0"/>
          <w:sz w:val="24"/>
        </w:rPr>
        <w:t>专业代码：</w:t>
      </w:r>
      <w:r>
        <w:rPr>
          <w:rFonts w:hint="eastAsia" w:ascii="宋体" w:hAnsi="宋体" w:cs="宋体"/>
          <w:sz w:val="24"/>
        </w:rPr>
        <w:t>02010</w:t>
      </w:r>
      <w:r>
        <w:rPr>
          <w:rFonts w:ascii="宋体" w:hAnsi="宋体" w:cs="宋体"/>
          <w:sz w:val="24"/>
        </w:rPr>
        <w:t>3</w:t>
      </w:r>
    </w:p>
    <w:p w14:paraId="455354E2">
      <w:pPr>
        <w:spacing w:line="360" w:lineRule="auto"/>
        <w:ind w:firstLine="560"/>
        <w:rPr>
          <w:rFonts w:eastAsia="黑体"/>
          <w:b/>
          <w:sz w:val="28"/>
          <w:szCs w:val="28"/>
        </w:rPr>
      </w:pPr>
      <w:r>
        <w:rPr>
          <w:rFonts w:eastAsia="黑体"/>
          <w:b/>
          <w:sz w:val="28"/>
          <w:szCs w:val="28"/>
        </w:rPr>
        <w:t>二、专业简介</w:t>
      </w:r>
    </w:p>
    <w:p w14:paraId="0C2F7059">
      <w:pPr>
        <w:spacing w:line="440" w:lineRule="exact"/>
        <w:ind w:firstLine="480" w:firstLineChars="200"/>
        <w:rPr>
          <w:sz w:val="24"/>
        </w:rPr>
      </w:pPr>
      <w:r>
        <w:rPr>
          <w:rFonts w:hint="eastAsia"/>
          <w:sz w:val="24"/>
        </w:rPr>
        <w:t>学科历史传承：河北大学经济史二级学科是随着理论经济学一级学科的建设而后发展起来的。河北大学理论经济学学科开始于</w:t>
      </w:r>
      <w:r>
        <w:rPr>
          <w:sz w:val="24"/>
        </w:rPr>
        <w:t xml:space="preserve">20 </w:t>
      </w:r>
      <w:r>
        <w:rPr>
          <w:rFonts w:hint="eastAsia"/>
          <w:sz w:val="24"/>
        </w:rPr>
        <w:t>世纪</w:t>
      </w:r>
      <w:r>
        <w:rPr>
          <w:sz w:val="24"/>
        </w:rPr>
        <w:t xml:space="preserve">60 </w:t>
      </w:r>
      <w:r>
        <w:rPr>
          <w:rFonts w:hint="eastAsia"/>
          <w:sz w:val="24"/>
        </w:rPr>
        <w:t>年代成立的财经系和日本研究所，又于</w:t>
      </w:r>
      <w:r>
        <w:rPr>
          <w:sz w:val="24"/>
        </w:rPr>
        <w:t xml:space="preserve">1978 </w:t>
      </w:r>
      <w:r>
        <w:rPr>
          <w:rFonts w:hint="eastAsia"/>
          <w:sz w:val="24"/>
        </w:rPr>
        <w:t>年成立了人口研究所，</w:t>
      </w:r>
      <w:r>
        <w:rPr>
          <w:sz w:val="24"/>
        </w:rPr>
        <w:t xml:space="preserve">2000 </w:t>
      </w:r>
      <w:r>
        <w:rPr>
          <w:rFonts w:hint="eastAsia"/>
          <w:sz w:val="24"/>
        </w:rPr>
        <w:t>年合并为现在的经济学院。</w:t>
      </w:r>
      <w:r>
        <w:rPr>
          <w:sz w:val="24"/>
        </w:rPr>
        <w:t xml:space="preserve">20 </w:t>
      </w:r>
      <w:r>
        <w:rPr>
          <w:rFonts w:hint="eastAsia"/>
          <w:sz w:val="24"/>
        </w:rPr>
        <w:t>世纪</w:t>
      </w:r>
      <w:r>
        <w:rPr>
          <w:sz w:val="24"/>
        </w:rPr>
        <w:t xml:space="preserve">70-80 </w:t>
      </w:r>
      <w:r>
        <w:rPr>
          <w:rFonts w:hint="eastAsia"/>
          <w:sz w:val="24"/>
        </w:rPr>
        <w:t>年代，陆百甫、杨启先、蒋光远等国内著名专家学者曾执教于此，以孙执中、杨德清、刘永佶教授为核心的教学团队奠定了本学科的基础，培育了以樊纲等为代表的大批优秀毕业生。分别于</w:t>
      </w:r>
      <w:r>
        <w:rPr>
          <w:sz w:val="24"/>
        </w:rPr>
        <w:t>1993</w:t>
      </w:r>
      <w:r>
        <w:rPr>
          <w:rFonts w:hint="eastAsia"/>
          <w:sz w:val="24"/>
        </w:rPr>
        <w:t>、</w:t>
      </w:r>
      <w:r>
        <w:rPr>
          <w:sz w:val="24"/>
        </w:rPr>
        <w:t xml:space="preserve">1995 </w:t>
      </w:r>
      <w:r>
        <w:rPr>
          <w:rFonts w:hint="eastAsia"/>
          <w:sz w:val="24"/>
        </w:rPr>
        <w:t>和</w:t>
      </w:r>
      <w:r>
        <w:rPr>
          <w:sz w:val="24"/>
        </w:rPr>
        <w:t xml:space="preserve">1997 </w:t>
      </w:r>
      <w:r>
        <w:rPr>
          <w:rFonts w:hint="eastAsia"/>
          <w:sz w:val="24"/>
        </w:rPr>
        <w:t>年获得世界经济、政治经济学和人口学硕士点，</w:t>
      </w:r>
      <w:r>
        <w:rPr>
          <w:sz w:val="24"/>
        </w:rPr>
        <w:t xml:space="preserve">2003 </w:t>
      </w:r>
      <w:r>
        <w:rPr>
          <w:rFonts w:hint="eastAsia"/>
          <w:sz w:val="24"/>
        </w:rPr>
        <w:t>年获得世界经济二级学科博士点，</w:t>
      </w:r>
      <w:r>
        <w:rPr>
          <w:sz w:val="24"/>
        </w:rPr>
        <w:t xml:space="preserve">2016 </w:t>
      </w:r>
      <w:r>
        <w:rPr>
          <w:rFonts w:hint="eastAsia"/>
          <w:sz w:val="24"/>
        </w:rPr>
        <w:t>年动态调整为应用经济学一级学科博士点，</w:t>
      </w:r>
      <w:r>
        <w:rPr>
          <w:sz w:val="24"/>
        </w:rPr>
        <w:t xml:space="preserve">2005 </w:t>
      </w:r>
      <w:r>
        <w:rPr>
          <w:rFonts w:hint="eastAsia"/>
          <w:sz w:val="24"/>
        </w:rPr>
        <w:t>年获得理论经济学一级学科硕士点。为了有力支撑一级学科的建设，河北大学经济史二级学科逐渐发展起来，并从2024年开始招收硕士研究生。</w:t>
      </w:r>
    </w:p>
    <w:p w14:paraId="0FB3BDA6">
      <w:pPr>
        <w:spacing w:line="360" w:lineRule="auto"/>
        <w:ind w:firstLine="480" w:firstLineChars="200"/>
        <w:rPr>
          <w:rFonts w:ascii="宋体" w:hAnsi="宋体" w:cs="宋体"/>
          <w:sz w:val="24"/>
        </w:rPr>
      </w:pPr>
      <w:r>
        <w:rPr>
          <w:rFonts w:hint="eastAsia"/>
          <w:sz w:val="24"/>
        </w:rPr>
        <w:t>学科优势特色：一是科研成果丰硕。团队成员承担国家社科基金重大项目、重点项目、一般项目及青年项目多项，获得多项教学和科研奖励，发表学术论文数十篇，出版专著、教材近十部；二是育人成效显著。团队教师长期坚持在教书育人的第一线，近五年培养了数十名理论经济学硕博士研究生，多就业于政府机关、高等学校、国有企业等，部分已成为部门单位的中坚骨干；三是团队实力雄厚。专任教师中大多拥有博士学位，</w:t>
      </w:r>
      <w:r>
        <w:rPr>
          <w:sz w:val="24"/>
        </w:rPr>
        <w:t>80%</w:t>
      </w:r>
      <w:r>
        <w:rPr>
          <w:rFonts w:hint="eastAsia"/>
          <w:sz w:val="24"/>
        </w:rPr>
        <w:t>的教师毕业于国内外知名高校或研究机构，多人赴境外进修访学或进行学术交流；四是智库能力提升。积极服务于“一带一路”、中国高水平开放和高质量发展、雄安新区建设、京津冀协同发展等国家重大战略和社会紧迫需求</w:t>
      </w:r>
      <w:r>
        <w:rPr>
          <w:rFonts w:hint="eastAsia" w:ascii="宋体" w:hAnsi="宋体" w:cs="宋体"/>
          <w:sz w:val="24"/>
        </w:rPr>
        <w:t>。</w:t>
      </w:r>
    </w:p>
    <w:p w14:paraId="1388407B">
      <w:pPr>
        <w:spacing w:line="360" w:lineRule="auto"/>
        <w:ind w:firstLine="560"/>
        <w:rPr>
          <w:rFonts w:eastAsia="黑体"/>
          <w:b/>
          <w:sz w:val="28"/>
          <w:szCs w:val="28"/>
        </w:rPr>
      </w:pPr>
      <w:r>
        <w:rPr>
          <w:rFonts w:eastAsia="黑体"/>
          <w:b/>
          <w:sz w:val="28"/>
          <w:szCs w:val="28"/>
        </w:rPr>
        <w:t>三、研究方向</w:t>
      </w:r>
    </w:p>
    <w:p w14:paraId="0BB530A0">
      <w:pPr>
        <w:spacing w:line="440" w:lineRule="exact"/>
        <w:ind w:firstLine="480" w:firstLineChars="200"/>
        <w:rPr>
          <w:rFonts w:ascii="宋体" w:hAnsi="宋体" w:cs="宋体"/>
          <w:sz w:val="24"/>
        </w:rPr>
      </w:pPr>
      <w:r>
        <w:rPr>
          <w:rFonts w:hint="eastAsia" w:ascii="宋体" w:hAnsi="宋体" w:cs="宋体"/>
          <w:sz w:val="24"/>
        </w:rPr>
        <w:t>经济史专业</w:t>
      </w:r>
      <w:r>
        <w:rPr>
          <w:rFonts w:ascii="宋体" w:hAnsi="宋体" w:cs="宋体"/>
          <w:sz w:val="24"/>
        </w:rPr>
        <w:t>旨</w:t>
      </w:r>
      <w:r>
        <w:rPr>
          <w:rFonts w:hint="eastAsia" w:ascii="宋体" w:hAnsi="宋体" w:cs="宋体"/>
          <w:sz w:val="24"/>
        </w:rPr>
        <w:t>在唯物史观指导下，从历史的长期发展角度，围绕</w:t>
      </w:r>
      <w:r>
        <w:rPr>
          <w:rFonts w:ascii="宋体" w:hAnsi="宋体" w:cs="宋体"/>
          <w:sz w:val="24"/>
        </w:rPr>
        <w:t>经济社会的演进与发展</w:t>
      </w:r>
      <w:r>
        <w:rPr>
          <w:rFonts w:hint="eastAsia" w:ascii="宋体" w:hAnsi="宋体" w:cs="宋体"/>
          <w:sz w:val="24"/>
        </w:rPr>
        <w:t>追根溯源。具体研究方向如下：</w:t>
      </w:r>
    </w:p>
    <w:p w14:paraId="411727A4">
      <w:pPr>
        <w:spacing w:line="440" w:lineRule="exact"/>
        <w:ind w:firstLine="480" w:firstLineChars="200"/>
        <w:rPr>
          <w:rFonts w:ascii="宋体" w:hAnsi="宋体" w:cs="宋体"/>
          <w:sz w:val="24"/>
        </w:rPr>
      </w:pPr>
      <w:r>
        <w:rPr>
          <w:rFonts w:hint="eastAsia" w:ascii="宋体" w:hAnsi="宋体" w:cs="宋体"/>
          <w:sz w:val="24"/>
        </w:rPr>
        <w:t>1、世界经济史方向。世界经济的发展可追溯到几千年前的古代文明时期，尤其自工业革命以来，工业化、殖民扩张、科技革命、国际政治格局演变等多重因素的相互作用，形成了当前多元交织的全球经济体系。本方向</w:t>
      </w:r>
      <w:r>
        <w:rPr>
          <w:rFonts w:hint="eastAsia" w:ascii="MS Mincho" w:hAnsi="MS Mincho" w:eastAsia="MS Mincho" w:cs="MS Mincho"/>
          <w:sz w:val="24"/>
        </w:rPr>
        <w:t>‌</w:t>
      </w:r>
      <w:r>
        <w:rPr>
          <w:rFonts w:hint="eastAsia" w:ascii="宋体" w:hAnsi="宋体" w:cs="宋体"/>
          <w:sz w:val="24"/>
        </w:rPr>
        <w:t>侧重于研究世界各国</w:t>
      </w:r>
      <w:r>
        <w:rPr>
          <w:rFonts w:ascii="宋体" w:hAnsi="宋体" w:cs="宋体"/>
          <w:sz w:val="24"/>
        </w:rPr>
        <w:t>不同历史时期</w:t>
      </w:r>
      <w:r>
        <w:rPr>
          <w:rFonts w:hint="eastAsia" w:ascii="宋体" w:hAnsi="宋体" w:cs="宋体"/>
          <w:sz w:val="24"/>
        </w:rPr>
        <w:t>（特别是二战后）</w:t>
      </w:r>
      <w:r>
        <w:rPr>
          <w:rFonts w:ascii="宋体" w:hAnsi="宋体" w:cs="宋体"/>
          <w:sz w:val="24"/>
        </w:rPr>
        <w:t>的</w:t>
      </w:r>
      <w:r>
        <w:rPr>
          <w:rFonts w:hint="eastAsia" w:ascii="宋体" w:hAnsi="宋体" w:cs="宋体"/>
          <w:sz w:val="24"/>
        </w:rPr>
        <w:t>发展历程</w:t>
      </w:r>
      <w:r>
        <w:rPr>
          <w:rFonts w:ascii="宋体" w:hAnsi="宋体" w:cs="宋体"/>
          <w:sz w:val="24"/>
        </w:rPr>
        <w:t>，认识</w:t>
      </w:r>
      <w:r>
        <w:rPr>
          <w:rFonts w:hint="eastAsia" w:ascii="宋体" w:hAnsi="宋体" w:cs="宋体"/>
          <w:sz w:val="24"/>
        </w:rPr>
        <w:t>其</w:t>
      </w:r>
      <w:r>
        <w:rPr>
          <w:rFonts w:ascii="宋体" w:hAnsi="宋体" w:cs="宋体"/>
          <w:sz w:val="24"/>
        </w:rPr>
        <w:t>经济发展的</w:t>
      </w:r>
      <w:r>
        <w:rPr>
          <w:rFonts w:hint="eastAsia" w:ascii="宋体" w:hAnsi="宋体" w:cs="宋体"/>
          <w:sz w:val="24"/>
        </w:rPr>
        <w:t>客观</w:t>
      </w:r>
      <w:r>
        <w:rPr>
          <w:rFonts w:ascii="宋体" w:hAnsi="宋体" w:cs="宋体"/>
          <w:sz w:val="24"/>
        </w:rPr>
        <w:t>规律</w:t>
      </w:r>
      <w:r>
        <w:rPr>
          <w:rFonts w:hint="eastAsia" w:ascii="宋体" w:hAnsi="宋体" w:cs="宋体"/>
          <w:sz w:val="24"/>
        </w:rPr>
        <w:t>及</w:t>
      </w:r>
      <w:r>
        <w:rPr>
          <w:rFonts w:ascii="宋体" w:hAnsi="宋体" w:cs="宋体"/>
          <w:sz w:val="24"/>
        </w:rPr>
        <w:t>演变趋势，探索经济制度变迁的路径与方向</w:t>
      </w:r>
      <w:r>
        <w:rPr>
          <w:rFonts w:hint="eastAsia" w:ascii="宋体" w:hAnsi="宋体" w:cs="宋体"/>
          <w:sz w:val="24"/>
        </w:rPr>
        <w:t>。</w:t>
      </w:r>
    </w:p>
    <w:p w14:paraId="36B69BD2">
      <w:pPr>
        <w:tabs>
          <w:tab w:val="center" w:pos="4153"/>
        </w:tabs>
        <w:spacing w:line="360" w:lineRule="auto"/>
        <w:ind w:firstLine="480" w:firstLineChars="200"/>
        <w:rPr>
          <w:rFonts w:ascii="宋体" w:hAnsi="宋体"/>
          <w:sz w:val="24"/>
        </w:rPr>
      </w:pPr>
      <w:r>
        <w:rPr>
          <w:rFonts w:hint="eastAsia" w:ascii="宋体" w:hAnsi="宋体" w:cs="宋体"/>
          <w:sz w:val="24"/>
        </w:rPr>
        <w:t>2、中外现代化发展史比较方向。探索现代化道路为人类文明、进步注入了可持续发展的动力，现代化成为各国人民，尤其是发展中国家人民的共同目标和努力方向。本方向侧重于中外各国（特别是发达市场经济国家和新兴经济体等）在工业化、现代化发展中的探索与比较，</w:t>
      </w:r>
      <w:r>
        <w:rPr>
          <w:rFonts w:ascii="宋体" w:hAnsi="宋体" w:cs="宋体"/>
          <w:sz w:val="24"/>
        </w:rPr>
        <w:t>为解决</w:t>
      </w:r>
      <w:r>
        <w:rPr>
          <w:rFonts w:hint="eastAsia" w:ascii="宋体" w:hAnsi="宋体" w:cs="宋体"/>
          <w:sz w:val="24"/>
        </w:rPr>
        <w:t>当前</w:t>
      </w:r>
      <w:r>
        <w:rPr>
          <w:rFonts w:ascii="宋体" w:hAnsi="宋体" w:cs="宋体"/>
          <w:sz w:val="24"/>
        </w:rPr>
        <w:t>现实</w:t>
      </w:r>
      <w:r>
        <w:rPr>
          <w:rFonts w:hint="eastAsia" w:ascii="宋体" w:hAnsi="宋体" w:cs="宋体"/>
          <w:sz w:val="24"/>
        </w:rPr>
        <w:t>中国</w:t>
      </w:r>
      <w:r>
        <w:rPr>
          <w:rFonts w:ascii="宋体" w:hAnsi="宋体" w:cs="宋体"/>
          <w:sz w:val="24"/>
        </w:rPr>
        <w:t>经济问题提供经验</w:t>
      </w:r>
      <w:r>
        <w:rPr>
          <w:rFonts w:hint="eastAsia" w:ascii="宋体" w:hAnsi="宋体" w:cs="宋体"/>
          <w:sz w:val="24"/>
        </w:rPr>
        <w:t>与</w:t>
      </w:r>
      <w:r>
        <w:rPr>
          <w:rFonts w:ascii="宋体" w:hAnsi="宋体" w:cs="宋体"/>
          <w:sz w:val="24"/>
        </w:rPr>
        <w:t>借鉴</w:t>
      </w:r>
      <w:r>
        <w:rPr>
          <w:rFonts w:hint="eastAsia" w:ascii="宋体" w:hAnsi="宋体" w:cs="宋体"/>
          <w:sz w:val="24"/>
        </w:rPr>
        <w:t>，深刻阐释中国式现代化之路</w:t>
      </w:r>
    </w:p>
    <w:p w14:paraId="3B7B5D0A">
      <w:pPr>
        <w:spacing w:line="360" w:lineRule="auto"/>
        <w:ind w:firstLine="560"/>
        <w:rPr>
          <w:rFonts w:eastAsia="黑体"/>
          <w:b/>
          <w:sz w:val="28"/>
          <w:szCs w:val="28"/>
        </w:rPr>
      </w:pPr>
      <w:r>
        <w:rPr>
          <w:rFonts w:eastAsia="黑体"/>
          <w:b/>
          <w:sz w:val="28"/>
          <w:szCs w:val="28"/>
        </w:rPr>
        <w:t>四、学制及学习年限</w:t>
      </w:r>
    </w:p>
    <w:p w14:paraId="23C9F869">
      <w:pPr>
        <w:spacing w:line="360" w:lineRule="auto"/>
        <w:ind w:firstLine="480" w:firstLineChars="200"/>
        <w:rPr>
          <w:rFonts w:eastAsiaTheme="minorEastAsia"/>
          <w:i/>
          <w:color w:val="FF0000"/>
          <w:sz w:val="24"/>
        </w:rPr>
      </w:pPr>
      <w:r>
        <w:rPr>
          <w:rFonts w:eastAsiaTheme="minorEastAsia"/>
          <w:color w:val="000000"/>
          <w:sz w:val="24"/>
        </w:rPr>
        <w:t>本专业学制为3年，在校最长学习年限（含休学）不超过6年。</w:t>
      </w:r>
    </w:p>
    <w:p w14:paraId="023F66AB">
      <w:pPr>
        <w:spacing w:line="360" w:lineRule="auto"/>
        <w:ind w:firstLine="560"/>
        <w:rPr>
          <w:rFonts w:eastAsia="黑体"/>
          <w:b/>
          <w:sz w:val="28"/>
          <w:szCs w:val="28"/>
        </w:rPr>
      </w:pPr>
      <w:r>
        <w:rPr>
          <w:rFonts w:eastAsia="黑体"/>
          <w:b/>
          <w:sz w:val="28"/>
          <w:szCs w:val="28"/>
        </w:rPr>
        <w:t>五、培养目标</w:t>
      </w:r>
    </w:p>
    <w:p w14:paraId="392EEF9F">
      <w:pPr>
        <w:spacing w:line="360" w:lineRule="auto"/>
        <w:ind w:firstLine="480" w:firstLineChars="200"/>
        <w:rPr>
          <w:rFonts w:ascii="宋体" w:hAnsi="宋体" w:cs="宋体"/>
          <w:sz w:val="24"/>
        </w:rPr>
      </w:pPr>
      <w:r>
        <w:rPr>
          <w:rFonts w:hint="eastAsia" w:ascii="宋体" w:hAnsi="宋体" w:cs="宋体"/>
          <w:sz w:val="24"/>
        </w:rPr>
        <w:t>1.全面、准确地掌握马克思主义的基本理论，树立正确的中国特色社会主义核心价值观。具有坚定的理想信念，拥护中国共产党的领导，拥护社会主义制度。具有高尚的道德情操，优良的学术作风，高度的社会责任感。热爱祖国，遵纪守法，品行端正。</w:t>
      </w:r>
    </w:p>
    <w:p w14:paraId="79E3F008">
      <w:pPr>
        <w:spacing w:line="360" w:lineRule="auto"/>
        <w:ind w:firstLine="480" w:firstLineChars="200"/>
        <w:rPr>
          <w:rFonts w:ascii="宋体" w:hAnsi="宋体" w:cs="宋体"/>
          <w:sz w:val="24"/>
        </w:rPr>
      </w:pPr>
      <w:r>
        <w:rPr>
          <w:rFonts w:hint="eastAsia" w:ascii="宋体" w:hAnsi="宋体" w:cs="宋体"/>
          <w:sz w:val="24"/>
        </w:rPr>
        <w:t>2.掌握坚实的基础理论和系统的专门知识，掌握本学科的科学研究方法及必要的现代实验方法和技能，熟悉本学科的前沿研究领域，具有独立从事科学研究和解决实际问题的能力，全面培养创新能力、批判性思维能力、获取信息能力、学术研究能力、国际学术交流能力等综合专业素养。</w:t>
      </w:r>
    </w:p>
    <w:p w14:paraId="5C037CFD">
      <w:pPr>
        <w:spacing w:line="360" w:lineRule="auto"/>
        <w:ind w:firstLine="480" w:firstLineChars="200"/>
        <w:rPr>
          <w:rFonts w:ascii="宋体" w:hAnsi="宋体" w:cs="宋体"/>
          <w:sz w:val="24"/>
        </w:rPr>
      </w:pPr>
      <w:r>
        <w:rPr>
          <w:rFonts w:hint="eastAsia" w:ascii="宋体" w:hAnsi="宋体" w:cs="宋体"/>
          <w:sz w:val="24"/>
        </w:rPr>
        <w:t>3.至少掌握一门外国语，能熟练阅读本专业的外文资料，具有撰写学术论文和进行国际学术交流的能力。</w:t>
      </w:r>
    </w:p>
    <w:p w14:paraId="5B67C9A1">
      <w:pPr>
        <w:spacing w:line="360" w:lineRule="auto"/>
        <w:ind w:firstLine="480" w:firstLineChars="200"/>
        <w:rPr>
          <w:rFonts w:ascii="宋体" w:hAnsi="宋体" w:cs="宋体"/>
          <w:sz w:val="24"/>
        </w:rPr>
      </w:pPr>
      <w:r>
        <w:rPr>
          <w:rFonts w:hint="eastAsia" w:ascii="宋体" w:hAnsi="宋体" w:cs="宋体"/>
          <w:sz w:val="24"/>
        </w:rPr>
        <w:t>4.具有良好的团队意识和团队合作精神。</w:t>
      </w:r>
    </w:p>
    <w:p w14:paraId="38B9F112">
      <w:pPr>
        <w:spacing w:line="360" w:lineRule="auto"/>
        <w:ind w:firstLine="480" w:firstLineChars="200"/>
        <w:rPr>
          <w:rFonts w:ascii="宋体" w:hAnsi="宋体" w:cs="宋体"/>
          <w:sz w:val="24"/>
        </w:rPr>
      </w:pPr>
      <w:r>
        <w:rPr>
          <w:rFonts w:hint="eastAsia" w:ascii="宋体" w:hAnsi="宋体" w:cs="宋体"/>
          <w:sz w:val="24"/>
        </w:rPr>
        <w:t>5.具有健康的身体和良好的心理素质。</w:t>
      </w:r>
    </w:p>
    <w:p w14:paraId="59B3D14F">
      <w:pPr>
        <w:spacing w:line="360" w:lineRule="auto"/>
        <w:ind w:firstLine="480" w:firstLineChars="200"/>
        <w:rPr>
          <w:rFonts w:ascii="宋体" w:hAnsi="宋体" w:cs="宋体"/>
          <w:sz w:val="24"/>
        </w:rPr>
      </w:pPr>
      <w:r>
        <w:rPr>
          <w:rFonts w:hint="eastAsia" w:ascii="宋体" w:hAnsi="宋体" w:cs="宋体"/>
          <w:sz w:val="24"/>
        </w:rPr>
        <w:t>6.培养德智体美劳全面发展的社会主义事业接班人。</w:t>
      </w:r>
    </w:p>
    <w:p w14:paraId="766B126D">
      <w:pPr>
        <w:spacing w:line="360" w:lineRule="auto"/>
        <w:ind w:firstLine="560"/>
        <w:rPr>
          <w:rFonts w:eastAsia="黑体"/>
          <w:b/>
          <w:sz w:val="28"/>
          <w:szCs w:val="28"/>
        </w:rPr>
      </w:pPr>
      <w:r>
        <w:rPr>
          <w:rFonts w:eastAsia="黑体"/>
          <w:b/>
          <w:sz w:val="28"/>
          <w:szCs w:val="28"/>
        </w:rPr>
        <w:t>六、培养方式</w:t>
      </w:r>
    </w:p>
    <w:p w14:paraId="20F192B3">
      <w:pPr>
        <w:spacing w:line="360" w:lineRule="auto"/>
        <w:ind w:firstLine="480" w:firstLineChars="200"/>
        <w:rPr>
          <w:rFonts w:ascii="宋体" w:hAnsi="宋体" w:cs="宋体"/>
          <w:sz w:val="24"/>
        </w:rPr>
      </w:pPr>
      <w:r>
        <w:rPr>
          <w:rFonts w:hint="eastAsia" w:ascii="宋体" w:hAnsi="宋体" w:cs="宋体"/>
          <w:sz w:val="24"/>
        </w:rPr>
        <w:t>本专业坚持 “理论与实践结合、学术与应用并重” 的培养理念，采用多元化培养模式，具体如下：</w:t>
      </w:r>
    </w:p>
    <w:p w14:paraId="5F094A9B">
      <w:pPr>
        <w:spacing w:line="360" w:lineRule="auto"/>
        <w:ind w:firstLine="480" w:firstLineChars="200"/>
        <w:rPr>
          <w:rFonts w:ascii="宋体" w:hAnsi="宋体" w:cs="宋体"/>
          <w:sz w:val="24"/>
        </w:rPr>
      </w:pPr>
      <w:r>
        <w:rPr>
          <w:rFonts w:hint="eastAsia" w:ascii="宋体" w:hAnsi="宋体" w:cs="宋体"/>
          <w:sz w:val="24"/>
        </w:rPr>
        <w:t>1.导师负责制与团队协同培养相结合：实行导师负责制，导师根据培养方案和研究生个人特点制定个性化培养计划，指导学术研究与论文写作。同时，依托学科团队优势，整合校内外资源，通过导师组集体指导、跨方向学术研讨等形式，拓宽研究生学术视野，培养跨学科思维能力。</w:t>
      </w:r>
    </w:p>
    <w:p w14:paraId="437132B6">
      <w:pPr>
        <w:spacing w:line="360" w:lineRule="auto"/>
        <w:ind w:firstLine="480" w:firstLineChars="200"/>
        <w:rPr>
          <w:rFonts w:ascii="宋体" w:hAnsi="宋体" w:cs="宋体"/>
          <w:sz w:val="24"/>
        </w:rPr>
      </w:pPr>
      <w:r>
        <w:rPr>
          <w:rFonts w:hint="eastAsia" w:ascii="宋体" w:hAnsi="宋体" w:cs="宋体"/>
          <w:sz w:val="24"/>
        </w:rPr>
        <w:t>2.课程学习与科研训练一体化：以核心课程夯实理论基础，通过“高级计量经济学”“高级微观/宏观经济学” 等专业必修课强化方法论训练；结合研究方向开设特色选修课（如 “世界经济史”“中华人民共和国经济史”等），引导研究生聚焦学术前沿。鼓励研究生参与导师科研项目、申报校级以上科研课题，在实践中提升科研创新能力。</w:t>
      </w:r>
    </w:p>
    <w:p w14:paraId="1C99FAAE">
      <w:pPr>
        <w:spacing w:line="360" w:lineRule="auto"/>
        <w:ind w:firstLine="480" w:firstLineChars="200"/>
        <w:rPr>
          <w:rFonts w:ascii="宋体" w:hAnsi="宋体" w:cs="宋体"/>
          <w:sz w:val="24"/>
        </w:rPr>
      </w:pPr>
      <w:r>
        <w:rPr>
          <w:rFonts w:hint="eastAsia" w:ascii="宋体" w:hAnsi="宋体" w:cs="宋体"/>
          <w:sz w:val="24"/>
        </w:rPr>
        <w:t>3.学术交流与国际视野拓展：要求研究生在读期间参加不少于 10 次学术活动，包括国内外专家讲座、学科研讨会等，并以主讲人身份参与至少 1 次学术报告。依托学科与境外高校的交流合作，支持研究生赴境外进修访学，或参与国际学术会议，提升跨文化学术交流能力。</w:t>
      </w:r>
    </w:p>
    <w:p w14:paraId="4AB6A729">
      <w:pPr>
        <w:spacing w:line="360" w:lineRule="auto"/>
        <w:ind w:firstLine="480" w:firstLineChars="200"/>
        <w:rPr>
          <w:rFonts w:ascii="宋体" w:hAnsi="宋体" w:cs="宋体"/>
          <w:sz w:val="24"/>
        </w:rPr>
      </w:pPr>
      <w:r>
        <w:rPr>
          <w:rFonts w:hint="eastAsia" w:ascii="宋体" w:hAnsi="宋体" w:cs="宋体"/>
          <w:sz w:val="24"/>
        </w:rPr>
        <w:t>4.实践导向与智库服务融合：结合国家重大战略和社会迫切需求，组织研究生参与社会调研、政策分析等实践活动，鼓励为地方政府、企业提供决策咨询。通过 “高级发展经济学专题”等特色课程与实践环节，培养服务国家和社会的应用能力。</w:t>
      </w:r>
    </w:p>
    <w:p w14:paraId="2978E442">
      <w:pPr>
        <w:spacing w:line="360" w:lineRule="auto"/>
        <w:ind w:firstLine="560"/>
        <w:rPr>
          <w:rFonts w:eastAsia="黑体"/>
          <w:b/>
          <w:sz w:val="28"/>
          <w:szCs w:val="28"/>
        </w:rPr>
      </w:pPr>
      <w:r>
        <w:rPr>
          <w:rFonts w:eastAsia="黑体"/>
          <w:b/>
          <w:sz w:val="28"/>
          <w:szCs w:val="28"/>
        </w:rPr>
        <w:t>七、中期筛选</w:t>
      </w:r>
    </w:p>
    <w:p w14:paraId="2EDCE3D9">
      <w:pPr>
        <w:spacing w:line="360" w:lineRule="auto"/>
        <w:ind w:firstLine="480" w:firstLineChars="200"/>
        <w:rPr>
          <w:rFonts w:ascii="宋体" w:hAnsi="宋体" w:cs="宋体"/>
          <w:sz w:val="24"/>
        </w:rPr>
      </w:pPr>
      <w:bookmarkStart w:id="0" w:name="_Toc59002625"/>
      <w:r>
        <w:rPr>
          <w:rFonts w:hint="eastAsia" w:ascii="宋体" w:hAnsi="宋体" w:cs="宋体"/>
          <w:sz w:val="24"/>
        </w:rPr>
        <w:t>在完成培养方案规定的课程学习、考核成绩合格、获得规定的学分后，</w:t>
      </w:r>
      <w:bookmarkEnd w:id="0"/>
      <w:r>
        <w:rPr>
          <w:rFonts w:hint="eastAsia" w:ascii="宋体" w:hAnsi="宋体" w:cs="宋体"/>
          <w:sz w:val="24"/>
        </w:rPr>
        <w:t>按照《河北大学研究生中期筛选管理办法》（校政字〔2021〕15号）的相关规定，组织开展中期筛选工作。</w:t>
      </w:r>
    </w:p>
    <w:p w14:paraId="020C6FA0">
      <w:pPr>
        <w:spacing w:line="360" w:lineRule="auto"/>
        <w:ind w:firstLine="560"/>
        <w:rPr>
          <w:rFonts w:eastAsia="黑体"/>
          <w:b/>
          <w:sz w:val="28"/>
          <w:szCs w:val="28"/>
        </w:rPr>
      </w:pPr>
      <w:r>
        <w:rPr>
          <w:rFonts w:hint="eastAsia" w:eastAsia="黑体"/>
          <w:b/>
          <w:sz w:val="28"/>
          <w:szCs w:val="28"/>
        </w:rPr>
        <w:t>八</w:t>
      </w:r>
      <w:r>
        <w:rPr>
          <w:rFonts w:eastAsia="黑体"/>
          <w:b/>
          <w:sz w:val="28"/>
          <w:szCs w:val="28"/>
        </w:rPr>
        <w:t>、学位（毕业）论文</w:t>
      </w:r>
    </w:p>
    <w:p w14:paraId="1D9E5DCC">
      <w:pPr>
        <w:spacing w:line="360" w:lineRule="auto"/>
        <w:ind w:firstLine="480" w:firstLineChars="200"/>
        <w:rPr>
          <w:rFonts w:ascii="宋体" w:hAnsi="宋体" w:cs="宋体"/>
          <w:sz w:val="24"/>
        </w:rPr>
      </w:pPr>
      <w:r>
        <w:rPr>
          <w:bCs/>
          <w:color w:val="222222"/>
          <w:kern w:val="0"/>
          <w:sz w:val="24"/>
        </w:rPr>
        <w:t>1.</w:t>
      </w:r>
      <w:r>
        <w:rPr>
          <w:rFonts w:hint="eastAsia" w:ascii="宋体" w:hAnsi="宋体" w:cs="宋体"/>
          <w:sz w:val="24"/>
        </w:rPr>
        <w:t>总体要求：按照《河北大学关于开展2025版研究生培养方案修订工作的指导意见》（校政字〔2025〕*号）规定，硕士研究生论文开题与答辩时间间隔原则上不少于12个月。学位（毕业）论文应当表明作者具有独立从事学术研究工作的能力，鼓励硕士研究生参与科学研究，取得创新性成果。</w:t>
      </w:r>
    </w:p>
    <w:p w14:paraId="2615DDA8">
      <w:pPr>
        <w:spacing w:line="360" w:lineRule="auto"/>
        <w:ind w:firstLine="480" w:firstLineChars="200"/>
        <w:rPr>
          <w:rFonts w:ascii="宋体" w:hAnsi="宋体" w:cs="宋体"/>
          <w:sz w:val="24"/>
        </w:rPr>
      </w:pPr>
      <w:r>
        <w:rPr>
          <w:rFonts w:hint="eastAsia" w:ascii="宋体" w:hAnsi="宋体" w:cs="宋体"/>
          <w:sz w:val="24"/>
        </w:rPr>
        <w:t>2.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6229ABE4">
      <w:pPr>
        <w:spacing w:line="360" w:lineRule="auto"/>
        <w:ind w:firstLine="480" w:firstLineChars="200"/>
        <w:rPr>
          <w:rFonts w:ascii="宋体" w:hAnsi="宋体" w:cs="宋体"/>
          <w:sz w:val="24"/>
        </w:rPr>
      </w:pPr>
      <w:r>
        <w:rPr>
          <w:rFonts w:hint="eastAsia" w:ascii="宋体" w:hAnsi="宋体" w:cs="宋体"/>
          <w:sz w:val="24"/>
        </w:rPr>
        <w:t>原则上在入学后第3学期（最迟不超过第4学期）完成开题。开题由3-5名具有高级专业技术职务人员参加，以学术报告的方式进行。</w:t>
      </w:r>
    </w:p>
    <w:p w14:paraId="50B899EE">
      <w:pPr>
        <w:spacing w:line="360" w:lineRule="auto"/>
        <w:ind w:firstLine="480" w:firstLineChars="200"/>
        <w:rPr>
          <w:rFonts w:ascii="宋体" w:hAnsi="宋体" w:cs="宋体"/>
          <w:sz w:val="24"/>
        </w:rPr>
      </w:pPr>
      <w:r>
        <w:rPr>
          <w:rFonts w:hint="eastAsia" w:ascii="宋体" w:hAnsi="宋体" w:cs="宋体"/>
          <w:sz w:val="24"/>
        </w:rPr>
        <w:t>3.中期进展报告：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19406A7E">
      <w:pPr>
        <w:spacing w:line="360" w:lineRule="auto"/>
        <w:ind w:firstLine="480" w:firstLineChars="200"/>
        <w:rPr>
          <w:rFonts w:ascii="宋体" w:hAnsi="宋体" w:cs="宋体"/>
          <w:sz w:val="24"/>
        </w:rPr>
      </w:pPr>
      <w:r>
        <w:rPr>
          <w:rFonts w:hint="eastAsia" w:ascii="宋体" w:hAnsi="宋体" w:cs="宋体"/>
          <w:sz w:val="24"/>
        </w:rPr>
        <w:t>4.学位申请：达到学位授予条件的申请人，经导师同意后，应于答辩前三个月，向所属学位评定分委员会提出学位申请，提交学位申请材料。</w:t>
      </w:r>
    </w:p>
    <w:p w14:paraId="65FFB329">
      <w:pPr>
        <w:spacing w:line="360" w:lineRule="auto"/>
        <w:ind w:firstLine="480" w:firstLineChars="200"/>
        <w:rPr>
          <w:rFonts w:ascii="宋体" w:hAnsi="宋体" w:cs="宋体"/>
          <w:sz w:val="24"/>
        </w:rPr>
      </w:pPr>
      <w:r>
        <w:rPr>
          <w:rFonts w:hint="eastAsia" w:ascii="宋体" w:hAnsi="宋体" w:cs="宋体"/>
          <w:sz w:val="24"/>
        </w:rPr>
        <w:t>5.预答辩：学位申请人须进行学位论文预答辩。预答辩通过者，方可进入学位论文评阅、学位论文答辩等环节。学位（毕业）论文预答辩在正式答辩前3个月进行。</w:t>
      </w:r>
    </w:p>
    <w:p w14:paraId="16BC5D21">
      <w:pPr>
        <w:spacing w:line="360" w:lineRule="auto"/>
        <w:ind w:firstLine="480" w:firstLineChars="200"/>
        <w:rPr>
          <w:rFonts w:ascii="宋体" w:hAnsi="宋体" w:cs="宋体"/>
          <w:sz w:val="24"/>
        </w:rPr>
      </w:pPr>
      <w:r>
        <w:rPr>
          <w:rFonts w:hint="eastAsia" w:ascii="宋体" w:hAnsi="宋体" w:cs="宋体"/>
          <w:sz w:val="24"/>
        </w:rPr>
        <w:t>6.论文评阅：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6BB61921">
      <w:pPr>
        <w:spacing w:line="360" w:lineRule="auto"/>
        <w:ind w:firstLine="480" w:firstLineChars="200"/>
        <w:rPr>
          <w:rFonts w:ascii="宋体" w:hAnsi="宋体" w:cs="宋体"/>
          <w:sz w:val="24"/>
        </w:rPr>
      </w:pPr>
      <w:r>
        <w:rPr>
          <w:rFonts w:hint="eastAsia" w:ascii="宋体" w:hAnsi="宋体" w:cs="宋体"/>
          <w:sz w:val="24"/>
        </w:rPr>
        <w:t>7.答辩：学位（毕业）论文答辩按照《河北大学博士、硕士学位授予工作实施细则》（校政字〔2025〕7号）执行。</w:t>
      </w:r>
    </w:p>
    <w:p w14:paraId="55546D39">
      <w:pPr>
        <w:spacing w:line="360" w:lineRule="auto"/>
        <w:ind w:firstLine="560"/>
        <w:rPr>
          <w:rFonts w:eastAsia="黑体"/>
          <w:b/>
          <w:sz w:val="28"/>
          <w:szCs w:val="28"/>
        </w:rPr>
      </w:pPr>
      <w:r>
        <w:rPr>
          <w:rFonts w:hint="eastAsia" w:eastAsia="黑体"/>
          <w:b/>
          <w:sz w:val="28"/>
          <w:szCs w:val="28"/>
        </w:rPr>
        <w:t>九</w:t>
      </w:r>
      <w:r>
        <w:rPr>
          <w:rFonts w:eastAsia="黑体"/>
          <w:b/>
          <w:sz w:val="28"/>
          <w:szCs w:val="28"/>
        </w:rPr>
        <w:t>、毕业条件</w:t>
      </w:r>
    </w:p>
    <w:p w14:paraId="37BDB149">
      <w:pPr>
        <w:spacing w:line="360" w:lineRule="auto"/>
        <w:ind w:firstLine="480" w:firstLineChars="200"/>
        <w:rPr>
          <w:rFonts w:ascii="宋体" w:hAnsi="宋体" w:cs="宋体"/>
          <w:sz w:val="24"/>
        </w:rPr>
      </w:pPr>
      <w:r>
        <w:rPr>
          <w:rFonts w:eastAsiaTheme="minorEastAsia"/>
          <w:bCs/>
          <w:sz w:val="24"/>
        </w:rPr>
        <w:t>1</w:t>
      </w:r>
      <w:r>
        <w:rPr>
          <w:rFonts w:hint="eastAsia" w:ascii="宋体" w:hAnsi="宋体" w:cs="宋体"/>
          <w:sz w:val="24"/>
        </w:rPr>
        <w:t>. 课程学习。研究生在规定修业年限内完成培养方案规定的课程学习，考核成绩合格，获得规定的学分。</w:t>
      </w:r>
    </w:p>
    <w:p w14:paraId="2F69168C">
      <w:pPr>
        <w:spacing w:line="360" w:lineRule="auto"/>
        <w:ind w:firstLine="480" w:firstLineChars="200"/>
        <w:rPr>
          <w:rFonts w:ascii="宋体" w:hAnsi="宋体" w:cs="宋体"/>
          <w:sz w:val="24"/>
        </w:rPr>
      </w:pPr>
      <w:r>
        <w:rPr>
          <w:rFonts w:hint="eastAsia" w:ascii="宋体" w:hAnsi="宋体" w:cs="宋体"/>
          <w:sz w:val="24"/>
        </w:rPr>
        <w:t>2. 学术活动。研究生在读期间参加不少于1</w:t>
      </w:r>
      <w:r>
        <w:rPr>
          <w:rFonts w:ascii="宋体" w:hAnsi="宋体" w:cs="宋体"/>
          <w:sz w:val="24"/>
        </w:rPr>
        <w:t>0</w:t>
      </w:r>
      <w:r>
        <w:rPr>
          <w:rFonts w:hint="eastAsia" w:ascii="宋体" w:hAnsi="宋体" w:cs="宋体"/>
          <w:sz w:val="24"/>
        </w:rPr>
        <w:t>次学术活动，并撰写学术报告小结；以主讲人或宣讲人身份，参加在校内外举行的学术报告或学术讲座不少于1次。</w:t>
      </w:r>
    </w:p>
    <w:p w14:paraId="43ED0A88">
      <w:pPr>
        <w:spacing w:line="360" w:lineRule="auto"/>
        <w:ind w:firstLine="480" w:firstLineChars="200"/>
        <w:rPr>
          <w:rFonts w:ascii="宋体" w:hAnsi="宋体" w:cs="宋体"/>
          <w:sz w:val="24"/>
        </w:rPr>
      </w:pPr>
      <w:r>
        <w:rPr>
          <w:rFonts w:hint="eastAsia" w:ascii="宋体" w:hAnsi="宋体" w:cs="宋体"/>
          <w:sz w:val="24"/>
        </w:rPr>
        <w:t>3. 符合提前毕业条件的研究生，可按照学校相关规定申请提前毕业。</w:t>
      </w:r>
    </w:p>
    <w:p w14:paraId="4AAB981A">
      <w:pPr>
        <w:spacing w:line="360" w:lineRule="auto"/>
        <w:ind w:firstLine="480" w:firstLineChars="200"/>
        <w:rPr>
          <w:rFonts w:ascii="宋体" w:hAnsi="宋体" w:cs="宋体"/>
          <w:sz w:val="24"/>
        </w:rPr>
      </w:pPr>
      <w:r>
        <w:rPr>
          <w:rFonts w:hint="eastAsia" w:ascii="宋体" w:hAnsi="宋体" w:cs="宋体"/>
          <w:sz w:val="24"/>
        </w:rPr>
        <w:t>4. 论文答辩。学位（毕业）论文经专家评审合格、通过学位（毕业）答辩，符合毕业资格审查后，准予毕业。</w:t>
      </w:r>
    </w:p>
    <w:p w14:paraId="733CC7D0">
      <w:pPr>
        <w:spacing w:line="360" w:lineRule="auto"/>
        <w:ind w:firstLine="560"/>
        <w:rPr>
          <w:rFonts w:eastAsia="黑体"/>
          <w:b/>
          <w:sz w:val="28"/>
          <w:szCs w:val="28"/>
        </w:rPr>
      </w:pPr>
      <w:r>
        <w:rPr>
          <w:rFonts w:hint="eastAsia" w:eastAsia="黑体"/>
          <w:b/>
          <w:sz w:val="28"/>
          <w:szCs w:val="28"/>
        </w:rPr>
        <w:t>十</w:t>
      </w:r>
      <w:r>
        <w:rPr>
          <w:rFonts w:eastAsia="黑体"/>
          <w:b/>
          <w:sz w:val="28"/>
          <w:szCs w:val="28"/>
        </w:rPr>
        <w:t>、创新性成果</w:t>
      </w:r>
    </w:p>
    <w:p w14:paraId="34DE1628">
      <w:pPr>
        <w:spacing w:line="360" w:lineRule="auto"/>
        <w:ind w:firstLine="480" w:firstLineChars="200"/>
        <w:rPr>
          <w:rFonts w:ascii="宋体" w:hAnsi="宋体" w:cs="宋体"/>
          <w:sz w:val="24"/>
        </w:rPr>
      </w:pPr>
      <w:r>
        <w:rPr>
          <w:rFonts w:hint="eastAsia" w:ascii="宋体" w:hAnsi="宋体" w:cs="宋体"/>
          <w:sz w:val="24"/>
        </w:rPr>
        <w:t>鼓励硕士研究生参与科学研究，取得创新性成果。研究生取得如下创新性成果，达到申请硕士学位条件，其中世界经济学术硕士研究生必须满足条件（一）或（二）到（六）中的两项。</w:t>
      </w:r>
    </w:p>
    <w:p w14:paraId="1A27CCDD">
      <w:pPr>
        <w:spacing w:line="360" w:lineRule="auto"/>
        <w:ind w:firstLine="480" w:firstLineChars="200"/>
        <w:rPr>
          <w:rFonts w:ascii="宋体" w:hAnsi="宋体" w:cs="宋体"/>
          <w:sz w:val="24"/>
        </w:rPr>
      </w:pPr>
      <w:r>
        <w:rPr>
          <w:rFonts w:hint="eastAsia" w:ascii="宋体" w:hAnsi="宋体" w:cs="宋体"/>
          <w:sz w:val="24"/>
        </w:rPr>
        <w:t>（一）独立或与导师合作发表学术论文1篇，其中普刊论文原则上不少于5000字。</w:t>
      </w:r>
    </w:p>
    <w:p w14:paraId="1DEA90CB">
      <w:pPr>
        <w:spacing w:line="360" w:lineRule="auto"/>
        <w:ind w:firstLine="480" w:firstLineChars="200"/>
        <w:rPr>
          <w:rFonts w:ascii="宋体" w:hAnsi="宋体" w:cs="宋体"/>
          <w:sz w:val="24"/>
        </w:rPr>
      </w:pPr>
      <w:r>
        <w:rPr>
          <w:rFonts w:hint="eastAsia" w:ascii="宋体" w:hAnsi="宋体" w:cs="宋体"/>
          <w:sz w:val="24"/>
        </w:rPr>
        <w:t>（二）参与一项厅级及以上课题，项目未结项以申请书为准；项目结项以结项书为准。</w:t>
      </w:r>
    </w:p>
    <w:p w14:paraId="1C5BE29A">
      <w:pPr>
        <w:spacing w:line="360" w:lineRule="auto"/>
        <w:ind w:firstLine="480" w:firstLineChars="200"/>
        <w:rPr>
          <w:rFonts w:ascii="宋体" w:hAnsi="宋体" w:cs="宋体"/>
          <w:sz w:val="24"/>
        </w:rPr>
      </w:pPr>
      <w:r>
        <w:rPr>
          <w:rFonts w:hint="eastAsia" w:ascii="宋体" w:hAnsi="宋体" w:cs="宋体"/>
          <w:sz w:val="24"/>
        </w:rPr>
        <w:t>（三）参与导师的著作或教材，要求在封面、前言、后记有署名。</w:t>
      </w:r>
    </w:p>
    <w:p w14:paraId="70A9D675">
      <w:pPr>
        <w:spacing w:line="360" w:lineRule="auto"/>
        <w:ind w:firstLine="480" w:firstLineChars="200"/>
        <w:rPr>
          <w:rFonts w:ascii="宋体" w:hAnsi="宋体" w:cs="宋体"/>
          <w:sz w:val="24"/>
        </w:rPr>
      </w:pPr>
      <w:r>
        <w:rPr>
          <w:rFonts w:hint="eastAsia" w:ascii="宋体" w:hAnsi="宋体" w:cs="宋体"/>
          <w:sz w:val="24"/>
        </w:rPr>
        <w:t>（四）参与项目调研，需提供调研报告和相关证明。</w:t>
      </w:r>
    </w:p>
    <w:p w14:paraId="6D94A6D8">
      <w:pPr>
        <w:spacing w:line="360" w:lineRule="auto"/>
        <w:ind w:firstLine="480" w:firstLineChars="200"/>
        <w:rPr>
          <w:rFonts w:ascii="宋体" w:hAnsi="宋体" w:cs="宋体"/>
          <w:sz w:val="24"/>
        </w:rPr>
      </w:pPr>
      <w:r>
        <w:rPr>
          <w:rFonts w:hint="eastAsia" w:ascii="宋体" w:hAnsi="宋体" w:cs="宋体"/>
          <w:sz w:val="24"/>
        </w:rPr>
        <w:t>（五）在学校认定的C级及以上学术科技竞赛中获得奖励1项。</w:t>
      </w:r>
    </w:p>
    <w:p w14:paraId="22031552">
      <w:pPr>
        <w:spacing w:line="360" w:lineRule="auto"/>
        <w:ind w:firstLine="480" w:firstLineChars="200"/>
        <w:rPr>
          <w:rFonts w:ascii="宋体" w:hAnsi="宋体" w:cs="宋体"/>
          <w:sz w:val="24"/>
        </w:rPr>
      </w:pPr>
      <w:r>
        <w:rPr>
          <w:rFonts w:hint="eastAsia" w:ascii="宋体" w:hAnsi="宋体" w:cs="宋体"/>
          <w:sz w:val="24"/>
        </w:rPr>
        <w:t>（六）参加全国性学术会议，参与的学术论文被会议录用。</w:t>
      </w:r>
    </w:p>
    <w:p w14:paraId="21C8B2CE">
      <w:pPr>
        <w:spacing w:line="360" w:lineRule="auto"/>
        <w:ind w:firstLine="480" w:firstLineChars="200"/>
        <w:rPr>
          <w:rFonts w:ascii="宋体" w:hAnsi="宋体" w:cs="宋体"/>
          <w:sz w:val="24"/>
        </w:rPr>
      </w:pPr>
      <w:r>
        <w:rPr>
          <w:rFonts w:hint="eastAsia" w:ascii="宋体" w:hAnsi="宋体" w:cs="宋体"/>
          <w:sz w:val="24"/>
        </w:rPr>
        <w:t>（七）因各种原因未取得创新性成果，但硕士学位论文在原创性研究方面取得重要进展，并得到同行专家的高度认可（硕士学位论文评审一次性通过，评审结果全部为良好及以上，且至少有一个优秀），同时满足其他学位授予条件，可授予硕士学位。</w:t>
      </w:r>
    </w:p>
    <w:p w14:paraId="13373376">
      <w:pPr>
        <w:spacing w:line="360" w:lineRule="auto"/>
        <w:ind w:firstLine="560"/>
        <w:rPr>
          <w:rFonts w:eastAsia="黑体"/>
          <w:b/>
          <w:sz w:val="28"/>
          <w:szCs w:val="28"/>
        </w:rPr>
      </w:pPr>
      <w:r>
        <w:rPr>
          <w:rFonts w:eastAsia="黑体"/>
          <w:b/>
          <w:sz w:val="28"/>
          <w:szCs w:val="28"/>
        </w:rPr>
        <w:t>十一、学位授予</w:t>
      </w:r>
    </w:p>
    <w:p w14:paraId="7C07FA02">
      <w:pPr>
        <w:spacing w:line="360" w:lineRule="auto"/>
        <w:ind w:firstLine="480" w:firstLineChars="200"/>
        <w:rPr>
          <w:rFonts w:ascii="宋体" w:hAnsi="宋体" w:cs="宋体"/>
          <w:sz w:val="24"/>
        </w:rPr>
      </w:pPr>
      <w:r>
        <w:rPr>
          <w:rFonts w:hint="eastAsia" w:ascii="宋体" w:hAnsi="宋体" w:cs="宋体"/>
          <w:sz w:val="24"/>
        </w:rPr>
        <w:t>研究生通过毕业资格审查，满足本学院制定的创新性成果要求，符合《河北大学博士、硕士学位授予工作实施细则》（校政字〔2025〕7号）的有关规定，达到学校学位授予标准，经学校学位评定委员会审议，授予硕士学位。</w:t>
      </w:r>
    </w:p>
    <w:p w14:paraId="6EFEF73D">
      <w:pPr>
        <w:spacing w:line="360" w:lineRule="auto"/>
        <w:ind w:firstLine="560"/>
        <w:rPr>
          <w:rFonts w:eastAsia="黑体"/>
          <w:b/>
          <w:sz w:val="28"/>
          <w:szCs w:val="28"/>
        </w:rPr>
      </w:pPr>
      <w:r>
        <w:rPr>
          <w:rFonts w:eastAsia="黑体"/>
          <w:b/>
          <w:sz w:val="28"/>
          <w:szCs w:val="28"/>
        </w:rPr>
        <w:t>十</w:t>
      </w:r>
      <w:r>
        <w:rPr>
          <w:rFonts w:hint="eastAsia" w:eastAsia="黑体"/>
          <w:b/>
          <w:sz w:val="28"/>
          <w:szCs w:val="28"/>
        </w:rPr>
        <w:t>二</w:t>
      </w:r>
      <w:r>
        <w:rPr>
          <w:rFonts w:eastAsia="黑体"/>
          <w:b/>
          <w:sz w:val="28"/>
          <w:szCs w:val="28"/>
        </w:rPr>
        <w:t>、学分及课程设置</w:t>
      </w:r>
    </w:p>
    <w:p w14:paraId="6690029E">
      <w:pPr>
        <w:spacing w:line="360" w:lineRule="auto"/>
        <w:ind w:firstLine="480" w:firstLineChars="200"/>
        <w:rPr>
          <w:rFonts w:ascii="宋体" w:hAnsi="宋体" w:cs="宋体"/>
          <w:sz w:val="24"/>
        </w:rPr>
      </w:pPr>
      <w:r>
        <w:rPr>
          <w:rFonts w:hint="eastAsia" w:ascii="宋体" w:hAnsi="宋体" w:cs="宋体"/>
          <w:sz w:val="24"/>
        </w:rPr>
        <w:t>本专业最低毕业学分为2</w:t>
      </w:r>
      <w:r>
        <w:rPr>
          <w:rFonts w:hint="eastAsia" w:ascii="宋体" w:hAnsi="宋体" w:cs="宋体"/>
          <w:sz w:val="24"/>
          <w:lang w:val="en-US" w:eastAsia="zh-CN"/>
        </w:rPr>
        <w:t>3</w:t>
      </w:r>
      <w:bookmarkStart w:id="1" w:name="_GoBack"/>
      <w:bookmarkEnd w:id="1"/>
      <w:r>
        <w:rPr>
          <w:rFonts w:hint="eastAsia" w:ascii="宋体" w:hAnsi="宋体" w:cs="宋体"/>
          <w:sz w:val="24"/>
        </w:rPr>
        <w:t>分，其中学位课1</w:t>
      </w:r>
      <w:r>
        <w:rPr>
          <w:rFonts w:hint="eastAsia" w:ascii="宋体" w:hAnsi="宋体" w:cs="宋体"/>
          <w:sz w:val="24"/>
          <w:lang w:val="en-US" w:eastAsia="zh-CN"/>
        </w:rPr>
        <w:t>4</w:t>
      </w:r>
      <w:r>
        <w:rPr>
          <w:rFonts w:hint="eastAsia" w:ascii="宋体" w:hAnsi="宋体" w:cs="宋体"/>
          <w:sz w:val="24"/>
        </w:rPr>
        <w:t>学分，非学位课</w:t>
      </w:r>
      <w:r>
        <w:rPr>
          <w:rFonts w:ascii="宋体" w:hAnsi="宋体" w:cs="宋体"/>
          <w:sz w:val="24"/>
        </w:rPr>
        <w:t>8</w:t>
      </w:r>
      <w:r>
        <w:rPr>
          <w:rFonts w:hint="eastAsia" w:ascii="宋体" w:hAnsi="宋体" w:cs="宋体"/>
          <w:sz w:val="24"/>
        </w:rPr>
        <w:t>学分，</w:t>
      </w:r>
      <w:r>
        <w:rPr>
          <w:rFonts w:eastAsiaTheme="minorEastAsia"/>
          <w:color w:val="000000"/>
          <w:sz w:val="24"/>
        </w:rPr>
        <w:t>必修环</w:t>
      </w:r>
      <w:r>
        <w:rPr>
          <w:rFonts w:ascii="宋体" w:hAnsi="宋体" w:cs="宋体"/>
          <w:sz w:val="24"/>
        </w:rPr>
        <w:t>节1分</w:t>
      </w:r>
      <w:r>
        <w:rPr>
          <w:rFonts w:hint="eastAsia" w:ascii="宋体" w:hAnsi="宋体" w:cs="宋体"/>
          <w:sz w:val="24"/>
        </w:rPr>
        <w:t>。</w:t>
      </w:r>
    </w:p>
    <w:p w14:paraId="717788D1">
      <w:pPr>
        <w:spacing w:line="360" w:lineRule="auto"/>
        <w:ind w:firstLine="480" w:firstLineChars="200"/>
        <w:rPr>
          <w:b/>
          <w:bCs/>
          <w:sz w:val="24"/>
        </w:rPr>
      </w:pPr>
      <w:r>
        <w:rPr>
          <w:rFonts w:hint="eastAsia" w:ascii="宋体" w:hAnsi="宋体" w:cs="宋体"/>
          <w:sz w:val="24"/>
        </w:rPr>
        <w:t>课程考试不设补考环节，考试成绩低于60分的需重修。</w:t>
      </w:r>
    </w:p>
    <w:p w14:paraId="3F5C357E">
      <w:pPr>
        <w:spacing w:after="156" w:afterLines="50" w:line="440" w:lineRule="exact"/>
        <w:ind w:firstLine="482" w:firstLineChars="200"/>
        <w:jc w:val="center"/>
        <w:rPr>
          <w:rFonts w:eastAsiaTheme="minorEastAsia"/>
          <w:b/>
          <w:bCs/>
          <w:sz w:val="24"/>
        </w:rPr>
      </w:pPr>
      <w:r>
        <w:rPr>
          <w:rFonts w:hint="eastAsia" w:eastAsiaTheme="minorEastAsia"/>
          <w:b/>
          <w:bCs/>
          <w:sz w:val="24"/>
        </w:rPr>
        <w:t>经济史</w:t>
      </w:r>
      <w:r>
        <w:rPr>
          <w:rFonts w:eastAsiaTheme="minorEastAsia"/>
          <w:b/>
          <w:bCs/>
          <w:sz w:val="24"/>
        </w:rPr>
        <w:t>专业学术学位硕士研究生课程及培养环节设置一览表</w:t>
      </w:r>
    </w:p>
    <w:tbl>
      <w:tblPr>
        <w:tblStyle w:val="4"/>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61382EE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5AF07208">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55538C79">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0140E98F">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324CC022">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4573A022">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7FD31E23">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138AF27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436B6BD8">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0B150BD9">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41743728">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2274E3A2">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新时代中国特色社会主义理论与实践</w:t>
            </w:r>
          </w:p>
        </w:tc>
        <w:tc>
          <w:tcPr>
            <w:tcW w:w="1081" w:type="dxa"/>
            <w:vAlign w:val="center"/>
          </w:tcPr>
          <w:p w14:paraId="794D791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TS0000001</w:t>
            </w:r>
          </w:p>
        </w:tc>
        <w:tc>
          <w:tcPr>
            <w:tcW w:w="709" w:type="dxa"/>
            <w:vAlign w:val="center"/>
          </w:tcPr>
          <w:p w14:paraId="2C2C67B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3E94909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647C671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70EFF1C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54835E72">
            <w:pPr>
              <w:jc w:val="center"/>
              <w:rPr>
                <w:b/>
                <w:color w:val="000000" w:themeColor="text1"/>
                <w:sz w:val="18"/>
                <w:szCs w:val="18"/>
                <w14:textFill>
                  <w14:solidFill>
                    <w14:schemeClr w14:val="tx1"/>
                  </w14:solidFill>
                </w14:textFill>
              </w:rPr>
            </w:pPr>
          </w:p>
        </w:tc>
        <w:tc>
          <w:tcPr>
            <w:tcW w:w="1226" w:type="dxa"/>
            <w:vMerge w:val="continue"/>
            <w:vAlign w:val="center"/>
          </w:tcPr>
          <w:p w14:paraId="4ECB1840">
            <w:pPr>
              <w:jc w:val="center"/>
              <w:rPr>
                <w:b/>
                <w:color w:val="000000" w:themeColor="text1"/>
                <w:sz w:val="18"/>
                <w:szCs w:val="18"/>
                <w14:textFill>
                  <w14:solidFill>
                    <w14:schemeClr w14:val="tx1"/>
                  </w14:solidFill>
                </w14:textFill>
              </w:rPr>
            </w:pPr>
          </w:p>
        </w:tc>
        <w:tc>
          <w:tcPr>
            <w:tcW w:w="3516" w:type="dxa"/>
            <w:vAlign w:val="center"/>
          </w:tcPr>
          <w:p w14:paraId="606E2B1C">
            <w:pPr>
              <w:rPr>
                <w:sz w:val="18"/>
                <w:szCs w:val="18"/>
              </w:rPr>
            </w:pPr>
            <w:r>
              <w:rPr>
                <w:sz w:val="18"/>
                <w:szCs w:val="18"/>
              </w:rPr>
              <w:t>通用学术英语</w:t>
            </w:r>
          </w:p>
        </w:tc>
        <w:tc>
          <w:tcPr>
            <w:tcW w:w="1081" w:type="dxa"/>
            <w:vAlign w:val="center"/>
          </w:tcPr>
          <w:p w14:paraId="7D78C588">
            <w:pPr>
              <w:jc w:val="center"/>
              <w:rPr>
                <w:sz w:val="18"/>
                <w:szCs w:val="18"/>
              </w:rPr>
            </w:pPr>
            <w:r>
              <w:rPr>
                <w:sz w:val="18"/>
                <w:szCs w:val="18"/>
              </w:rPr>
              <w:t>TS0000002</w:t>
            </w:r>
          </w:p>
        </w:tc>
        <w:tc>
          <w:tcPr>
            <w:tcW w:w="709" w:type="dxa"/>
            <w:vAlign w:val="center"/>
          </w:tcPr>
          <w:p w14:paraId="1D3EF5FC">
            <w:pPr>
              <w:jc w:val="center"/>
              <w:rPr>
                <w:sz w:val="18"/>
                <w:szCs w:val="18"/>
              </w:rPr>
            </w:pPr>
            <w:r>
              <w:rPr>
                <w:sz w:val="18"/>
                <w:szCs w:val="18"/>
              </w:rPr>
              <w:t>2</w:t>
            </w:r>
          </w:p>
        </w:tc>
        <w:tc>
          <w:tcPr>
            <w:tcW w:w="709" w:type="dxa"/>
            <w:vAlign w:val="center"/>
          </w:tcPr>
          <w:p w14:paraId="136F7687">
            <w:pPr>
              <w:jc w:val="center"/>
              <w:rPr>
                <w:sz w:val="18"/>
                <w:szCs w:val="18"/>
              </w:rPr>
            </w:pPr>
            <w:r>
              <w:rPr>
                <w:sz w:val="18"/>
                <w:szCs w:val="18"/>
              </w:rPr>
              <w:t>1</w:t>
            </w:r>
          </w:p>
        </w:tc>
        <w:tc>
          <w:tcPr>
            <w:tcW w:w="1045" w:type="dxa"/>
            <w:vAlign w:val="center"/>
          </w:tcPr>
          <w:p w14:paraId="3622D270">
            <w:pPr>
              <w:jc w:val="center"/>
              <w:rPr>
                <w:sz w:val="18"/>
                <w:szCs w:val="18"/>
              </w:rPr>
            </w:pPr>
            <w:r>
              <w:rPr>
                <w:rFonts w:hint="eastAsia"/>
                <w:sz w:val="18"/>
                <w:szCs w:val="18"/>
              </w:rPr>
              <w:t>考查</w:t>
            </w:r>
          </w:p>
        </w:tc>
      </w:tr>
      <w:tr w14:paraId="22224DC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01AFFAA">
            <w:pPr>
              <w:jc w:val="center"/>
              <w:rPr>
                <w:b/>
                <w:color w:val="000000" w:themeColor="text1"/>
                <w:sz w:val="18"/>
                <w:szCs w:val="18"/>
                <w14:textFill>
                  <w14:solidFill>
                    <w14:schemeClr w14:val="tx1"/>
                  </w14:solidFill>
                </w14:textFill>
              </w:rPr>
            </w:pPr>
          </w:p>
        </w:tc>
        <w:tc>
          <w:tcPr>
            <w:tcW w:w="1226" w:type="dxa"/>
            <w:vAlign w:val="center"/>
          </w:tcPr>
          <w:p w14:paraId="66CEE237">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学科基础课</w:t>
            </w:r>
          </w:p>
          <w:p w14:paraId="29C9406F">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lang w:val="en-US" w:eastAsia="zh-CN"/>
                <w14:textFill>
                  <w14:solidFill>
                    <w14:schemeClr w14:val="tx1"/>
                  </w14:solidFill>
                </w14:textFill>
              </w:rPr>
              <w:t>1</w:t>
            </w:r>
            <w:r>
              <w:rPr>
                <w:b/>
                <w:color w:val="000000" w:themeColor="text1"/>
                <w:sz w:val="18"/>
                <w:szCs w:val="18"/>
                <w14:textFill>
                  <w14:solidFill>
                    <w14:schemeClr w14:val="tx1"/>
                  </w14:solidFill>
                </w14:textFill>
              </w:rPr>
              <w:t>学分）</w:t>
            </w:r>
          </w:p>
        </w:tc>
        <w:tc>
          <w:tcPr>
            <w:tcW w:w="3516" w:type="dxa"/>
            <w:vAlign w:val="center"/>
          </w:tcPr>
          <w:p w14:paraId="28B99DBE">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学术道德与论文写作</w:t>
            </w:r>
          </w:p>
        </w:tc>
        <w:tc>
          <w:tcPr>
            <w:tcW w:w="1081" w:type="dxa"/>
            <w:vAlign w:val="center"/>
          </w:tcPr>
          <w:p w14:paraId="73E55D6F">
            <w:pPr>
              <w:jc w:val="center"/>
              <w:rPr>
                <w:i/>
                <w:color w:val="FF0000"/>
                <w:sz w:val="18"/>
                <w:szCs w:val="18"/>
              </w:rPr>
            </w:pPr>
            <w:r>
              <w:rPr>
                <w:rFonts w:hint="eastAsia"/>
                <w:sz w:val="18"/>
                <w:szCs w:val="18"/>
              </w:rPr>
              <w:t>XS0301001</w:t>
            </w:r>
          </w:p>
        </w:tc>
        <w:tc>
          <w:tcPr>
            <w:tcW w:w="709" w:type="dxa"/>
            <w:vAlign w:val="center"/>
          </w:tcPr>
          <w:p w14:paraId="413E5C3E">
            <w:pPr>
              <w:jc w:val="center"/>
              <w:rPr>
                <w:color w:val="FF0000"/>
              </w:rPr>
            </w:pPr>
            <w:r>
              <w:rPr>
                <w:rFonts w:hint="eastAsia"/>
                <w:sz w:val="18"/>
                <w:szCs w:val="18"/>
              </w:rPr>
              <w:t>1</w:t>
            </w:r>
          </w:p>
        </w:tc>
        <w:tc>
          <w:tcPr>
            <w:tcW w:w="709" w:type="dxa"/>
            <w:vAlign w:val="center"/>
          </w:tcPr>
          <w:p w14:paraId="1065862D">
            <w:pPr>
              <w:jc w:val="center"/>
              <w:rPr>
                <w:color w:val="FF0000"/>
              </w:rPr>
            </w:pPr>
            <w:r>
              <w:rPr>
                <w:rFonts w:hint="eastAsia"/>
                <w:sz w:val="18"/>
                <w:szCs w:val="18"/>
              </w:rPr>
              <w:t>3</w:t>
            </w:r>
          </w:p>
        </w:tc>
        <w:tc>
          <w:tcPr>
            <w:tcW w:w="1045" w:type="dxa"/>
            <w:vAlign w:val="center"/>
          </w:tcPr>
          <w:p w14:paraId="21D9230C">
            <w:pPr>
              <w:jc w:val="center"/>
              <w:rPr>
                <w:i/>
                <w:color w:val="FF0000"/>
                <w:sz w:val="18"/>
                <w:szCs w:val="18"/>
              </w:rPr>
            </w:pPr>
            <w:r>
              <w:rPr>
                <w:rFonts w:hint="eastAsia"/>
                <w:sz w:val="18"/>
                <w:szCs w:val="18"/>
              </w:rPr>
              <w:t>考查</w:t>
            </w:r>
          </w:p>
        </w:tc>
      </w:tr>
      <w:tr w14:paraId="44D06EF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47C9A7B">
            <w:pPr>
              <w:jc w:val="center"/>
              <w:rPr>
                <w:b/>
                <w:color w:val="000000" w:themeColor="text1"/>
                <w:sz w:val="18"/>
                <w:szCs w:val="18"/>
                <w14:textFill>
                  <w14:solidFill>
                    <w14:schemeClr w14:val="tx1"/>
                  </w14:solidFill>
                </w14:textFill>
              </w:rPr>
            </w:pPr>
          </w:p>
        </w:tc>
        <w:tc>
          <w:tcPr>
            <w:tcW w:w="1226" w:type="dxa"/>
            <w:vMerge w:val="restart"/>
            <w:vAlign w:val="center"/>
          </w:tcPr>
          <w:p w14:paraId="0B3F2360">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103CC051">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9</w:t>
            </w:r>
            <w:r>
              <w:rPr>
                <w:b/>
                <w:color w:val="000000" w:themeColor="text1"/>
                <w:sz w:val="18"/>
                <w:szCs w:val="18"/>
                <w14:textFill>
                  <w14:solidFill>
                    <w14:schemeClr w14:val="tx1"/>
                  </w14:solidFill>
                </w14:textFill>
              </w:rPr>
              <w:t>学分）</w:t>
            </w:r>
          </w:p>
        </w:tc>
        <w:tc>
          <w:tcPr>
            <w:tcW w:w="3516" w:type="dxa"/>
            <w:vAlign w:val="center"/>
          </w:tcPr>
          <w:p w14:paraId="05AA9DE0">
            <w:r>
              <w:rPr>
                <w:rFonts w:hint="eastAsia"/>
                <w:sz w:val="18"/>
                <w:szCs w:val="18"/>
              </w:rPr>
              <w:t>高级计量经济学</w:t>
            </w:r>
            <w:r>
              <w:rPr>
                <w:sz w:val="18"/>
                <w:szCs w:val="18"/>
              </w:rPr>
              <w:t>I</w:t>
            </w:r>
          </w:p>
        </w:tc>
        <w:tc>
          <w:tcPr>
            <w:tcW w:w="1081" w:type="dxa"/>
            <w:vAlign w:val="center"/>
          </w:tcPr>
          <w:p w14:paraId="7D77418F">
            <w:pPr>
              <w:jc w:val="center"/>
              <w:rPr>
                <w:color w:val="FF0000"/>
                <w:sz w:val="18"/>
                <w:szCs w:val="18"/>
              </w:rPr>
            </w:pPr>
            <w:r>
              <w:rPr>
                <w:rFonts w:hint="eastAsia"/>
                <w:sz w:val="18"/>
                <w:szCs w:val="18"/>
              </w:rPr>
              <w:t>XS0301002</w:t>
            </w:r>
          </w:p>
        </w:tc>
        <w:tc>
          <w:tcPr>
            <w:tcW w:w="709" w:type="dxa"/>
            <w:vAlign w:val="center"/>
          </w:tcPr>
          <w:p w14:paraId="631B0B13">
            <w:pPr>
              <w:jc w:val="center"/>
              <w:rPr>
                <w:color w:val="FF0000"/>
              </w:rPr>
            </w:pPr>
            <w:r>
              <w:rPr>
                <w:rFonts w:hint="eastAsia"/>
                <w:sz w:val="18"/>
                <w:szCs w:val="18"/>
              </w:rPr>
              <w:t>3</w:t>
            </w:r>
          </w:p>
        </w:tc>
        <w:tc>
          <w:tcPr>
            <w:tcW w:w="709" w:type="dxa"/>
            <w:vAlign w:val="center"/>
          </w:tcPr>
          <w:p w14:paraId="1F84C91F">
            <w:pPr>
              <w:jc w:val="center"/>
              <w:rPr>
                <w:color w:val="FF0000"/>
              </w:rPr>
            </w:pPr>
            <w:r>
              <w:rPr>
                <w:rFonts w:hint="eastAsia"/>
                <w:sz w:val="18"/>
                <w:szCs w:val="18"/>
              </w:rPr>
              <w:t>2</w:t>
            </w:r>
          </w:p>
        </w:tc>
        <w:tc>
          <w:tcPr>
            <w:tcW w:w="1045" w:type="dxa"/>
            <w:vAlign w:val="center"/>
          </w:tcPr>
          <w:p w14:paraId="44246F58">
            <w:pPr>
              <w:jc w:val="center"/>
              <w:rPr>
                <w:color w:val="FF0000"/>
                <w:sz w:val="18"/>
                <w:szCs w:val="18"/>
              </w:rPr>
            </w:pPr>
            <w:r>
              <w:rPr>
                <w:rFonts w:hint="eastAsia"/>
                <w:sz w:val="18"/>
                <w:szCs w:val="18"/>
              </w:rPr>
              <w:t>考试</w:t>
            </w:r>
          </w:p>
        </w:tc>
      </w:tr>
      <w:tr w14:paraId="5CC0ABB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BBA94EB">
            <w:pPr>
              <w:jc w:val="center"/>
              <w:rPr>
                <w:b/>
                <w:color w:val="000000" w:themeColor="text1"/>
                <w:sz w:val="18"/>
                <w:szCs w:val="18"/>
                <w14:textFill>
                  <w14:solidFill>
                    <w14:schemeClr w14:val="tx1"/>
                  </w14:solidFill>
                </w14:textFill>
              </w:rPr>
            </w:pPr>
          </w:p>
        </w:tc>
        <w:tc>
          <w:tcPr>
            <w:tcW w:w="1226" w:type="dxa"/>
            <w:vMerge w:val="continue"/>
            <w:vAlign w:val="center"/>
          </w:tcPr>
          <w:p w14:paraId="2FEFCE05">
            <w:pPr>
              <w:jc w:val="center"/>
              <w:rPr>
                <w:b/>
                <w:color w:val="000000" w:themeColor="text1"/>
                <w:sz w:val="18"/>
                <w:szCs w:val="18"/>
                <w14:textFill>
                  <w14:solidFill>
                    <w14:schemeClr w14:val="tx1"/>
                  </w14:solidFill>
                </w14:textFill>
              </w:rPr>
            </w:pPr>
          </w:p>
        </w:tc>
        <w:tc>
          <w:tcPr>
            <w:tcW w:w="3516" w:type="dxa"/>
            <w:vAlign w:val="center"/>
          </w:tcPr>
          <w:p w14:paraId="1DBF56B5">
            <w:pPr>
              <w:rPr>
                <w:i/>
                <w:color w:val="FF0000"/>
                <w:sz w:val="18"/>
                <w:szCs w:val="18"/>
              </w:rPr>
            </w:pPr>
            <w:r>
              <w:rPr>
                <w:rFonts w:hint="eastAsia"/>
                <w:sz w:val="18"/>
                <w:szCs w:val="18"/>
              </w:rPr>
              <w:t>高级微观经济学</w:t>
            </w:r>
            <w:r>
              <w:rPr>
                <w:sz w:val="18"/>
                <w:szCs w:val="18"/>
              </w:rPr>
              <w:t>I</w:t>
            </w:r>
          </w:p>
        </w:tc>
        <w:tc>
          <w:tcPr>
            <w:tcW w:w="1081" w:type="dxa"/>
            <w:vAlign w:val="center"/>
          </w:tcPr>
          <w:p w14:paraId="506E1CC5">
            <w:pPr>
              <w:jc w:val="center"/>
              <w:rPr>
                <w:i/>
                <w:color w:val="FF0000"/>
                <w:sz w:val="18"/>
                <w:szCs w:val="18"/>
              </w:rPr>
            </w:pPr>
            <w:r>
              <w:rPr>
                <w:rFonts w:hint="eastAsia"/>
                <w:sz w:val="18"/>
                <w:szCs w:val="18"/>
              </w:rPr>
              <w:t>XS0301003</w:t>
            </w:r>
          </w:p>
        </w:tc>
        <w:tc>
          <w:tcPr>
            <w:tcW w:w="709" w:type="dxa"/>
            <w:vAlign w:val="center"/>
          </w:tcPr>
          <w:p w14:paraId="2B528231">
            <w:pPr>
              <w:jc w:val="center"/>
              <w:rPr>
                <w:i/>
                <w:color w:val="FF0000"/>
                <w:sz w:val="18"/>
                <w:szCs w:val="18"/>
              </w:rPr>
            </w:pPr>
            <w:r>
              <w:rPr>
                <w:rFonts w:hint="eastAsia"/>
                <w:sz w:val="18"/>
                <w:szCs w:val="18"/>
              </w:rPr>
              <w:t>3</w:t>
            </w:r>
          </w:p>
        </w:tc>
        <w:tc>
          <w:tcPr>
            <w:tcW w:w="709" w:type="dxa"/>
            <w:vAlign w:val="center"/>
          </w:tcPr>
          <w:p w14:paraId="1759565D">
            <w:pPr>
              <w:jc w:val="center"/>
              <w:rPr>
                <w:i/>
                <w:color w:val="FF0000"/>
                <w:sz w:val="18"/>
                <w:szCs w:val="18"/>
              </w:rPr>
            </w:pPr>
            <w:r>
              <w:rPr>
                <w:rFonts w:hint="eastAsia"/>
                <w:sz w:val="18"/>
                <w:szCs w:val="18"/>
              </w:rPr>
              <w:t>1</w:t>
            </w:r>
          </w:p>
        </w:tc>
        <w:tc>
          <w:tcPr>
            <w:tcW w:w="1045" w:type="dxa"/>
            <w:vAlign w:val="center"/>
          </w:tcPr>
          <w:p w14:paraId="5952E8FA">
            <w:pPr>
              <w:jc w:val="center"/>
              <w:rPr>
                <w:i/>
                <w:color w:val="FF0000"/>
                <w:sz w:val="18"/>
                <w:szCs w:val="18"/>
              </w:rPr>
            </w:pPr>
            <w:r>
              <w:rPr>
                <w:rFonts w:hint="eastAsia"/>
                <w:sz w:val="18"/>
                <w:szCs w:val="18"/>
              </w:rPr>
              <w:t>考试</w:t>
            </w:r>
          </w:p>
        </w:tc>
      </w:tr>
      <w:tr w14:paraId="602C05A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B3CE394">
            <w:pPr>
              <w:jc w:val="center"/>
              <w:rPr>
                <w:b/>
                <w:color w:val="000000" w:themeColor="text1"/>
                <w:sz w:val="18"/>
                <w:szCs w:val="18"/>
                <w14:textFill>
                  <w14:solidFill>
                    <w14:schemeClr w14:val="tx1"/>
                  </w14:solidFill>
                </w14:textFill>
              </w:rPr>
            </w:pPr>
          </w:p>
        </w:tc>
        <w:tc>
          <w:tcPr>
            <w:tcW w:w="1226" w:type="dxa"/>
            <w:vMerge w:val="continue"/>
            <w:vAlign w:val="center"/>
          </w:tcPr>
          <w:p w14:paraId="39F357F1">
            <w:pPr>
              <w:jc w:val="center"/>
              <w:rPr>
                <w:b/>
                <w:color w:val="000000" w:themeColor="text1"/>
                <w:sz w:val="18"/>
                <w:szCs w:val="18"/>
                <w14:textFill>
                  <w14:solidFill>
                    <w14:schemeClr w14:val="tx1"/>
                  </w14:solidFill>
                </w14:textFill>
              </w:rPr>
            </w:pPr>
          </w:p>
        </w:tc>
        <w:tc>
          <w:tcPr>
            <w:tcW w:w="3516" w:type="dxa"/>
            <w:vAlign w:val="center"/>
          </w:tcPr>
          <w:p w14:paraId="478194B6">
            <w:r>
              <w:rPr>
                <w:rFonts w:hint="eastAsia"/>
                <w:sz w:val="18"/>
                <w:szCs w:val="18"/>
              </w:rPr>
              <w:t>高级宏观经济学</w:t>
            </w:r>
            <w:r>
              <w:rPr>
                <w:sz w:val="18"/>
                <w:szCs w:val="18"/>
              </w:rPr>
              <w:t>I</w:t>
            </w:r>
          </w:p>
        </w:tc>
        <w:tc>
          <w:tcPr>
            <w:tcW w:w="1081" w:type="dxa"/>
            <w:vAlign w:val="center"/>
          </w:tcPr>
          <w:p w14:paraId="5132F3FD">
            <w:pPr>
              <w:jc w:val="center"/>
              <w:rPr>
                <w:color w:val="FF0000"/>
                <w:sz w:val="18"/>
                <w:szCs w:val="18"/>
              </w:rPr>
            </w:pPr>
            <w:r>
              <w:rPr>
                <w:rFonts w:hint="eastAsia"/>
                <w:sz w:val="18"/>
                <w:szCs w:val="18"/>
              </w:rPr>
              <w:t>XS0301004</w:t>
            </w:r>
          </w:p>
        </w:tc>
        <w:tc>
          <w:tcPr>
            <w:tcW w:w="709" w:type="dxa"/>
            <w:vAlign w:val="center"/>
          </w:tcPr>
          <w:p w14:paraId="2AC72400">
            <w:pPr>
              <w:jc w:val="center"/>
              <w:rPr>
                <w:color w:val="FF0000"/>
              </w:rPr>
            </w:pPr>
            <w:r>
              <w:rPr>
                <w:rFonts w:hint="eastAsia"/>
                <w:sz w:val="18"/>
                <w:szCs w:val="18"/>
              </w:rPr>
              <w:t>3</w:t>
            </w:r>
          </w:p>
        </w:tc>
        <w:tc>
          <w:tcPr>
            <w:tcW w:w="709" w:type="dxa"/>
            <w:vAlign w:val="center"/>
          </w:tcPr>
          <w:p w14:paraId="34BCEDD7">
            <w:pPr>
              <w:jc w:val="center"/>
              <w:rPr>
                <w:color w:val="FF0000"/>
              </w:rPr>
            </w:pPr>
            <w:r>
              <w:rPr>
                <w:rFonts w:hint="eastAsia"/>
                <w:sz w:val="18"/>
                <w:szCs w:val="18"/>
              </w:rPr>
              <w:t>2</w:t>
            </w:r>
          </w:p>
        </w:tc>
        <w:tc>
          <w:tcPr>
            <w:tcW w:w="1045" w:type="dxa"/>
            <w:vAlign w:val="center"/>
          </w:tcPr>
          <w:p w14:paraId="4EFD22C7">
            <w:pPr>
              <w:jc w:val="center"/>
              <w:rPr>
                <w:color w:val="FF0000"/>
                <w:sz w:val="18"/>
                <w:szCs w:val="18"/>
              </w:rPr>
            </w:pPr>
            <w:r>
              <w:rPr>
                <w:rFonts w:hint="eastAsia"/>
                <w:sz w:val="18"/>
                <w:szCs w:val="18"/>
              </w:rPr>
              <w:t>考试</w:t>
            </w:r>
          </w:p>
        </w:tc>
      </w:tr>
      <w:tr w14:paraId="16DBB37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13E2D8CD">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00A3FC3B">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2E10090D">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3837F23E">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081" w:type="dxa"/>
            <w:vAlign w:val="center"/>
          </w:tcPr>
          <w:p w14:paraId="5555148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709" w:type="dxa"/>
            <w:vAlign w:val="center"/>
          </w:tcPr>
          <w:p w14:paraId="3C01FCC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334A2CF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3FAACF3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61B3C2E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0580B134">
            <w:pPr>
              <w:jc w:val="center"/>
              <w:rPr>
                <w:b/>
                <w:color w:val="000000" w:themeColor="text1"/>
                <w:sz w:val="18"/>
                <w:szCs w:val="18"/>
                <w14:textFill>
                  <w14:solidFill>
                    <w14:schemeClr w14:val="tx1"/>
                  </w14:solidFill>
                </w14:textFill>
              </w:rPr>
            </w:pPr>
          </w:p>
        </w:tc>
        <w:tc>
          <w:tcPr>
            <w:tcW w:w="1226" w:type="dxa"/>
            <w:vMerge w:val="continue"/>
            <w:vAlign w:val="center"/>
          </w:tcPr>
          <w:p w14:paraId="351ACA9E">
            <w:pPr>
              <w:jc w:val="center"/>
              <w:rPr>
                <w:b/>
                <w:color w:val="000000" w:themeColor="text1"/>
                <w:sz w:val="18"/>
                <w:szCs w:val="18"/>
                <w14:textFill>
                  <w14:solidFill>
                    <w14:schemeClr w14:val="tx1"/>
                  </w14:solidFill>
                </w14:textFill>
              </w:rPr>
            </w:pPr>
          </w:p>
        </w:tc>
        <w:tc>
          <w:tcPr>
            <w:tcW w:w="3516" w:type="dxa"/>
            <w:vAlign w:val="center"/>
          </w:tcPr>
          <w:p w14:paraId="5FDBE81D">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马克思主义与社会科学方法论</w:t>
            </w:r>
          </w:p>
        </w:tc>
        <w:tc>
          <w:tcPr>
            <w:tcW w:w="1081" w:type="dxa"/>
            <w:vAlign w:val="center"/>
          </w:tcPr>
          <w:p w14:paraId="12647CC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TS0000101</w:t>
            </w:r>
          </w:p>
        </w:tc>
        <w:tc>
          <w:tcPr>
            <w:tcW w:w="709" w:type="dxa"/>
            <w:vAlign w:val="center"/>
          </w:tcPr>
          <w:p w14:paraId="3413826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6B7EBEB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7868A5F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6854B96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BD876DF">
            <w:pPr>
              <w:rPr>
                <w:b/>
                <w:color w:val="000000" w:themeColor="text1"/>
                <w:sz w:val="18"/>
                <w:szCs w:val="18"/>
                <w14:textFill>
                  <w14:solidFill>
                    <w14:schemeClr w14:val="tx1"/>
                  </w14:solidFill>
                </w14:textFill>
              </w:rPr>
            </w:pPr>
          </w:p>
        </w:tc>
        <w:tc>
          <w:tcPr>
            <w:tcW w:w="1226" w:type="dxa"/>
            <w:vMerge w:val="restart"/>
            <w:vAlign w:val="center"/>
          </w:tcPr>
          <w:p w14:paraId="0DB6E76D">
            <w:pPr>
              <w:adjustRightInd w:val="0"/>
              <w:snapToGrid w:val="0"/>
              <w:jc w:val="center"/>
              <w:rPr>
                <w:b/>
                <w:i/>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方向选修课</w:t>
            </w:r>
          </w:p>
        </w:tc>
        <w:tc>
          <w:tcPr>
            <w:tcW w:w="3516" w:type="dxa"/>
            <w:vAlign w:val="center"/>
          </w:tcPr>
          <w:p w14:paraId="3CD8EA09">
            <w:pPr>
              <w:rPr>
                <w:i/>
                <w:color w:val="FF0000"/>
                <w:sz w:val="18"/>
                <w:szCs w:val="18"/>
              </w:rPr>
            </w:pPr>
            <w:r>
              <w:rPr>
                <w:rFonts w:hint="eastAsia"/>
                <w:sz w:val="18"/>
                <w:szCs w:val="18"/>
              </w:rPr>
              <w:t>世界经济史</w:t>
            </w:r>
          </w:p>
        </w:tc>
        <w:tc>
          <w:tcPr>
            <w:tcW w:w="1081" w:type="dxa"/>
            <w:vAlign w:val="center"/>
          </w:tcPr>
          <w:p w14:paraId="68971FE7">
            <w:pPr>
              <w:jc w:val="center"/>
              <w:rPr>
                <w:color w:val="FF0000"/>
                <w:sz w:val="18"/>
                <w:szCs w:val="18"/>
              </w:rPr>
            </w:pPr>
            <w:r>
              <w:rPr>
                <w:rFonts w:hint="eastAsia"/>
                <w:sz w:val="18"/>
                <w:szCs w:val="18"/>
              </w:rPr>
              <w:t>XS0305205</w:t>
            </w:r>
          </w:p>
        </w:tc>
        <w:tc>
          <w:tcPr>
            <w:tcW w:w="709" w:type="dxa"/>
            <w:vAlign w:val="center"/>
          </w:tcPr>
          <w:p w14:paraId="08AFC972">
            <w:pPr>
              <w:jc w:val="center"/>
              <w:rPr>
                <w:color w:val="FF0000"/>
              </w:rPr>
            </w:pPr>
            <w:r>
              <w:rPr>
                <w:rFonts w:hint="eastAsia"/>
                <w:sz w:val="18"/>
                <w:szCs w:val="18"/>
              </w:rPr>
              <w:t>1.5</w:t>
            </w:r>
          </w:p>
        </w:tc>
        <w:tc>
          <w:tcPr>
            <w:tcW w:w="709" w:type="dxa"/>
            <w:vAlign w:val="center"/>
          </w:tcPr>
          <w:p w14:paraId="5ACFDCCD">
            <w:pPr>
              <w:jc w:val="center"/>
              <w:rPr>
                <w:color w:val="FF0000"/>
              </w:rPr>
            </w:pPr>
            <w:r>
              <w:rPr>
                <w:rFonts w:hint="eastAsia"/>
                <w:sz w:val="18"/>
                <w:szCs w:val="18"/>
              </w:rPr>
              <w:t>3</w:t>
            </w:r>
          </w:p>
        </w:tc>
        <w:tc>
          <w:tcPr>
            <w:tcW w:w="1045" w:type="dxa"/>
            <w:vMerge w:val="restart"/>
            <w:vAlign w:val="center"/>
          </w:tcPr>
          <w:p w14:paraId="73567BC3">
            <w:pPr>
              <w:adjustRightInd w:val="0"/>
              <w:snapToGrid w:val="0"/>
              <w:jc w:val="center"/>
              <w:rPr>
                <w:sz w:val="18"/>
                <w:szCs w:val="18"/>
              </w:rPr>
            </w:pPr>
            <w:r>
              <w:rPr>
                <w:color w:val="000000" w:themeColor="text1"/>
                <w:sz w:val="18"/>
                <w:szCs w:val="18"/>
                <w14:textFill>
                  <w14:solidFill>
                    <w14:schemeClr w14:val="tx1"/>
                  </w14:solidFill>
                </w14:textFill>
              </w:rPr>
              <w:t>研究生至少</w:t>
            </w:r>
            <w:r>
              <w:rPr>
                <w:sz w:val="18"/>
                <w:szCs w:val="18"/>
              </w:rPr>
              <w:t>选修</w:t>
            </w:r>
          </w:p>
          <w:p w14:paraId="57D6D921">
            <w:pPr>
              <w:adjustRightInd w:val="0"/>
              <w:snapToGrid w:val="0"/>
              <w:jc w:val="center"/>
              <w:rPr>
                <w:color w:val="000000" w:themeColor="text1"/>
                <w:sz w:val="18"/>
                <w:szCs w:val="18"/>
                <w14:textFill>
                  <w14:solidFill>
                    <w14:schemeClr w14:val="tx1"/>
                  </w14:solidFill>
                </w14:textFill>
              </w:rPr>
            </w:pPr>
            <w:r>
              <w:rPr>
                <w:sz w:val="18"/>
                <w:szCs w:val="18"/>
              </w:rPr>
              <w:t>6学</w:t>
            </w:r>
            <w:r>
              <w:rPr>
                <w:color w:val="000000" w:themeColor="text1"/>
                <w:sz w:val="18"/>
                <w:szCs w:val="18"/>
                <w14:textFill>
                  <w14:solidFill>
                    <w14:schemeClr w14:val="tx1"/>
                  </w14:solidFill>
                </w14:textFill>
              </w:rPr>
              <w:t>分</w:t>
            </w:r>
          </w:p>
        </w:tc>
      </w:tr>
      <w:tr w14:paraId="0D27173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9AECAEB">
            <w:pPr>
              <w:rPr>
                <w:b/>
                <w:color w:val="000000" w:themeColor="text1"/>
                <w:sz w:val="18"/>
                <w:szCs w:val="18"/>
                <w14:textFill>
                  <w14:solidFill>
                    <w14:schemeClr w14:val="tx1"/>
                  </w14:solidFill>
                </w14:textFill>
              </w:rPr>
            </w:pPr>
          </w:p>
        </w:tc>
        <w:tc>
          <w:tcPr>
            <w:tcW w:w="1226" w:type="dxa"/>
            <w:vMerge w:val="continue"/>
            <w:vAlign w:val="center"/>
          </w:tcPr>
          <w:p w14:paraId="61AB6AD1">
            <w:pPr>
              <w:adjustRightInd w:val="0"/>
              <w:snapToGrid w:val="0"/>
              <w:jc w:val="center"/>
              <w:rPr>
                <w:b/>
                <w:color w:val="FF0000"/>
                <w:sz w:val="18"/>
                <w:szCs w:val="18"/>
              </w:rPr>
            </w:pPr>
          </w:p>
        </w:tc>
        <w:tc>
          <w:tcPr>
            <w:tcW w:w="3516" w:type="dxa"/>
            <w:vAlign w:val="center"/>
          </w:tcPr>
          <w:p w14:paraId="082DBEC7">
            <w:pPr>
              <w:rPr>
                <w:i/>
                <w:color w:val="FF0000"/>
                <w:sz w:val="18"/>
                <w:szCs w:val="18"/>
              </w:rPr>
            </w:pPr>
            <w:r>
              <w:rPr>
                <w:rFonts w:hint="eastAsia"/>
                <w:sz w:val="18"/>
                <w:szCs w:val="18"/>
              </w:rPr>
              <w:t>中国人民共和国经济史</w:t>
            </w:r>
          </w:p>
        </w:tc>
        <w:tc>
          <w:tcPr>
            <w:tcW w:w="1081" w:type="dxa"/>
            <w:vAlign w:val="center"/>
          </w:tcPr>
          <w:p w14:paraId="5DFC8C84">
            <w:pPr>
              <w:jc w:val="center"/>
              <w:rPr>
                <w:color w:val="FF0000"/>
                <w:sz w:val="18"/>
                <w:szCs w:val="18"/>
              </w:rPr>
            </w:pPr>
            <w:r>
              <w:rPr>
                <w:rFonts w:hint="eastAsia"/>
                <w:sz w:val="18"/>
                <w:szCs w:val="18"/>
              </w:rPr>
              <w:t>XS0303202</w:t>
            </w:r>
          </w:p>
        </w:tc>
        <w:tc>
          <w:tcPr>
            <w:tcW w:w="709" w:type="dxa"/>
            <w:vAlign w:val="center"/>
          </w:tcPr>
          <w:p w14:paraId="3CA794F2">
            <w:pPr>
              <w:jc w:val="center"/>
              <w:rPr>
                <w:color w:val="FF0000"/>
              </w:rPr>
            </w:pPr>
            <w:r>
              <w:rPr>
                <w:rFonts w:hint="eastAsia"/>
                <w:sz w:val="18"/>
                <w:szCs w:val="18"/>
              </w:rPr>
              <w:t>1.5</w:t>
            </w:r>
          </w:p>
        </w:tc>
        <w:tc>
          <w:tcPr>
            <w:tcW w:w="709" w:type="dxa"/>
            <w:vAlign w:val="center"/>
          </w:tcPr>
          <w:p w14:paraId="0409DE76">
            <w:pPr>
              <w:jc w:val="center"/>
              <w:rPr>
                <w:color w:val="FF0000"/>
              </w:rPr>
            </w:pPr>
            <w:r>
              <w:rPr>
                <w:rFonts w:hint="eastAsia"/>
                <w:sz w:val="18"/>
                <w:szCs w:val="18"/>
              </w:rPr>
              <w:t>1</w:t>
            </w:r>
          </w:p>
        </w:tc>
        <w:tc>
          <w:tcPr>
            <w:tcW w:w="1045" w:type="dxa"/>
            <w:vMerge w:val="continue"/>
            <w:vAlign w:val="center"/>
          </w:tcPr>
          <w:p w14:paraId="09A8007B">
            <w:pPr>
              <w:adjustRightInd w:val="0"/>
              <w:snapToGrid w:val="0"/>
              <w:jc w:val="center"/>
              <w:rPr>
                <w:color w:val="000000" w:themeColor="text1"/>
                <w:sz w:val="18"/>
                <w:szCs w:val="18"/>
                <w14:textFill>
                  <w14:solidFill>
                    <w14:schemeClr w14:val="tx1"/>
                  </w14:solidFill>
                </w14:textFill>
              </w:rPr>
            </w:pPr>
          </w:p>
        </w:tc>
      </w:tr>
      <w:tr w14:paraId="7219016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7DBFA07">
            <w:pPr>
              <w:rPr>
                <w:b/>
                <w:color w:val="000000" w:themeColor="text1"/>
                <w:sz w:val="18"/>
                <w:szCs w:val="18"/>
                <w14:textFill>
                  <w14:solidFill>
                    <w14:schemeClr w14:val="tx1"/>
                  </w14:solidFill>
                </w14:textFill>
              </w:rPr>
            </w:pPr>
          </w:p>
        </w:tc>
        <w:tc>
          <w:tcPr>
            <w:tcW w:w="1226" w:type="dxa"/>
            <w:vMerge w:val="continue"/>
            <w:vAlign w:val="center"/>
          </w:tcPr>
          <w:p w14:paraId="7D13BF92">
            <w:pPr>
              <w:adjustRightInd w:val="0"/>
              <w:snapToGrid w:val="0"/>
              <w:jc w:val="center"/>
              <w:rPr>
                <w:b/>
                <w:color w:val="FF0000"/>
                <w:sz w:val="18"/>
                <w:szCs w:val="18"/>
              </w:rPr>
            </w:pPr>
          </w:p>
        </w:tc>
        <w:tc>
          <w:tcPr>
            <w:tcW w:w="3516" w:type="dxa"/>
            <w:vAlign w:val="center"/>
          </w:tcPr>
          <w:p w14:paraId="79A94CDB">
            <w:pPr>
              <w:rPr>
                <w:i/>
                <w:color w:val="FF0000"/>
                <w:sz w:val="18"/>
                <w:szCs w:val="18"/>
              </w:rPr>
            </w:pPr>
            <w:r>
              <w:rPr>
                <w:rFonts w:hint="eastAsia"/>
                <w:sz w:val="18"/>
                <w:szCs w:val="18"/>
              </w:rPr>
              <w:t>经济学方法论</w:t>
            </w:r>
          </w:p>
        </w:tc>
        <w:tc>
          <w:tcPr>
            <w:tcW w:w="1081" w:type="dxa"/>
            <w:vAlign w:val="center"/>
          </w:tcPr>
          <w:p w14:paraId="6EF66178">
            <w:pPr>
              <w:jc w:val="center"/>
              <w:rPr>
                <w:color w:val="FF0000"/>
                <w:sz w:val="18"/>
                <w:szCs w:val="18"/>
              </w:rPr>
            </w:pPr>
            <w:r>
              <w:rPr>
                <w:rFonts w:hint="eastAsia"/>
                <w:sz w:val="18"/>
                <w:szCs w:val="18"/>
              </w:rPr>
              <w:t>XS0305203</w:t>
            </w:r>
          </w:p>
        </w:tc>
        <w:tc>
          <w:tcPr>
            <w:tcW w:w="709" w:type="dxa"/>
            <w:vAlign w:val="center"/>
          </w:tcPr>
          <w:p w14:paraId="7D0638CB">
            <w:pPr>
              <w:jc w:val="center"/>
              <w:rPr>
                <w:color w:val="FF0000"/>
              </w:rPr>
            </w:pPr>
            <w:r>
              <w:rPr>
                <w:rFonts w:hint="eastAsia"/>
                <w:sz w:val="18"/>
                <w:szCs w:val="18"/>
              </w:rPr>
              <w:t>1.5</w:t>
            </w:r>
          </w:p>
        </w:tc>
        <w:tc>
          <w:tcPr>
            <w:tcW w:w="709" w:type="dxa"/>
            <w:vAlign w:val="center"/>
          </w:tcPr>
          <w:p w14:paraId="72BDBBDA">
            <w:pPr>
              <w:jc w:val="center"/>
              <w:rPr>
                <w:color w:val="FF0000"/>
              </w:rPr>
            </w:pPr>
            <w:r>
              <w:rPr>
                <w:rFonts w:hint="eastAsia"/>
                <w:sz w:val="18"/>
                <w:szCs w:val="18"/>
              </w:rPr>
              <w:t>1</w:t>
            </w:r>
          </w:p>
        </w:tc>
        <w:tc>
          <w:tcPr>
            <w:tcW w:w="1045" w:type="dxa"/>
            <w:vMerge w:val="continue"/>
            <w:vAlign w:val="center"/>
          </w:tcPr>
          <w:p w14:paraId="73DCA0FD">
            <w:pPr>
              <w:adjustRightInd w:val="0"/>
              <w:snapToGrid w:val="0"/>
              <w:jc w:val="center"/>
              <w:rPr>
                <w:color w:val="000000" w:themeColor="text1"/>
                <w:sz w:val="18"/>
                <w:szCs w:val="18"/>
                <w14:textFill>
                  <w14:solidFill>
                    <w14:schemeClr w14:val="tx1"/>
                  </w14:solidFill>
                </w14:textFill>
              </w:rPr>
            </w:pPr>
          </w:p>
        </w:tc>
      </w:tr>
      <w:tr w14:paraId="480792D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6D5181C">
            <w:pPr>
              <w:rPr>
                <w:b/>
                <w:color w:val="000000" w:themeColor="text1"/>
                <w:sz w:val="18"/>
                <w:szCs w:val="18"/>
                <w14:textFill>
                  <w14:solidFill>
                    <w14:schemeClr w14:val="tx1"/>
                  </w14:solidFill>
                </w14:textFill>
              </w:rPr>
            </w:pPr>
          </w:p>
        </w:tc>
        <w:tc>
          <w:tcPr>
            <w:tcW w:w="1226" w:type="dxa"/>
            <w:vMerge w:val="continue"/>
            <w:vAlign w:val="center"/>
          </w:tcPr>
          <w:p w14:paraId="380AA045">
            <w:pPr>
              <w:adjustRightInd w:val="0"/>
              <w:snapToGrid w:val="0"/>
              <w:jc w:val="center"/>
              <w:rPr>
                <w:b/>
                <w:color w:val="FF0000"/>
                <w:sz w:val="18"/>
                <w:szCs w:val="18"/>
              </w:rPr>
            </w:pPr>
          </w:p>
        </w:tc>
        <w:tc>
          <w:tcPr>
            <w:tcW w:w="3516" w:type="dxa"/>
            <w:vAlign w:val="center"/>
          </w:tcPr>
          <w:p w14:paraId="0AB35674">
            <w:pPr>
              <w:rPr>
                <w:i/>
                <w:color w:val="FF0000"/>
                <w:sz w:val="18"/>
                <w:szCs w:val="18"/>
              </w:rPr>
            </w:pPr>
            <w:r>
              <w:rPr>
                <w:rFonts w:hint="eastAsia"/>
                <w:sz w:val="18"/>
                <w:szCs w:val="18"/>
              </w:rPr>
              <w:t>经济全球化与区域化发展史</w:t>
            </w:r>
          </w:p>
        </w:tc>
        <w:tc>
          <w:tcPr>
            <w:tcW w:w="1081" w:type="dxa"/>
            <w:vAlign w:val="center"/>
          </w:tcPr>
          <w:p w14:paraId="1D085C63">
            <w:pPr>
              <w:jc w:val="center"/>
              <w:rPr>
                <w:color w:val="FF0000"/>
                <w:sz w:val="18"/>
                <w:szCs w:val="18"/>
              </w:rPr>
            </w:pPr>
            <w:r>
              <w:rPr>
                <w:rFonts w:hint="eastAsia"/>
                <w:sz w:val="18"/>
                <w:szCs w:val="18"/>
              </w:rPr>
              <w:t>XS0303207</w:t>
            </w:r>
          </w:p>
        </w:tc>
        <w:tc>
          <w:tcPr>
            <w:tcW w:w="709" w:type="dxa"/>
            <w:vAlign w:val="center"/>
          </w:tcPr>
          <w:p w14:paraId="64CCF6F0">
            <w:pPr>
              <w:jc w:val="center"/>
              <w:rPr>
                <w:color w:val="FF0000"/>
              </w:rPr>
            </w:pPr>
            <w:r>
              <w:rPr>
                <w:rFonts w:hint="eastAsia"/>
                <w:sz w:val="18"/>
                <w:szCs w:val="18"/>
              </w:rPr>
              <w:t>1.5</w:t>
            </w:r>
          </w:p>
        </w:tc>
        <w:tc>
          <w:tcPr>
            <w:tcW w:w="709" w:type="dxa"/>
            <w:vAlign w:val="center"/>
          </w:tcPr>
          <w:p w14:paraId="262A3F23">
            <w:pPr>
              <w:jc w:val="center"/>
              <w:rPr>
                <w:color w:val="FF0000"/>
              </w:rPr>
            </w:pPr>
            <w:r>
              <w:rPr>
                <w:rFonts w:hint="eastAsia"/>
                <w:color w:val="000000"/>
                <w:sz w:val="18"/>
                <w:szCs w:val="18"/>
              </w:rPr>
              <w:t>3</w:t>
            </w:r>
          </w:p>
        </w:tc>
        <w:tc>
          <w:tcPr>
            <w:tcW w:w="1045" w:type="dxa"/>
            <w:vMerge w:val="continue"/>
            <w:vAlign w:val="center"/>
          </w:tcPr>
          <w:p w14:paraId="3DC4F569">
            <w:pPr>
              <w:adjustRightInd w:val="0"/>
              <w:snapToGrid w:val="0"/>
              <w:jc w:val="center"/>
              <w:rPr>
                <w:color w:val="000000" w:themeColor="text1"/>
                <w:sz w:val="18"/>
                <w:szCs w:val="18"/>
                <w14:textFill>
                  <w14:solidFill>
                    <w14:schemeClr w14:val="tx1"/>
                  </w14:solidFill>
                </w14:textFill>
              </w:rPr>
            </w:pPr>
          </w:p>
        </w:tc>
      </w:tr>
      <w:tr w14:paraId="6453298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259E91A">
            <w:pPr>
              <w:rPr>
                <w:b/>
                <w:color w:val="000000" w:themeColor="text1"/>
                <w:sz w:val="18"/>
                <w:szCs w:val="18"/>
                <w14:textFill>
                  <w14:solidFill>
                    <w14:schemeClr w14:val="tx1"/>
                  </w14:solidFill>
                </w14:textFill>
              </w:rPr>
            </w:pPr>
          </w:p>
        </w:tc>
        <w:tc>
          <w:tcPr>
            <w:tcW w:w="1226" w:type="dxa"/>
            <w:vMerge w:val="continue"/>
            <w:vAlign w:val="center"/>
          </w:tcPr>
          <w:p w14:paraId="0E506749">
            <w:pPr>
              <w:adjustRightInd w:val="0"/>
              <w:snapToGrid w:val="0"/>
              <w:jc w:val="center"/>
              <w:rPr>
                <w:b/>
                <w:color w:val="FF0000"/>
                <w:sz w:val="18"/>
                <w:szCs w:val="18"/>
              </w:rPr>
            </w:pPr>
          </w:p>
        </w:tc>
        <w:tc>
          <w:tcPr>
            <w:tcW w:w="3516" w:type="dxa"/>
            <w:vAlign w:val="center"/>
          </w:tcPr>
          <w:p w14:paraId="3D971105">
            <w:pPr>
              <w:rPr>
                <w:i/>
                <w:color w:val="FF0000"/>
                <w:sz w:val="18"/>
                <w:szCs w:val="18"/>
              </w:rPr>
            </w:pPr>
            <w:r>
              <w:rPr>
                <w:rFonts w:hint="eastAsia"/>
                <w:sz w:val="18"/>
                <w:szCs w:val="18"/>
              </w:rPr>
              <w:t>中外现代化发展史比较研究</w:t>
            </w:r>
          </w:p>
        </w:tc>
        <w:tc>
          <w:tcPr>
            <w:tcW w:w="1081" w:type="dxa"/>
            <w:vAlign w:val="center"/>
          </w:tcPr>
          <w:p w14:paraId="6774BAD1">
            <w:pPr>
              <w:jc w:val="center"/>
              <w:rPr>
                <w:color w:val="FF0000"/>
                <w:sz w:val="18"/>
                <w:szCs w:val="18"/>
              </w:rPr>
            </w:pPr>
            <w:r>
              <w:rPr>
                <w:rFonts w:hint="eastAsia"/>
                <w:sz w:val="18"/>
                <w:szCs w:val="18"/>
              </w:rPr>
              <w:t>XS0303208</w:t>
            </w:r>
          </w:p>
        </w:tc>
        <w:tc>
          <w:tcPr>
            <w:tcW w:w="709" w:type="dxa"/>
            <w:vAlign w:val="center"/>
          </w:tcPr>
          <w:p w14:paraId="042FC124">
            <w:pPr>
              <w:jc w:val="center"/>
              <w:rPr>
                <w:color w:val="FF0000"/>
              </w:rPr>
            </w:pPr>
            <w:r>
              <w:rPr>
                <w:rFonts w:hint="eastAsia"/>
                <w:sz w:val="18"/>
                <w:szCs w:val="18"/>
              </w:rPr>
              <w:t>1.5</w:t>
            </w:r>
          </w:p>
        </w:tc>
        <w:tc>
          <w:tcPr>
            <w:tcW w:w="709" w:type="dxa"/>
            <w:vAlign w:val="center"/>
          </w:tcPr>
          <w:p w14:paraId="3711340E">
            <w:pPr>
              <w:jc w:val="center"/>
              <w:rPr>
                <w:color w:val="FF0000"/>
              </w:rPr>
            </w:pPr>
            <w:r>
              <w:rPr>
                <w:rFonts w:hint="eastAsia"/>
                <w:color w:val="000000"/>
                <w:sz w:val="18"/>
                <w:szCs w:val="18"/>
              </w:rPr>
              <w:t>2</w:t>
            </w:r>
          </w:p>
        </w:tc>
        <w:tc>
          <w:tcPr>
            <w:tcW w:w="1045" w:type="dxa"/>
            <w:vMerge w:val="continue"/>
            <w:vAlign w:val="center"/>
          </w:tcPr>
          <w:p w14:paraId="2A06DCD9">
            <w:pPr>
              <w:adjustRightInd w:val="0"/>
              <w:snapToGrid w:val="0"/>
              <w:jc w:val="center"/>
              <w:rPr>
                <w:color w:val="000000" w:themeColor="text1"/>
                <w:sz w:val="18"/>
                <w:szCs w:val="18"/>
                <w14:textFill>
                  <w14:solidFill>
                    <w14:schemeClr w14:val="tx1"/>
                  </w14:solidFill>
                </w14:textFill>
              </w:rPr>
            </w:pPr>
          </w:p>
        </w:tc>
      </w:tr>
      <w:tr w14:paraId="1D45D0D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8017877">
            <w:pPr>
              <w:rPr>
                <w:b/>
                <w:color w:val="000000" w:themeColor="text1"/>
                <w:sz w:val="18"/>
                <w:szCs w:val="18"/>
                <w14:textFill>
                  <w14:solidFill>
                    <w14:schemeClr w14:val="tx1"/>
                  </w14:solidFill>
                </w14:textFill>
              </w:rPr>
            </w:pPr>
          </w:p>
        </w:tc>
        <w:tc>
          <w:tcPr>
            <w:tcW w:w="1226" w:type="dxa"/>
            <w:vMerge w:val="continue"/>
            <w:vAlign w:val="center"/>
          </w:tcPr>
          <w:p w14:paraId="2B77431A">
            <w:pPr>
              <w:adjustRightInd w:val="0"/>
              <w:snapToGrid w:val="0"/>
              <w:jc w:val="center"/>
              <w:rPr>
                <w:b/>
                <w:color w:val="FF0000"/>
                <w:sz w:val="18"/>
                <w:szCs w:val="18"/>
              </w:rPr>
            </w:pPr>
          </w:p>
        </w:tc>
        <w:tc>
          <w:tcPr>
            <w:tcW w:w="3516" w:type="dxa"/>
            <w:vAlign w:val="center"/>
          </w:tcPr>
          <w:p w14:paraId="1955F611">
            <w:pPr>
              <w:rPr>
                <w:i/>
                <w:color w:val="FF0000"/>
                <w:sz w:val="18"/>
                <w:szCs w:val="18"/>
              </w:rPr>
            </w:pPr>
            <w:r>
              <w:rPr>
                <w:rFonts w:hint="eastAsia"/>
                <w:sz w:val="18"/>
                <w:szCs w:val="18"/>
              </w:rPr>
              <w:t>高级发展经济学专题</w:t>
            </w:r>
          </w:p>
        </w:tc>
        <w:tc>
          <w:tcPr>
            <w:tcW w:w="1081" w:type="dxa"/>
            <w:vAlign w:val="center"/>
          </w:tcPr>
          <w:p w14:paraId="11CDB7CE">
            <w:pPr>
              <w:jc w:val="center"/>
              <w:rPr>
                <w:color w:val="FF0000"/>
                <w:sz w:val="18"/>
                <w:szCs w:val="18"/>
              </w:rPr>
            </w:pPr>
            <w:r>
              <w:rPr>
                <w:rFonts w:hint="eastAsia"/>
                <w:sz w:val="18"/>
                <w:szCs w:val="18"/>
              </w:rPr>
              <w:t>XS0303209</w:t>
            </w:r>
          </w:p>
        </w:tc>
        <w:tc>
          <w:tcPr>
            <w:tcW w:w="709" w:type="dxa"/>
            <w:vAlign w:val="center"/>
          </w:tcPr>
          <w:p w14:paraId="1C111435">
            <w:pPr>
              <w:jc w:val="center"/>
              <w:rPr>
                <w:color w:val="FF0000"/>
              </w:rPr>
            </w:pPr>
            <w:r>
              <w:rPr>
                <w:rFonts w:hint="eastAsia"/>
                <w:sz w:val="18"/>
                <w:szCs w:val="18"/>
              </w:rPr>
              <w:t>1.5</w:t>
            </w:r>
          </w:p>
        </w:tc>
        <w:tc>
          <w:tcPr>
            <w:tcW w:w="709" w:type="dxa"/>
            <w:vAlign w:val="center"/>
          </w:tcPr>
          <w:p w14:paraId="5640FBD6">
            <w:pPr>
              <w:jc w:val="center"/>
              <w:rPr>
                <w:color w:val="FF0000"/>
              </w:rPr>
            </w:pPr>
            <w:r>
              <w:rPr>
                <w:rFonts w:hint="eastAsia"/>
                <w:color w:val="000000"/>
                <w:sz w:val="18"/>
                <w:szCs w:val="18"/>
              </w:rPr>
              <w:t>3</w:t>
            </w:r>
          </w:p>
        </w:tc>
        <w:tc>
          <w:tcPr>
            <w:tcW w:w="1045" w:type="dxa"/>
            <w:vMerge w:val="continue"/>
            <w:vAlign w:val="center"/>
          </w:tcPr>
          <w:p w14:paraId="160A1EA1">
            <w:pPr>
              <w:adjustRightInd w:val="0"/>
              <w:snapToGrid w:val="0"/>
              <w:jc w:val="center"/>
              <w:rPr>
                <w:color w:val="000000" w:themeColor="text1"/>
                <w:sz w:val="18"/>
                <w:szCs w:val="18"/>
                <w14:textFill>
                  <w14:solidFill>
                    <w14:schemeClr w14:val="tx1"/>
                  </w14:solidFill>
                </w14:textFill>
              </w:rPr>
            </w:pPr>
          </w:p>
        </w:tc>
      </w:tr>
      <w:tr w14:paraId="3FB142E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5598C46">
            <w:pPr>
              <w:rPr>
                <w:b/>
                <w:color w:val="000000" w:themeColor="text1"/>
                <w:sz w:val="18"/>
                <w:szCs w:val="18"/>
                <w14:textFill>
                  <w14:solidFill>
                    <w14:schemeClr w14:val="tx1"/>
                  </w14:solidFill>
                </w14:textFill>
              </w:rPr>
            </w:pPr>
          </w:p>
        </w:tc>
        <w:tc>
          <w:tcPr>
            <w:tcW w:w="1226" w:type="dxa"/>
            <w:vMerge w:val="continue"/>
            <w:vAlign w:val="center"/>
          </w:tcPr>
          <w:p w14:paraId="27670377">
            <w:pPr>
              <w:adjustRightInd w:val="0"/>
              <w:snapToGrid w:val="0"/>
              <w:jc w:val="center"/>
              <w:rPr>
                <w:b/>
                <w:color w:val="FF0000"/>
                <w:sz w:val="18"/>
                <w:szCs w:val="18"/>
              </w:rPr>
            </w:pPr>
          </w:p>
        </w:tc>
        <w:tc>
          <w:tcPr>
            <w:tcW w:w="3516" w:type="dxa"/>
            <w:vAlign w:val="center"/>
          </w:tcPr>
          <w:p w14:paraId="35FCC240">
            <w:pPr>
              <w:rPr>
                <w:i/>
                <w:color w:val="FF0000"/>
                <w:sz w:val="18"/>
                <w:szCs w:val="18"/>
              </w:rPr>
            </w:pPr>
            <w:r>
              <w:rPr>
                <w:rFonts w:hint="eastAsia"/>
                <w:sz w:val="18"/>
                <w:szCs w:val="18"/>
              </w:rPr>
              <w:t>经济思想史</w:t>
            </w:r>
          </w:p>
        </w:tc>
        <w:tc>
          <w:tcPr>
            <w:tcW w:w="1081" w:type="dxa"/>
            <w:vAlign w:val="center"/>
          </w:tcPr>
          <w:p w14:paraId="3CB4D8CF">
            <w:pPr>
              <w:jc w:val="center"/>
              <w:rPr>
                <w:color w:val="FF0000"/>
                <w:sz w:val="18"/>
                <w:szCs w:val="18"/>
              </w:rPr>
            </w:pPr>
            <w:r>
              <w:rPr>
                <w:rFonts w:hint="eastAsia"/>
                <w:sz w:val="18"/>
                <w:szCs w:val="18"/>
              </w:rPr>
              <w:t>XS0303201</w:t>
            </w:r>
          </w:p>
        </w:tc>
        <w:tc>
          <w:tcPr>
            <w:tcW w:w="709" w:type="dxa"/>
            <w:vAlign w:val="center"/>
          </w:tcPr>
          <w:p w14:paraId="00EE4296">
            <w:pPr>
              <w:jc w:val="center"/>
              <w:rPr>
                <w:color w:val="FF0000"/>
              </w:rPr>
            </w:pPr>
            <w:r>
              <w:rPr>
                <w:rFonts w:hint="eastAsia"/>
                <w:sz w:val="18"/>
                <w:szCs w:val="18"/>
              </w:rPr>
              <w:t>1.5</w:t>
            </w:r>
          </w:p>
        </w:tc>
        <w:tc>
          <w:tcPr>
            <w:tcW w:w="709" w:type="dxa"/>
            <w:vAlign w:val="center"/>
          </w:tcPr>
          <w:p w14:paraId="4F7D2F9C">
            <w:pPr>
              <w:jc w:val="center"/>
              <w:rPr>
                <w:color w:val="FF0000"/>
              </w:rPr>
            </w:pPr>
            <w:r>
              <w:rPr>
                <w:rFonts w:hint="eastAsia"/>
                <w:sz w:val="18"/>
                <w:szCs w:val="18"/>
              </w:rPr>
              <w:t>2</w:t>
            </w:r>
          </w:p>
        </w:tc>
        <w:tc>
          <w:tcPr>
            <w:tcW w:w="1045" w:type="dxa"/>
            <w:vMerge w:val="continue"/>
            <w:vAlign w:val="center"/>
          </w:tcPr>
          <w:p w14:paraId="10985994">
            <w:pPr>
              <w:adjustRightInd w:val="0"/>
              <w:snapToGrid w:val="0"/>
              <w:jc w:val="center"/>
              <w:rPr>
                <w:color w:val="000000" w:themeColor="text1"/>
                <w:sz w:val="18"/>
                <w:szCs w:val="18"/>
                <w14:textFill>
                  <w14:solidFill>
                    <w14:schemeClr w14:val="tx1"/>
                  </w14:solidFill>
                </w14:textFill>
              </w:rPr>
            </w:pPr>
          </w:p>
        </w:tc>
      </w:tr>
      <w:tr w14:paraId="5A9D5E5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C82321D">
            <w:pPr>
              <w:rPr>
                <w:b/>
                <w:color w:val="000000" w:themeColor="text1"/>
                <w:sz w:val="18"/>
                <w:szCs w:val="18"/>
                <w14:textFill>
                  <w14:solidFill>
                    <w14:schemeClr w14:val="tx1"/>
                  </w14:solidFill>
                </w14:textFill>
              </w:rPr>
            </w:pPr>
          </w:p>
        </w:tc>
        <w:tc>
          <w:tcPr>
            <w:tcW w:w="1226" w:type="dxa"/>
            <w:vMerge w:val="continue"/>
            <w:vAlign w:val="center"/>
          </w:tcPr>
          <w:p w14:paraId="49C94572">
            <w:pPr>
              <w:jc w:val="center"/>
              <w:rPr>
                <w:b/>
                <w:color w:val="000000" w:themeColor="text1"/>
                <w:sz w:val="18"/>
                <w:szCs w:val="18"/>
                <w14:textFill>
                  <w14:solidFill>
                    <w14:schemeClr w14:val="tx1"/>
                  </w14:solidFill>
                </w14:textFill>
              </w:rPr>
            </w:pPr>
          </w:p>
        </w:tc>
        <w:tc>
          <w:tcPr>
            <w:tcW w:w="3516" w:type="dxa"/>
            <w:vAlign w:val="center"/>
          </w:tcPr>
          <w:p w14:paraId="497A081F">
            <w:pPr>
              <w:adjustRightInd w:val="0"/>
              <w:snapToGrid w:val="0"/>
              <w:rPr>
                <w:i/>
                <w:color w:val="FF0000"/>
                <w:sz w:val="18"/>
                <w:szCs w:val="18"/>
              </w:rPr>
            </w:pPr>
            <w:r>
              <w:rPr>
                <w:rFonts w:hint="eastAsia"/>
                <w:sz w:val="18"/>
                <w:szCs w:val="18"/>
              </w:rPr>
              <w:t>经济史研究的实证分析方法</w:t>
            </w:r>
          </w:p>
        </w:tc>
        <w:tc>
          <w:tcPr>
            <w:tcW w:w="1081" w:type="dxa"/>
            <w:vAlign w:val="center"/>
          </w:tcPr>
          <w:p w14:paraId="699661B4">
            <w:pPr>
              <w:jc w:val="center"/>
              <w:rPr>
                <w:color w:val="FF0000"/>
                <w:sz w:val="18"/>
                <w:szCs w:val="18"/>
              </w:rPr>
            </w:pPr>
            <w:r>
              <w:rPr>
                <w:rFonts w:hint="eastAsia"/>
                <w:sz w:val="18"/>
                <w:szCs w:val="18"/>
              </w:rPr>
              <w:t>XS0303210</w:t>
            </w:r>
          </w:p>
        </w:tc>
        <w:tc>
          <w:tcPr>
            <w:tcW w:w="709" w:type="dxa"/>
            <w:vAlign w:val="center"/>
          </w:tcPr>
          <w:p w14:paraId="492F2B6E">
            <w:pPr>
              <w:jc w:val="center"/>
              <w:rPr>
                <w:color w:val="FF0000"/>
                <w:sz w:val="18"/>
                <w:szCs w:val="18"/>
              </w:rPr>
            </w:pPr>
            <w:r>
              <w:rPr>
                <w:rFonts w:hint="eastAsia"/>
                <w:sz w:val="18"/>
                <w:szCs w:val="18"/>
              </w:rPr>
              <w:t>1.5</w:t>
            </w:r>
          </w:p>
        </w:tc>
        <w:tc>
          <w:tcPr>
            <w:tcW w:w="709" w:type="dxa"/>
            <w:vAlign w:val="center"/>
          </w:tcPr>
          <w:p w14:paraId="31A1EA29">
            <w:pPr>
              <w:jc w:val="center"/>
              <w:rPr>
                <w:i/>
                <w:color w:val="FF0000"/>
                <w:sz w:val="18"/>
                <w:szCs w:val="18"/>
              </w:rPr>
            </w:pPr>
            <w:r>
              <w:rPr>
                <w:rFonts w:hint="eastAsia"/>
                <w:sz w:val="18"/>
                <w:szCs w:val="18"/>
              </w:rPr>
              <w:t>3</w:t>
            </w:r>
          </w:p>
        </w:tc>
        <w:tc>
          <w:tcPr>
            <w:tcW w:w="1045" w:type="dxa"/>
            <w:vMerge w:val="continue"/>
            <w:vAlign w:val="center"/>
          </w:tcPr>
          <w:p w14:paraId="2BA10083">
            <w:pPr>
              <w:jc w:val="center"/>
              <w:rPr>
                <w:color w:val="000000" w:themeColor="text1"/>
                <w:sz w:val="18"/>
                <w:szCs w:val="18"/>
                <w14:textFill>
                  <w14:solidFill>
                    <w14:schemeClr w14:val="tx1"/>
                  </w14:solidFill>
                </w14:textFill>
              </w:rPr>
            </w:pPr>
          </w:p>
        </w:tc>
      </w:tr>
      <w:tr w14:paraId="7523E53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E608458">
            <w:pPr>
              <w:rPr>
                <w:b/>
                <w:color w:val="000000" w:themeColor="text1"/>
                <w:sz w:val="18"/>
                <w:szCs w:val="18"/>
                <w14:textFill>
                  <w14:solidFill>
                    <w14:schemeClr w14:val="tx1"/>
                  </w14:solidFill>
                </w14:textFill>
              </w:rPr>
            </w:pPr>
          </w:p>
        </w:tc>
        <w:tc>
          <w:tcPr>
            <w:tcW w:w="1226" w:type="dxa"/>
            <w:vMerge w:val="continue"/>
            <w:vAlign w:val="center"/>
          </w:tcPr>
          <w:p w14:paraId="27C1D114">
            <w:pPr>
              <w:jc w:val="center"/>
              <w:rPr>
                <w:b/>
                <w:color w:val="000000" w:themeColor="text1"/>
                <w:sz w:val="18"/>
                <w:szCs w:val="18"/>
                <w14:textFill>
                  <w14:solidFill>
                    <w14:schemeClr w14:val="tx1"/>
                  </w14:solidFill>
                </w14:textFill>
              </w:rPr>
            </w:pPr>
          </w:p>
        </w:tc>
        <w:tc>
          <w:tcPr>
            <w:tcW w:w="3516" w:type="dxa"/>
            <w:vAlign w:val="center"/>
          </w:tcPr>
          <w:p w14:paraId="517EAD14">
            <w:pPr>
              <w:adjustRightInd w:val="0"/>
              <w:snapToGrid w:val="0"/>
              <w:rPr>
                <w:i/>
                <w:color w:val="FF0000"/>
                <w:sz w:val="18"/>
                <w:szCs w:val="18"/>
              </w:rPr>
            </w:pPr>
            <w:r>
              <w:rPr>
                <w:rFonts w:hint="eastAsia"/>
                <w:color w:val="000000"/>
                <w:sz w:val="18"/>
                <w:szCs w:val="18"/>
              </w:rPr>
              <w:t>中国经济史专题</w:t>
            </w:r>
          </w:p>
        </w:tc>
        <w:tc>
          <w:tcPr>
            <w:tcW w:w="1081" w:type="dxa"/>
            <w:vAlign w:val="center"/>
          </w:tcPr>
          <w:p w14:paraId="03C2B6AE">
            <w:pPr>
              <w:jc w:val="center"/>
              <w:rPr>
                <w:color w:val="FF0000"/>
                <w:sz w:val="18"/>
                <w:szCs w:val="18"/>
              </w:rPr>
            </w:pPr>
            <w:r>
              <w:rPr>
                <w:rFonts w:hint="eastAsia"/>
                <w:color w:val="000000"/>
                <w:sz w:val="18"/>
                <w:szCs w:val="18"/>
              </w:rPr>
              <w:t>XS</w:t>
            </w:r>
            <w:r>
              <w:rPr>
                <w:color w:val="000000"/>
                <w:sz w:val="18"/>
                <w:szCs w:val="18"/>
              </w:rPr>
              <w:t>030</w:t>
            </w:r>
            <w:r>
              <w:rPr>
                <w:rFonts w:hint="eastAsia"/>
                <w:color w:val="000000"/>
                <w:sz w:val="18"/>
                <w:szCs w:val="18"/>
              </w:rPr>
              <w:t>2205</w:t>
            </w:r>
          </w:p>
        </w:tc>
        <w:tc>
          <w:tcPr>
            <w:tcW w:w="709" w:type="dxa"/>
            <w:vAlign w:val="center"/>
          </w:tcPr>
          <w:p w14:paraId="5FE6DF97">
            <w:pPr>
              <w:jc w:val="center"/>
              <w:rPr>
                <w:color w:val="FF0000"/>
                <w:sz w:val="18"/>
                <w:szCs w:val="18"/>
              </w:rPr>
            </w:pPr>
            <w:r>
              <w:rPr>
                <w:rFonts w:hint="eastAsia"/>
                <w:color w:val="000000"/>
                <w:sz w:val="18"/>
                <w:szCs w:val="18"/>
              </w:rPr>
              <w:t>1.5</w:t>
            </w:r>
          </w:p>
        </w:tc>
        <w:tc>
          <w:tcPr>
            <w:tcW w:w="709" w:type="dxa"/>
            <w:vAlign w:val="center"/>
          </w:tcPr>
          <w:p w14:paraId="371C8E68">
            <w:pPr>
              <w:jc w:val="center"/>
              <w:rPr>
                <w:i/>
                <w:color w:val="FF0000"/>
                <w:sz w:val="18"/>
                <w:szCs w:val="18"/>
              </w:rPr>
            </w:pPr>
            <w:r>
              <w:rPr>
                <w:rFonts w:hint="eastAsia"/>
                <w:color w:val="000000"/>
                <w:sz w:val="18"/>
                <w:szCs w:val="18"/>
              </w:rPr>
              <w:t>2</w:t>
            </w:r>
          </w:p>
        </w:tc>
        <w:tc>
          <w:tcPr>
            <w:tcW w:w="1045" w:type="dxa"/>
            <w:vMerge w:val="continue"/>
            <w:vAlign w:val="center"/>
          </w:tcPr>
          <w:p w14:paraId="5D8FEA7F">
            <w:pPr>
              <w:jc w:val="center"/>
              <w:rPr>
                <w:color w:val="000000" w:themeColor="text1"/>
                <w:sz w:val="18"/>
                <w:szCs w:val="18"/>
                <w14:textFill>
                  <w14:solidFill>
                    <w14:schemeClr w14:val="tx1"/>
                  </w14:solidFill>
                </w14:textFill>
              </w:rPr>
            </w:pPr>
          </w:p>
        </w:tc>
      </w:tr>
      <w:tr w14:paraId="02B3F3B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9CEA040">
            <w:pPr>
              <w:rPr>
                <w:b/>
                <w:color w:val="000000" w:themeColor="text1"/>
                <w:sz w:val="18"/>
                <w:szCs w:val="18"/>
                <w14:textFill>
                  <w14:solidFill>
                    <w14:schemeClr w14:val="tx1"/>
                  </w14:solidFill>
                </w14:textFill>
              </w:rPr>
            </w:pPr>
          </w:p>
        </w:tc>
        <w:tc>
          <w:tcPr>
            <w:tcW w:w="1226" w:type="dxa"/>
            <w:vMerge w:val="continue"/>
          </w:tcPr>
          <w:p w14:paraId="26E66A34">
            <w:pPr>
              <w:jc w:val="center"/>
              <w:rPr>
                <w:b/>
                <w:color w:val="000000" w:themeColor="text1"/>
                <w:sz w:val="18"/>
                <w:szCs w:val="18"/>
                <w14:textFill>
                  <w14:solidFill>
                    <w14:schemeClr w14:val="tx1"/>
                  </w14:solidFill>
                </w14:textFill>
              </w:rPr>
            </w:pPr>
          </w:p>
        </w:tc>
        <w:tc>
          <w:tcPr>
            <w:tcW w:w="3516" w:type="dxa"/>
            <w:vAlign w:val="center"/>
          </w:tcPr>
          <w:p w14:paraId="70851425">
            <w:pPr>
              <w:adjustRightInd w:val="0"/>
              <w:snapToGrid w:val="0"/>
              <w:rPr>
                <w:i/>
                <w:color w:val="FF0000"/>
                <w:sz w:val="18"/>
                <w:szCs w:val="18"/>
              </w:rPr>
            </w:pPr>
            <w:r>
              <w:rPr>
                <w:rFonts w:hint="eastAsia"/>
                <w:sz w:val="18"/>
                <w:szCs w:val="18"/>
              </w:rPr>
              <w:t>统计分析软件及应用</w:t>
            </w:r>
          </w:p>
        </w:tc>
        <w:tc>
          <w:tcPr>
            <w:tcW w:w="1081" w:type="dxa"/>
            <w:vAlign w:val="center"/>
          </w:tcPr>
          <w:p w14:paraId="3C62C5AE">
            <w:pPr>
              <w:jc w:val="center"/>
              <w:rPr>
                <w:color w:val="FF0000"/>
                <w:sz w:val="18"/>
                <w:szCs w:val="18"/>
              </w:rPr>
            </w:pPr>
            <w:r>
              <w:rPr>
                <w:rFonts w:hint="eastAsia"/>
                <w:sz w:val="18"/>
                <w:szCs w:val="18"/>
              </w:rPr>
              <w:t>XS0305210</w:t>
            </w:r>
          </w:p>
        </w:tc>
        <w:tc>
          <w:tcPr>
            <w:tcW w:w="709" w:type="dxa"/>
            <w:vAlign w:val="center"/>
          </w:tcPr>
          <w:p w14:paraId="34466FF7">
            <w:pPr>
              <w:jc w:val="center"/>
              <w:rPr>
                <w:color w:val="FF0000"/>
                <w:sz w:val="18"/>
                <w:szCs w:val="18"/>
              </w:rPr>
            </w:pPr>
            <w:r>
              <w:rPr>
                <w:rFonts w:hint="eastAsia"/>
                <w:sz w:val="18"/>
                <w:szCs w:val="18"/>
              </w:rPr>
              <w:t>1.5</w:t>
            </w:r>
          </w:p>
        </w:tc>
        <w:tc>
          <w:tcPr>
            <w:tcW w:w="709" w:type="dxa"/>
            <w:vAlign w:val="center"/>
          </w:tcPr>
          <w:p w14:paraId="0D4222B6">
            <w:pPr>
              <w:jc w:val="center"/>
              <w:rPr>
                <w:color w:val="FF0000"/>
                <w:sz w:val="18"/>
                <w:szCs w:val="18"/>
              </w:rPr>
            </w:pPr>
            <w:r>
              <w:rPr>
                <w:rFonts w:hint="eastAsia"/>
                <w:sz w:val="18"/>
                <w:szCs w:val="18"/>
              </w:rPr>
              <w:t>3</w:t>
            </w:r>
          </w:p>
        </w:tc>
        <w:tc>
          <w:tcPr>
            <w:tcW w:w="1045" w:type="dxa"/>
            <w:vMerge w:val="continue"/>
            <w:vAlign w:val="center"/>
          </w:tcPr>
          <w:p w14:paraId="3D3A5AA3">
            <w:pPr>
              <w:jc w:val="center"/>
              <w:rPr>
                <w:color w:val="000000" w:themeColor="text1"/>
                <w:sz w:val="18"/>
                <w:szCs w:val="18"/>
                <w14:textFill>
                  <w14:solidFill>
                    <w14:schemeClr w14:val="tx1"/>
                  </w14:solidFill>
                </w14:textFill>
              </w:rPr>
            </w:pPr>
          </w:p>
        </w:tc>
      </w:tr>
      <w:tr w14:paraId="146A286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55ED10A1">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tc>
        <w:tc>
          <w:tcPr>
            <w:tcW w:w="1226" w:type="dxa"/>
            <w:vMerge w:val="restart"/>
            <w:vAlign w:val="center"/>
          </w:tcPr>
          <w:p w14:paraId="02A3E17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516" w:type="dxa"/>
            <w:vAlign w:val="center"/>
          </w:tcPr>
          <w:p w14:paraId="640E0239">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081" w:type="dxa"/>
            <w:vAlign w:val="center"/>
          </w:tcPr>
          <w:p w14:paraId="08783D0C">
            <w:pPr>
              <w:jc w:val="center"/>
              <w:rPr>
                <w:color w:val="000000" w:themeColor="text1"/>
                <w:sz w:val="18"/>
                <w:szCs w:val="18"/>
                <w14:textFill>
                  <w14:solidFill>
                    <w14:schemeClr w14:val="tx1"/>
                  </w14:solidFill>
                </w14:textFill>
              </w:rPr>
            </w:pPr>
          </w:p>
        </w:tc>
        <w:tc>
          <w:tcPr>
            <w:tcW w:w="709" w:type="dxa"/>
            <w:vAlign w:val="center"/>
          </w:tcPr>
          <w:p w14:paraId="07CAB4E7">
            <w:pPr>
              <w:jc w:val="center"/>
              <w:rPr>
                <w:color w:val="000000" w:themeColor="text1"/>
                <w:sz w:val="18"/>
                <w:szCs w:val="18"/>
                <w14:textFill>
                  <w14:solidFill>
                    <w14:schemeClr w14:val="tx1"/>
                  </w14:solidFill>
                </w14:textFill>
              </w:rPr>
            </w:pPr>
          </w:p>
        </w:tc>
        <w:tc>
          <w:tcPr>
            <w:tcW w:w="709" w:type="dxa"/>
            <w:vAlign w:val="center"/>
          </w:tcPr>
          <w:p w14:paraId="068AB69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128BB34C">
            <w:pPr>
              <w:jc w:val="center"/>
              <w:rPr>
                <w:i/>
                <w:color w:val="FF0000"/>
                <w:sz w:val="18"/>
                <w:szCs w:val="18"/>
              </w:rPr>
            </w:pPr>
            <w:r>
              <w:rPr>
                <w:color w:val="000000" w:themeColor="text1"/>
                <w:sz w:val="18"/>
                <w:szCs w:val="18"/>
                <w14:textFill>
                  <w14:solidFill>
                    <w14:schemeClr w14:val="tx1"/>
                  </w14:solidFill>
                </w14:textFill>
              </w:rPr>
              <w:t>考查</w:t>
            </w:r>
          </w:p>
        </w:tc>
      </w:tr>
      <w:tr w14:paraId="0FE4205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479DB1D1">
            <w:pPr>
              <w:jc w:val="center"/>
              <w:rPr>
                <w:b/>
                <w:color w:val="000000" w:themeColor="text1"/>
                <w:sz w:val="18"/>
                <w:szCs w:val="18"/>
                <w14:textFill>
                  <w14:solidFill>
                    <w14:schemeClr w14:val="tx1"/>
                  </w14:solidFill>
                </w14:textFill>
              </w:rPr>
            </w:pPr>
          </w:p>
        </w:tc>
        <w:tc>
          <w:tcPr>
            <w:tcW w:w="1226" w:type="dxa"/>
            <w:vMerge w:val="continue"/>
            <w:vAlign w:val="center"/>
          </w:tcPr>
          <w:p w14:paraId="07BB7F10">
            <w:pPr>
              <w:jc w:val="center"/>
              <w:rPr>
                <w:b/>
                <w:color w:val="000000" w:themeColor="text1"/>
                <w:sz w:val="18"/>
                <w:szCs w:val="18"/>
                <w14:textFill>
                  <w14:solidFill>
                    <w14:schemeClr w14:val="tx1"/>
                  </w14:solidFill>
                </w14:textFill>
              </w:rPr>
            </w:pPr>
          </w:p>
        </w:tc>
        <w:tc>
          <w:tcPr>
            <w:tcW w:w="3516" w:type="dxa"/>
            <w:vAlign w:val="center"/>
          </w:tcPr>
          <w:p w14:paraId="3F063E03">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学术活动</w:t>
            </w:r>
          </w:p>
        </w:tc>
        <w:tc>
          <w:tcPr>
            <w:tcW w:w="1081" w:type="dxa"/>
            <w:vAlign w:val="center"/>
          </w:tcPr>
          <w:p w14:paraId="6D85D194">
            <w:pPr>
              <w:jc w:val="center"/>
              <w:rPr>
                <w:color w:val="000000" w:themeColor="text1"/>
                <w:sz w:val="18"/>
                <w:szCs w:val="18"/>
                <w14:textFill>
                  <w14:solidFill>
                    <w14:schemeClr w14:val="tx1"/>
                  </w14:solidFill>
                </w14:textFill>
              </w:rPr>
            </w:pPr>
          </w:p>
        </w:tc>
        <w:tc>
          <w:tcPr>
            <w:tcW w:w="709" w:type="dxa"/>
            <w:vAlign w:val="center"/>
          </w:tcPr>
          <w:p w14:paraId="41C6087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653F6DB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r>
              <w:rPr>
                <w:color w:val="000000" w:themeColor="text1"/>
                <w:sz w:val="18"/>
                <w:szCs w:val="18"/>
                <w14:textFill>
                  <w14:solidFill>
                    <w14:schemeClr w14:val="tx1"/>
                  </w14:solidFill>
                </w14:textFill>
              </w:rPr>
              <w:t>-3</w:t>
            </w:r>
          </w:p>
        </w:tc>
        <w:tc>
          <w:tcPr>
            <w:tcW w:w="1045" w:type="dxa"/>
            <w:vMerge w:val="continue"/>
            <w:vAlign w:val="center"/>
          </w:tcPr>
          <w:p w14:paraId="4D60A699">
            <w:pPr>
              <w:jc w:val="center"/>
              <w:rPr>
                <w:color w:val="000000" w:themeColor="text1"/>
                <w:sz w:val="18"/>
                <w:szCs w:val="18"/>
                <w14:textFill>
                  <w14:solidFill>
                    <w14:schemeClr w14:val="tx1"/>
                  </w14:solidFill>
                </w14:textFill>
              </w:rPr>
            </w:pPr>
          </w:p>
        </w:tc>
      </w:tr>
      <w:tr w14:paraId="2BEFBBA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FD73F0F">
            <w:pPr>
              <w:rPr>
                <w:b/>
                <w:color w:val="000000" w:themeColor="text1"/>
                <w:sz w:val="18"/>
                <w:szCs w:val="18"/>
                <w14:textFill>
                  <w14:solidFill>
                    <w14:schemeClr w14:val="tx1"/>
                  </w14:solidFill>
                </w14:textFill>
              </w:rPr>
            </w:pPr>
          </w:p>
        </w:tc>
        <w:tc>
          <w:tcPr>
            <w:tcW w:w="1226" w:type="dxa"/>
            <w:vMerge w:val="restart"/>
            <w:vAlign w:val="center"/>
          </w:tcPr>
          <w:p w14:paraId="5F9B07D3">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598820A3">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vAlign w:val="center"/>
          </w:tcPr>
          <w:p w14:paraId="5658F823">
            <w:pPr>
              <w:jc w:val="center"/>
              <w:rPr>
                <w:color w:val="000000" w:themeColor="text1"/>
                <w:sz w:val="18"/>
                <w:szCs w:val="18"/>
                <w14:textFill>
                  <w14:solidFill>
                    <w14:schemeClr w14:val="tx1"/>
                  </w14:solidFill>
                </w14:textFill>
              </w:rPr>
            </w:pPr>
          </w:p>
        </w:tc>
        <w:tc>
          <w:tcPr>
            <w:tcW w:w="709" w:type="dxa"/>
            <w:vAlign w:val="center"/>
          </w:tcPr>
          <w:p w14:paraId="2E343846">
            <w:pPr>
              <w:jc w:val="center"/>
              <w:rPr>
                <w:color w:val="000000" w:themeColor="text1"/>
                <w:sz w:val="18"/>
                <w:szCs w:val="18"/>
                <w14:textFill>
                  <w14:solidFill>
                    <w14:schemeClr w14:val="tx1"/>
                  </w14:solidFill>
                </w14:textFill>
              </w:rPr>
            </w:pPr>
          </w:p>
        </w:tc>
        <w:tc>
          <w:tcPr>
            <w:tcW w:w="709" w:type="dxa"/>
            <w:vAlign w:val="center"/>
          </w:tcPr>
          <w:p w14:paraId="245F9BF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2-3</w:t>
            </w:r>
          </w:p>
        </w:tc>
        <w:tc>
          <w:tcPr>
            <w:tcW w:w="1045" w:type="dxa"/>
            <w:vMerge w:val="restart"/>
            <w:vAlign w:val="center"/>
          </w:tcPr>
          <w:p w14:paraId="02EE1D1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03DF634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39199C6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6FE32D3">
            <w:pPr>
              <w:rPr>
                <w:b/>
                <w:color w:val="000000" w:themeColor="text1"/>
                <w:sz w:val="18"/>
                <w:szCs w:val="18"/>
                <w14:textFill>
                  <w14:solidFill>
                    <w14:schemeClr w14:val="tx1"/>
                  </w14:solidFill>
                </w14:textFill>
              </w:rPr>
            </w:pPr>
          </w:p>
        </w:tc>
        <w:tc>
          <w:tcPr>
            <w:tcW w:w="1226" w:type="dxa"/>
            <w:vMerge w:val="continue"/>
            <w:vAlign w:val="center"/>
          </w:tcPr>
          <w:p w14:paraId="00F09259">
            <w:pPr>
              <w:jc w:val="center"/>
              <w:rPr>
                <w:b/>
                <w:color w:val="000000" w:themeColor="text1"/>
                <w:sz w:val="18"/>
                <w:szCs w:val="18"/>
                <w14:textFill>
                  <w14:solidFill>
                    <w14:schemeClr w14:val="tx1"/>
                  </w14:solidFill>
                </w14:textFill>
              </w:rPr>
            </w:pPr>
          </w:p>
        </w:tc>
        <w:tc>
          <w:tcPr>
            <w:tcW w:w="3516" w:type="dxa"/>
            <w:vAlign w:val="center"/>
          </w:tcPr>
          <w:p w14:paraId="282B1951">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1877045F">
            <w:pPr>
              <w:jc w:val="center"/>
              <w:rPr>
                <w:color w:val="000000" w:themeColor="text1"/>
                <w:sz w:val="18"/>
                <w:szCs w:val="18"/>
                <w14:textFill>
                  <w14:solidFill>
                    <w14:schemeClr w14:val="tx1"/>
                  </w14:solidFill>
                </w14:textFill>
              </w:rPr>
            </w:pPr>
          </w:p>
        </w:tc>
        <w:tc>
          <w:tcPr>
            <w:tcW w:w="709" w:type="dxa"/>
            <w:vAlign w:val="center"/>
          </w:tcPr>
          <w:p w14:paraId="28EF5FDE">
            <w:pPr>
              <w:jc w:val="center"/>
              <w:rPr>
                <w:color w:val="000000" w:themeColor="text1"/>
                <w:sz w:val="18"/>
                <w:szCs w:val="18"/>
                <w14:textFill>
                  <w14:solidFill>
                    <w14:schemeClr w14:val="tx1"/>
                  </w14:solidFill>
                </w14:textFill>
              </w:rPr>
            </w:pPr>
          </w:p>
        </w:tc>
        <w:tc>
          <w:tcPr>
            <w:tcW w:w="709" w:type="dxa"/>
            <w:vAlign w:val="center"/>
          </w:tcPr>
          <w:p w14:paraId="023D99B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w:t>
            </w:r>
          </w:p>
        </w:tc>
        <w:tc>
          <w:tcPr>
            <w:tcW w:w="1045" w:type="dxa"/>
            <w:vMerge w:val="continue"/>
            <w:vAlign w:val="center"/>
          </w:tcPr>
          <w:p w14:paraId="103E1789">
            <w:pPr>
              <w:jc w:val="center"/>
              <w:rPr>
                <w:color w:val="000000" w:themeColor="text1"/>
                <w:sz w:val="18"/>
                <w:szCs w:val="18"/>
                <w14:textFill>
                  <w14:solidFill>
                    <w14:schemeClr w14:val="tx1"/>
                  </w14:solidFill>
                </w14:textFill>
              </w:rPr>
            </w:pPr>
          </w:p>
        </w:tc>
      </w:tr>
      <w:tr w14:paraId="0AA2CEC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6918CF5">
            <w:pPr>
              <w:rPr>
                <w:b/>
                <w:color w:val="000000" w:themeColor="text1"/>
                <w:sz w:val="18"/>
                <w:szCs w:val="18"/>
                <w14:textFill>
                  <w14:solidFill>
                    <w14:schemeClr w14:val="tx1"/>
                  </w14:solidFill>
                </w14:textFill>
              </w:rPr>
            </w:pPr>
          </w:p>
        </w:tc>
        <w:tc>
          <w:tcPr>
            <w:tcW w:w="1226" w:type="dxa"/>
            <w:vMerge w:val="continue"/>
            <w:vAlign w:val="center"/>
          </w:tcPr>
          <w:p w14:paraId="38D96AAC">
            <w:pPr>
              <w:jc w:val="center"/>
              <w:rPr>
                <w:b/>
                <w:color w:val="000000" w:themeColor="text1"/>
                <w:sz w:val="18"/>
                <w:szCs w:val="18"/>
                <w14:textFill>
                  <w14:solidFill>
                    <w14:schemeClr w14:val="tx1"/>
                  </w14:solidFill>
                </w14:textFill>
              </w:rPr>
            </w:pPr>
          </w:p>
        </w:tc>
        <w:tc>
          <w:tcPr>
            <w:tcW w:w="3516" w:type="dxa"/>
            <w:vAlign w:val="center"/>
          </w:tcPr>
          <w:p w14:paraId="07DE0FE5">
            <w:pPr>
              <w:rPr>
                <w:sz w:val="18"/>
                <w:szCs w:val="18"/>
              </w:rPr>
            </w:pPr>
            <w:r>
              <w:rPr>
                <w:sz w:val="18"/>
                <w:szCs w:val="18"/>
              </w:rPr>
              <w:t>论文中期进展报告</w:t>
            </w:r>
          </w:p>
        </w:tc>
        <w:tc>
          <w:tcPr>
            <w:tcW w:w="1081" w:type="dxa"/>
            <w:vAlign w:val="center"/>
          </w:tcPr>
          <w:p w14:paraId="6D147BA3">
            <w:pPr>
              <w:jc w:val="center"/>
              <w:rPr>
                <w:color w:val="000000" w:themeColor="text1"/>
                <w:sz w:val="18"/>
                <w:szCs w:val="18"/>
                <w14:textFill>
                  <w14:solidFill>
                    <w14:schemeClr w14:val="tx1"/>
                  </w14:solidFill>
                </w14:textFill>
              </w:rPr>
            </w:pPr>
          </w:p>
        </w:tc>
        <w:tc>
          <w:tcPr>
            <w:tcW w:w="709" w:type="dxa"/>
            <w:vAlign w:val="center"/>
          </w:tcPr>
          <w:p w14:paraId="45D805F0">
            <w:pPr>
              <w:jc w:val="center"/>
              <w:rPr>
                <w:color w:val="000000" w:themeColor="text1"/>
                <w:sz w:val="18"/>
                <w:szCs w:val="18"/>
                <w14:textFill>
                  <w14:solidFill>
                    <w14:schemeClr w14:val="tx1"/>
                  </w14:solidFill>
                </w14:textFill>
              </w:rPr>
            </w:pPr>
          </w:p>
        </w:tc>
        <w:tc>
          <w:tcPr>
            <w:tcW w:w="709" w:type="dxa"/>
            <w:vAlign w:val="center"/>
          </w:tcPr>
          <w:p w14:paraId="0B68AD6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5</w:t>
            </w:r>
          </w:p>
        </w:tc>
        <w:tc>
          <w:tcPr>
            <w:tcW w:w="1045" w:type="dxa"/>
            <w:vMerge w:val="continue"/>
          </w:tcPr>
          <w:p w14:paraId="49D1A48F">
            <w:pPr>
              <w:jc w:val="center"/>
              <w:rPr>
                <w:color w:val="000000" w:themeColor="text1"/>
                <w:sz w:val="18"/>
                <w:szCs w:val="18"/>
                <w14:textFill>
                  <w14:solidFill>
                    <w14:schemeClr w14:val="tx1"/>
                  </w14:solidFill>
                </w14:textFill>
              </w:rPr>
            </w:pPr>
          </w:p>
        </w:tc>
      </w:tr>
      <w:tr w14:paraId="57FF3DA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2E27C8F">
            <w:pPr>
              <w:rPr>
                <w:b/>
                <w:color w:val="000000" w:themeColor="text1"/>
                <w:sz w:val="18"/>
                <w:szCs w:val="18"/>
                <w14:textFill>
                  <w14:solidFill>
                    <w14:schemeClr w14:val="tx1"/>
                  </w14:solidFill>
                </w14:textFill>
              </w:rPr>
            </w:pPr>
          </w:p>
        </w:tc>
        <w:tc>
          <w:tcPr>
            <w:tcW w:w="1226" w:type="dxa"/>
            <w:vMerge w:val="continue"/>
            <w:vAlign w:val="center"/>
          </w:tcPr>
          <w:p w14:paraId="65D1477F">
            <w:pPr>
              <w:jc w:val="center"/>
              <w:rPr>
                <w:b/>
                <w:color w:val="000000" w:themeColor="text1"/>
                <w:sz w:val="18"/>
                <w:szCs w:val="18"/>
                <w14:textFill>
                  <w14:solidFill>
                    <w14:schemeClr w14:val="tx1"/>
                  </w14:solidFill>
                </w14:textFill>
              </w:rPr>
            </w:pPr>
          </w:p>
        </w:tc>
        <w:tc>
          <w:tcPr>
            <w:tcW w:w="3516" w:type="dxa"/>
            <w:vAlign w:val="center"/>
          </w:tcPr>
          <w:p w14:paraId="28B0D344">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081" w:type="dxa"/>
            <w:vAlign w:val="center"/>
          </w:tcPr>
          <w:p w14:paraId="22A5A269">
            <w:pPr>
              <w:jc w:val="center"/>
              <w:rPr>
                <w:color w:val="000000" w:themeColor="text1"/>
                <w:sz w:val="18"/>
                <w:szCs w:val="18"/>
                <w14:textFill>
                  <w14:solidFill>
                    <w14:schemeClr w14:val="tx1"/>
                  </w14:solidFill>
                </w14:textFill>
              </w:rPr>
            </w:pPr>
          </w:p>
        </w:tc>
        <w:tc>
          <w:tcPr>
            <w:tcW w:w="709" w:type="dxa"/>
            <w:vAlign w:val="center"/>
          </w:tcPr>
          <w:p w14:paraId="47544D4B">
            <w:pPr>
              <w:jc w:val="center"/>
              <w:rPr>
                <w:color w:val="000000" w:themeColor="text1"/>
                <w:sz w:val="18"/>
                <w:szCs w:val="18"/>
                <w14:textFill>
                  <w14:solidFill>
                    <w14:schemeClr w14:val="tx1"/>
                  </w14:solidFill>
                </w14:textFill>
              </w:rPr>
            </w:pPr>
          </w:p>
        </w:tc>
        <w:tc>
          <w:tcPr>
            <w:tcW w:w="709" w:type="dxa"/>
            <w:vAlign w:val="center"/>
          </w:tcPr>
          <w:p w14:paraId="0826041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5</w:t>
            </w:r>
          </w:p>
        </w:tc>
        <w:tc>
          <w:tcPr>
            <w:tcW w:w="1045" w:type="dxa"/>
            <w:vMerge w:val="continue"/>
          </w:tcPr>
          <w:p w14:paraId="3578025B">
            <w:pPr>
              <w:jc w:val="center"/>
              <w:rPr>
                <w:color w:val="000000" w:themeColor="text1"/>
                <w:sz w:val="18"/>
                <w:szCs w:val="18"/>
                <w14:textFill>
                  <w14:solidFill>
                    <w14:schemeClr w14:val="tx1"/>
                  </w14:solidFill>
                </w14:textFill>
              </w:rPr>
            </w:pPr>
          </w:p>
        </w:tc>
      </w:tr>
      <w:tr w14:paraId="64E367C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5EC9B96">
            <w:pPr>
              <w:rPr>
                <w:color w:val="000000" w:themeColor="text1"/>
                <w:sz w:val="18"/>
                <w:szCs w:val="18"/>
                <w14:textFill>
                  <w14:solidFill>
                    <w14:schemeClr w14:val="tx1"/>
                  </w14:solidFill>
                </w14:textFill>
              </w:rPr>
            </w:pPr>
          </w:p>
        </w:tc>
        <w:tc>
          <w:tcPr>
            <w:tcW w:w="1226" w:type="dxa"/>
            <w:vMerge w:val="continue"/>
          </w:tcPr>
          <w:p w14:paraId="1119AF9F">
            <w:pPr>
              <w:jc w:val="center"/>
              <w:rPr>
                <w:color w:val="000000" w:themeColor="text1"/>
                <w:sz w:val="18"/>
                <w:szCs w:val="18"/>
                <w14:textFill>
                  <w14:solidFill>
                    <w14:schemeClr w14:val="tx1"/>
                  </w14:solidFill>
                </w14:textFill>
              </w:rPr>
            </w:pPr>
          </w:p>
        </w:tc>
        <w:tc>
          <w:tcPr>
            <w:tcW w:w="3516" w:type="dxa"/>
            <w:vAlign w:val="center"/>
          </w:tcPr>
          <w:p w14:paraId="2173306B">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081" w:type="dxa"/>
            <w:vAlign w:val="center"/>
          </w:tcPr>
          <w:p w14:paraId="5B15418D">
            <w:pPr>
              <w:jc w:val="center"/>
              <w:rPr>
                <w:color w:val="000000" w:themeColor="text1"/>
                <w:sz w:val="18"/>
                <w:szCs w:val="18"/>
                <w14:textFill>
                  <w14:solidFill>
                    <w14:schemeClr w14:val="tx1"/>
                  </w14:solidFill>
                </w14:textFill>
              </w:rPr>
            </w:pPr>
          </w:p>
        </w:tc>
        <w:tc>
          <w:tcPr>
            <w:tcW w:w="709" w:type="dxa"/>
            <w:vAlign w:val="center"/>
          </w:tcPr>
          <w:p w14:paraId="59809F67">
            <w:pPr>
              <w:jc w:val="center"/>
              <w:rPr>
                <w:color w:val="000000" w:themeColor="text1"/>
                <w:sz w:val="18"/>
                <w:szCs w:val="18"/>
                <w14:textFill>
                  <w14:solidFill>
                    <w14:schemeClr w14:val="tx1"/>
                  </w14:solidFill>
                </w14:textFill>
              </w:rPr>
            </w:pPr>
          </w:p>
        </w:tc>
        <w:tc>
          <w:tcPr>
            <w:tcW w:w="709" w:type="dxa"/>
            <w:vAlign w:val="center"/>
          </w:tcPr>
          <w:p w14:paraId="367022D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06F44ABA">
            <w:pPr>
              <w:jc w:val="center"/>
              <w:rPr>
                <w:color w:val="000000" w:themeColor="text1"/>
                <w:sz w:val="18"/>
                <w:szCs w:val="18"/>
                <w14:textFill>
                  <w14:solidFill>
                    <w14:schemeClr w14:val="tx1"/>
                  </w14:solidFill>
                </w14:textFill>
              </w:rPr>
            </w:pPr>
          </w:p>
        </w:tc>
      </w:tr>
      <w:tr w14:paraId="0BACE50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31155ED">
            <w:pPr>
              <w:rPr>
                <w:color w:val="000000" w:themeColor="text1"/>
                <w:sz w:val="18"/>
                <w:szCs w:val="18"/>
                <w14:textFill>
                  <w14:solidFill>
                    <w14:schemeClr w14:val="tx1"/>
                  </w14:solidFill>
                </w14:textFill>
              </w:rPr>
            </w:pPr>
          </w:p>
        </w:tc>
        <w:tc>
          <w:tcPr>
            <w:tcW w:w="1226" w:type="dxa"/>
            <w:vMerge w:val="continue"/>
          </w:tcPr>
          <w:p w14:paraId="4B1A18A6">
            <w:pPr>
              <w:jc w:val="center"/>
              <w:rPr>
                <w:color w:val="000000" w:themeColor="text1"/>
                <w:sz w:val="18"/>
                <w:szCs w:val="18"/>
                <w14:textFill>
                  <w14:solidFill>
                    <w14:schemeClr w14:val="tx1"/>
                  </w14:solidFill>
                </w14:textFill>
              </w:rPr>
            </w:pPr>
          </w:p>
        </w:tc>
        <w:tc>
          <w:tcPr>
            <w:tcW w:w="3516" w:type="dxa"/>
            <w:vAlign w:val="center"/>
          </w:tcPr>
          <w:p w14:paraId="433070F3">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3469E030">
            <w:pPr>
              <w:jc w:val="center"/>
              <w:rPr>
                <w:color w:val="000000" w:themeColor="text1"/>
                <w:sz w:val="18"/>
                <w:szCs w:val="18"/>
                <w14:textFill>
                  <w14:solidFill>
                    <w14:schemeClr w14:val="tx1"/>
                  </w14:solidFill>
                </w14:textFill>
              </w:rPr>
            </w:pPr>
          </w:p>
        </w:tc>
        <w:tc>
          <w:tcPr>
            <w:tcW w:w="709" w:type="dxa"/>
            <w:vAlign w:val="center"/>
          </w:tcPr>
          <w:p w14:paraId="5CCA56F8">
            <w:pPr>
              <w:jc w:val="center"/>
              <w:rPr>
                <w:color w:val="000000" w:themeColor="text1"/>
                <w:sz w:val="18"/>
                <w:szCs w:val="18"/>
                <w14:textFill>
                  <w14:solidFill>
                    <w14:schemeClr w14:val="tx1"/>
                  </w14:solidFill>
                </w14:textFill>
              </w:rPr>
            </w:pPr>
          </w:p>
        </w:tc>
        <w:tc>
          <w:tcPr>
            <w:tcW w:w="709" w:type="dxa"/>
            <w:vAlign w:val="center"/>
          </w:tcPr>
          <w:p w14:paraId="5977578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52651A40">
            <w:pPr>
              <w:jc w:val="center"/>
              <w:rPr>
                <w:color w:val="000000" w:themeColor="text1"/>
                <w:sz w:val="18"/>
                <w:szCs w:val="18"/>
                <w14:textFill>
                  <w14:solidFill>
                    <w14:schemeClr w14:val="tx1"/>
                  </w14:solidFill>
                </w14:textFill>
              </w:rPr>
            </w:pPr>
          </w:p>
        </w:tc>
      </w:tr>
    </w:tbl>
    <w:p w14:paraId="66F1D92A">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04403C6F">
      <w:pPr>
        <w:spacing w:line="360" w:lineRule="auto"/>
        <w:ind w:firstLine="560"/>
        <w:rPr>
          <w:rFonts w:eastAsia="黑体"/>
          <w:b/>
          <w:sz w:val="28"/>
          <w:szCs w:val="28"/>
        </w:rPr>
      </w:pPr>
      <w:r>
        <w:rPr>
          <w:rFonts w:eastAsia="黑体"/>
          <w:b/>
          <w:sz w:val="28"/>
          <w:szCs w:val="28"/>
        </w:rPr>
        <w:t>十</w:t>
      </w:r>
      <w:r>
        <w:rPr>
          <w:rFonts w:hint="eastAsia" w:eastAsia="黑体"/>
          <w:b/>
          <w:sz w:val="28"/>
          <w:szCs w:val="28"/>
        </w:rPr>
        <w:t>三</w:t>
      </w:r>
      <w:r>
        <w:rPr>
          <w:rFonts w:eastAsia="黑体"/>
          <w:b/>
          <w:sz w:val="28"/>
          <w:szCs w:val="28"/>
        </w:rPr>
        <w:t>、其他需要说明事项</w:t>
      </w:r>
    </w:p>
    <w:p w14:paraId="6DEF5F8D">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5A6F2D01">
      <w:pPr>
        <w:spacing w:line="440" w:lineRule="exact"/>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72DB62DA"/>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MS Mincho">
    <w:panose1 w:val="02020609040205080304"/>
    <w:charset w:val="80"/>
    <w:family w:val="modern"/>
    <w:pitch w:val="default"/>
    <w:sig w:usb0="A00002BF" w:usb1="68C7FCFB" w:usb2="00000010"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F35AC7"/>
    <w:rsid w:val="00060FBB"/>
    <w:rsid w:val="0011759E"/>
    <w:rsid w:val="001A5075"/>
    <w:rsid w:val="001F4B50"/>
    <w:rsid w:val="00444E6C"/>
    <w:rsid w:val="008854A1"/>
    <w:rsid w:val="00923CE1"/>
    <w:rsid w:val="0095586B"/>
    <w:rsid w:val="00A778E2"/>
    <w:rsid w:val="00BD44F0"/>
    <w:rsid w:val="00DE5743"/>
    <w:rsid w:val="00E45B56"/>
    <w:rsid w:val="02145195"/>
    <w:rsid w:val="11F70DB3"/>
    <w:rsid w:val="145A6A37"/>
    <w:rsid w:val="1BA01B1B"/>
    <w:rsid w:val="1D1C1676"/>
    <w:rsid w:val="26355556"/>
    <w:rsid w:val="269E3A6B"/>
    <w:rsid w:val="2E4B3B69"/>
    <w:rsid w:val="2E506688"/>
    <w:rsid w:val="2E814130"/>
    <w:rsid w:val="304D441F"/>
    <w:rsid w:val="320C360F"/>
    <w:rsid w:val="33520A10"/>
    <w:rsid w:val="375D490D"/>
    <w:rsid w:val="389E359A"/>
    <w:rsid w:val="3AEE41FA"/>
    <w:rsid w:val="3E833A1C"/>
    <w:rsid w:val="4069573F"/>
    <w:rsid w:val="461F5BAF"/>
    <w:rsid w:val="479953BA"/>
    <w:rsid w:val="4A5E5EC3"/>
    <w:rsid w:val="4B8F45B8"/>
    <w:rsid w:val="4D705644"/>
    <w:rsid w:val="509A4341"/>
    <w:rsid w:val="52336AE0"/>
    <w:rsid w:val="54CB0CB0"/>
    <w:rsid w:val="5999312B"/>
    <w:rsid w:val="5B49484F"/>
    <w:rsid w:val="649410BE"/>
    <w:rsid w:val="68B161D3"/>
    <w:rsid w:val="6A09248D"/>
    <w:rsid w:val="6D436511"/>
    <w:rsid w:val="71526589"/>
    <w:rsid w:val="77F522B9"/>
    <w:rsid w:val="7CF35AC7"/>
    <w:rsid w:val="7D676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tabs>
        <w:tab w:val="center" w:pos="4153"/>
        <w:tab w:val="right" w:pos="8306"/>
      </w:tabs>
      <w:snapToGrid w:val="0"/>
      <w:jc w:val="center"/>
    </w:pPr>
    <w:rPr>
      <w:sz w:val="18"/>
      <w:szCs w:val="18"/>
    </w:rPr>
  </w:style>
  <w:style w:type="character" w:customStyle="1" w:styleId="6">
    <w:name w:val="页眉 字符"/>
    <w:basedOn w:val="5"/>
    <w:link w:val="3"/>
    <w:uiPriority w:val="0"/>
    <w:rPr>
      <w:kern w:val="2"/>
      <w:sz w:val="18"/>
      <w:szCs w:val="18"/>
    </w:rPr>
  </w:style>
  <w:style w:type="character" w:customStyle="1" w:styleId="7">
    <w:name w:val="页脚 字符"/>
    <w:basedOn w:val="5"/>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3F7000-ADB0-49C2-B29F-2A0660EC2A61}">
  <ds:schemaRefs/>
</ds:datastoreItem>
</file>

<file path=docProps/app.xml><?xml version="1.0" encoding="utf-8"?>
<Properties xmlns="http://schemas.openxmlformats.org/officeDocument/2006/extended-properties" xmlns:vt="http://schemas.openxmlformats.org/officeDocument/2006/docPropsVTypes">
  <Template>Normal</Template>
  <Pages>6</Pages>
  <Words>3742</Words>
  <Characters>3867</Characters>
  <Lines>259</Lines>
  <Paragraphs>286</Paragraphs>
  <TotalTime>3</TotalTime>
  <ScaleCrop>false</ScaleCrop>
  <LinksUpToDate>false</LinksUpToDate>
  <CharactersWithSpaces>3891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2025-06-11T07:33:00Z</dcterms:created>
  <dc:creator>保持优秀</dc:creator>
  <cp:lastModifiedBy>马文秀</cp:lastModifiedBy>
  <dcterms:modified xsi:type="dcterms:W3CDTF">2025-06-12T17:58:04Z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5F7FF22DB19442EA835D27CBA4FA530F_13</vt:lpwstr>
  </property>
  <property fmtid="{D5CDD505-2E9C-101B-9397-08002B2CF9AE}" pid="4" name="KSOTemplateDocerSaveRecord">
    <vt:lpwstr>eyJoZGlkIjoiMmFhNjk5N2M0M2E4MDk2ZjBjZWNkMDE2NzNhY2RlMzEiLCJ1c2VySWQiOiI0NTM3NTU1NjYifQ==</vt:lpwstr>
  </property>
</Properties>
</file>