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1C9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center"/>
        <w:textAlignment w:val="auto"/>
        <w:rPr>
          <w:rFonts w:hint="eastAsia" w:ascii="黑体" w:eastAsia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eastAsia="黑体"/>
          <w:b/>
          <w:bCs/>
          <w:color w:val="auto"/>
          <w:sz w:val="36"/>
          <w:szCs w:val="36"/>
          <w:highlight w:val="none"/>
          <w:lang w:val="en-US" w:eastAsia="zh-CN"/>
        </w:rPr>
        <w:t>金融</w:t>
      </w:r>
      <w:r>
        <w:rPr>
          <w:rFonts w:eastAsia="黑体"/>
          <w:b/>
          <w:bCs/>
          <w:color w:val="auto"/>
          <w:sz w:val="36"/>
          <w:szCs w:val="36"/>
          <w:highlight w:val="none"/>
        </w:rPr>
        <w:t>专业非全日制专业学位硕士研究生培养方案</w:t>
      </w:r>
    </w:p>
    <w:p w14:paraId="11614333">
      <w:pPr>
        <w:pStyle w:val="8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 w:line="360" w:lineRule="auto"/>
        <w:ind w:left="1282" w:right="0" w:hanging="720" w:firstLineChars="0"/>
        <w:jc w:val="left"/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</w:rPr>
      </w:pPr>
      <w:r>
        <w:rPr>
          <w:rFonts w:hint="eastAsia" w:ascii="黑体" w:hAnsi="宋体" w:eastAsia="黑体" w:cs="黑体"/>
          <w:bCs/>
          <w:color w:val="auto"/>
          <w:kern w:val="2"/>
          <w:sz w:val="28"/>
          <w:szCs w:val="28"/>
          <w:lang w:val="en-US" w:eastAsia="zh-CN" w:bidi="ar"/>
        </w:rPr>
        <w:t>专业代码、代码</w:t>
      </w:r>
    </w:p>
    <w:p w14:paraId="3833FCF0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480" w:firstLineChars="200"/>
        <w:jc w:val="left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专业名称：金融</w:t>
      </w:r>
    </w:p>
    <w:p w14:paraId="62669DC0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480" w:firstLineChars="200"/>
        <w:jc w:val="left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专业代码：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>0251</w:t>
      </w:r>
    </w:p>
    <w:p w14:paraId="4CA024EA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hint="default" w:ascii="Times New Roman" w:hAnsi="Times New Roman" w:eastAsia="黑体" w:cs="Times New Roman"/>
          <w:bCs/>
          <w:i/>
          <w:iCs w:val="0"/>
          <w:color w:val="auto"/>
          <w:kern w:val="2"/>
          <w:sz w:val="28"/>
          <w:szCs w:val="28"/>
        </w:rPr>
      </w:pPr>
      <w:r>
        <w:rPr>
          <w:rFonts w:hint="eastAsia" w:ascii="黑体" w:hAnsi="宋体" w:eastAsia="黑体" w:cs="黑体"/>
          <w:bCs/>
          <w:color w:val="auto"/>
          <w:kern w:val="2"/>
          <w:sz w:val="28"/>
          <w:szCs w:val="28"/>
          <w:lang w:val="en-US" w:eastAsia="zh-CN" w:bidi="ar"/>
        </w:rPr>
        <w:t>二、专业简介</w:t>
      </w:r>
    </w:p>
    <w:p w14:paraId="3F741685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金融专业非全日制专业学位硕士点设始于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1972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年成立的经济系财政金融专业，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1986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年取得货币银行学专业硕士研究生的培养资格，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1999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年金融学本科专业独立招生，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2000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年获金融学硕士学位授予权，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2002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年开始招生，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2016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年获应用经济学一级学科博士授权点中设立了“金融市场与制度创新”的研究方向，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201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9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年获金融专业非全日制专业学位硕士学位授予权并开始招生。本专业目前拥有专业教师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18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名，其中有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名教授、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8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名副教授、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名讲师。其中具有高级职称或具有博士学位的专任教师占比均为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83%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名教师具有海外学习经历，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名博士生导师，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17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名硕士生导师，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2020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年获河北省优秀教学团队。本硕士点拥有国家级大学生实践基地、金融研究中心，获批国家级、省级科研项目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60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余项，获得教学成果奖和科研奖励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30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项，发表学术论文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200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余篇，出版专著、教材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20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部。本硕士点秉持立德树人根本任务，将思想政治教育贯穿人才培养全过程，注重培养学生的家国情怀、社会责任感和职业道德素养，以科研促教学，突出综合性和应用性，重视实践性和创新性，强化校企合作，形成了服务河北省和雄安新区金融产业改革发展的专业特色，建立了完善的教学管理体系，配备了先进的教学设备，为培养适应现代金融需求的高素质人才提供了保障。</w:t>
      </w:r>
    </w:p>
    <w:p w14:paraId="061002D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</w:rPr>
      </w:pPr>
      <w:r>
        <w:rPr>
          <w:rFonts w:hint="eastAsia" w:ascii="黑体" w:hAnsi="宋体" w:eastAsia="黑体" w:cs="黑体"/>
          <w:bCs/>
          <w:color w:val="auto"/>
          <w:kern w:val="2"/>
          <w:sz w:val="28"/>
          <w:szCs w:val="28"/>
          <w:lang w:val="en-US" w:eastAsia="zh-CN" w:bidi="ar"/>
        </w:rPr>
        <w:t>三、研究方向</w:t>
      </w:r>
    </w:p>
    <w:p w14:paraId="1F1F93E0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根据金融硕士专业学位培养目标，按照专业学位授权点学科建设要求、结合学生的知识结构，培养方向设置充分考虑我国金融体系的特色，反映金融实践领域对专业人才的知识与素质要求，突出金融的创新和实务导向，重视宏观政策分析与数量分析能力的有机结合，强调河北省人才需求与河北大学优势学科的深度融合，着力于培养学生的综合从业能力。金融硕士专业学位下设三个研究方向：金融监管与政策法规、金融理财策划、金融市场。</w:t>
      </w:r>
    </w:p>
    <w:p w14:paraId="381B724A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hint="default" w:ascii="黑体" w:hAnsi="宋体" w:eastAsia="黑体" w:cs="黑体"/>
          <w:bCs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bCs/>
          <w:color w:val="auto"/>
          <w:kern w:val="2"/>
          <w:sz w:val="28"/>
          <w:szCs w:val="28"/>
          <w:lang w:val="en-US" w:eastAsia="zh-CN" w:bidi="ar"/>
        </w:rPr>
        <w:t>四、学制及学习年限</w:t>
      </w:r>
    </w:p>
    <w:p w14:paraId="7F0C273A">
      <w:pPr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Times New Roman" w:hAnsi="Times New Roman" w:eastAsia="黑体" w:cs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本专业学制为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年，在校最长学习年限（含休学）不超过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</w:t>
      </w:r>
    </w:p>
    <w:p w14:paraId="5041C14C">
      <w:pPr>
        <w:pStyle w:val="21"/>
        <w:numPr>
          <w:ilvl w:val="0"/>
          <w:numId w:val="0"/>
        </w:numPr>
        <w:adjustRightInd/>
        <w:snapToGrid/>
        <w:spacing w:after="0" w:line="360" w:lineRule="auto"/>
        <w:ind w:left="562" w:leftChars="0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color w:val="auto"/>
          <w:sz w:val="28"/>
          <w:szCs w:val="28"/>
          <w:lang w:val="en-US" w:eastAsia="zh-CN"/>
        </w:rPr>
        <w:t>五、培养目标</w:t>
      </w:r>
    </w:p>
    <w:p w14:paraId="4AE12AA4">
      <w:pPr>
        <w:adjustRightInd/>
        <w:snapToGrid/>
        <w:spacing w:after="0" w:line="360" w:lineRule="auto"/>
        <w:ind w:firstLine="480" w:firstLineChars="200"/>
        <w:jc w:val="both"/>
        <w:rPr>
          <w:rFonts w:hint="default" w:ascii="Times New Roman" w:hAnsi="Times New Roman" w:cs="Times New Roman" w:eastAsiaTheme="minorEastAsia"/>
          <w:bCs/>
          <w:color w:val="auto"/>
          <w:kern w:val="2"/>
          <w:sz w:val="24"/>
        </w:rPr>
      </w:pPr>
      <w:r>
        <w:rPr>
          <w:rFonts w:hint="eastAsia" w:ascii="Times New Roman" w:hAnsi="Times New Roman" w:cs="Times New Roman" w:eastAsiaTheme="minorEastAsia"/>
          <w:bCs/>
          <w:color w:val="auto"/>
          <w:kern w:val="2"/>
          <w:sz w:val="24"/>
          <w:lang w:val="en-US" w:eastAsia="zh-CN"/>
        </w:rPr>
        <w:t>根据国家关于金融硕士专业学位教育的总体目标与要求，结合我校综合性大学的学科优势，秉持服务社会、助力京津冀协同发展以及雄安建设的宗旨，面向政府、金融机构、企业等相关职业，培养具有良好职业道德，充分了解金融理论与实务，具有较强解决实际问题能力的高层次、高素质、应用型高级金融专业人才。具体要求是：</w:t>
      </w:r>
    </w:p>
    <w:p w14:paraId="60D14390">
      <w:pPr>
        <w:adjustRightInd/>
        <w:snapToGrid/>
        <w:spacing w:after="0" w:line="360" w:lineRule="auto"/>
        <w:ind w:firstLine="480" w:firstLineChars="200"/>
        <w:jc w:val="both"/>
        <w:rPr>
          <w:rFonts w:hint="default" w:ascii="Times New Roman" w:hAnsi="Times New Roman" w:cs="Times New Roman" w:eastAsiaTheme="minorEastAsia"/>
          <w:bCs/>
          <w:color w:val="auto"/>
          <w:kern w:val="2"/>
          <w:sz w:val="24"/>
        </w:rPr>
      </w:pPr>
      <w:r>
        <w:rPr>
          <w:rFonts w:hint="default" w:ascii="Times New Roman" w:hAnsi="Times New Roman" w:cs="Times New Roman" w:eastAsiaTheme="minorEastAsia"/>
          <w:bCs/>
          <w:color w:val="auto"/>
          <w:kern w:val="2"/>
          <w:sz w:val="24"/>
          <w:lang w:val="en-US" w:eastAsia="zh-CN"/>
        </w:rPr>
        <w:t>1.</w:t>
      </w:r>
      <w:r>
        <w:rPr>
          <w:rFonts w:hint="eastAsia" w:ascii="Times New Roman" w:hAnsi="Times New Roman" w:cs="Times New Roman" w:eastAsiaTheme="minorEastAsia"/>
          <w:bCs/>
          <w:color w:val="auto"/>
          <w:kern w:val="2"/>
          <w:sz w:val="24"/>
          <w:lang w:val="en-US" w:eastAsia="zh-CN"/>
        </w:rPr>
        <w:t>掌握马克思主义基本原理和中国特色社会主义理论体系；坚持四项基本原则；具有坚定的理想信念和高尚的道德情操，品行端正、作风正派、遵纪守法；具有较强的事业心和团结协作精神，积极为社会主义现代化建设服务。</w:t>
      </w:r>
    </w:p>
    <w:p w14:paraId="43B56EF4">
      <w:pPr>
        <w:adjustRightInd/>
        <w:snapToGrid/>
        <w:spacing w:after="0" w:line="360" w:lineRule="auto"/>
        <w:ind w:firstLine="480" w:firstLineChars="200"/>
        <w:jc w:val="both"/>
        <w:rPr>
          <w:rFonts w:hint="default" w:ascii="Times New Roman" w:hAnsi="Times New Roman" w:cs="Times New Roman" w:eastAsiaTheme="minorEastAsia"/>
          <w:bCs/>
          <w:color w:val="auto"/>
          <w:kern w:val="2"/>
          <w:sz w:val="24"/>
        </w:rPr>
      </w:pPr>
      <w:r>
        <w:rPr>
          <w:rFonts w:hint="default" w:ascii="Times New Roman" w:hAnsi="Times New Roman" w:cs="Times New Roman" w:eastAsiaTheme="minorEastAsia"/>
          <w:bCs/>
          <w:color w:val="auto"/>
          <w:kern w:val="2"/>
          <w:sz w:val="24"/>
          <w:lang w:val="en-US" w:eastAsia="zh-CN"/>
        </w:rPr>
        <w:t>2.</w:t>
      </w:r>
      <w:r>
        <w:rPr>
          <w:rFonts w:hint="eastAsia" w:ascii="Times New Roman" w:hAnsi="Times New Roman" w:cs="Times New Roman" w:eastAsiaTheme="minorEastAsia"/>
          <w:bCs/>
          <w:color w:val="auto"/>
          <w:kern w:val="2"/>
          <w:sz w:val="24"/>
          <w:lang w:val="en-US" w:eastAsia="zh-CN"/>
        </w:rPr>
        <w:t>系统学习现代经济学和金融学专业领域的基础理论和实务知识，了解金融领域国内外最新发展动态，系统掌握投融资管理技能、金融交易技术、金融产品设计、财务分析、金融风险管理等核心领域的知识与技能，具有扎实的理论基础和较强的实际业务管理能力，能够有效分析并解决复杂金融问题。</w:t>
      </w:r>
    </w:p>
    <w:p w14:paraId="5E0B9850">
      <w:pPr>
        <w:adjustRightInd/>
        <w:snapToGrid/>
        <w:spacing w:after="0" w:line="360" w:lineRule="auto"/>
        <w:ind w:firstLine="480" w:firstLineChars="200"/>
        <w:jc w:val="both"/>
        <w:rPr>
          <w:rFonts w:hint="default" w:ascii="Times New Roman" w:hAnsi="Times New Roman" w:cs="Times New Roman" w:eastAsiaTheme="minorEastAsia"/>
          <w:bCs/>
          <w:color w:val="auto"/>
          <w:kern w:val="2"/>
          <w:sz w:val="24"/>
        </w:rPr>
      </w:pPr>
      <w:r>
        <w:rPr>
          <w:rFonts w:hint="default" w:ascii="Times New Roman" w:hAnsi="Times New Roman" w:cs="Times New Roman" w:eastAsiaTheme="minorEastAsia"/>
          <w:bCs/>
          <w:color w:val="auto"/>
          <w:kern w:val="2"/>
          <w:sz w:val="24"/>
          <w:lang w:val="en-US" w:eastAsia="zh-CN"/>
        </w:rPr>
        <w:t>3.</w:t>
      </w:r>
      <w:r>
        <w:rPr>
          <w:rFonts w:hint="eastAsia" w:ascii="Times New Roman" w:hAnsi="Times New Roman" w:cs="Times New Roman" w:eastAsiaTheme="minorEastAsia"/>
          <w:bCs/>
          <w:color w:val="auto"/>
          <w:kern w:val="2"/>
          <w:sz w:val="24"/>
          <w:lang w:val="en-US" w:eastAsia="zh-CN"/>
        </w:rPr>
        <w:t>积极参与体育锻炼，具有健康的身体和心理素质。</w:t>
      </w:r>
    </w:p>
    <w:p w14:paraId="69844740">
      <w:pPr>
        <w:adjustRightInd/>
        <w:snapToGrid/>
        <w:spacing w:after="0" w:line="360" w:lineRule="auto"/>
        <w:ind w:firstLine="480" w:firstLineChars="200"/>
        <w:jc w:val="both"/>
        <w:rPr>
          <w:rFonts w:hint="default" w:ascii="Times New Roman" w:hAnsi="Times New Roman" w:cs="Times New Roman" w:eastAsiaTheme="minorEastAsia"/>
          <w:bCs/>
          <w:color w:val="auto"/>
          <w:kern w:val="2"/>
          <w:sz w:val="24"/>
        </w:rPr>
      </w:pPr>
      <w:r>
        <w:rPr>
          <w:rFonts w:hint="default" w:ascii="Times New Roman" w:hAnsi="Times New Roman" w:cs="Times New Roman" w:eastAsiaTheme="minorEastAsia"/>
          <w:bCs/>
          <w:color w:val="auto"/>
          <w:kern w:val="2"/>
          <w:sz w:val="24"/>
          <w:lang w:val="en-US" w:eastAsia="zh-CN"/>
        </w:rPr>
        <w:t>4.</w:t>
      </w:r>
      <w:r>
        <w:rPr>
          <w:rFonts w:hint="eastAsia" w:ascii="Times New Roman" w:hAnsi="Times New Roman" w:cs="Times New Roman" w:eastAsiaTheme="minorEastAsia"/>
          <w:bCs/>
          <w:color w:val="auto"/>
          <w:kern w:val="2"/>
          <w:sz w:val="24"/>
          <w:lang w:val="en-US" w:eastAsia="zh-CN"/>
        </w:rPr>
        <w:t>熟练掌握和运用一门外国语，能够阅读和使用专业外语资料从事专业工作，培养国际视野。</w:t>
      </w:r>
    </w:p>
    <w:p w14:paraId="74BE1A9D">
      <w:pPr>
        <w:pStyle w:val="21"/>
        <w:numPr>
          <w:ilvl w:val="0"/>
          <w:numId w:val="0"/>
        </w:numPr>
        <w:adjustRightInd/>
        <w:snapToGrid/>
        <w:spacing w:after="0" w:line="360" w:lineRule="auto"/>
        <w:ind w:left="562" w:leftChars="0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color w:val="auto"/>
          <w:sz w:val="28"/>
          <w:szCs w:val="28"/>
          <w:lang w:val="en-US" w:eastAsia="zh-CN"/>
        </w:rPr>
        <w:t>六、培养方式</w:t>
      </w:r>
    </w:p>
    <w:p w14:paraId="0FF0C21F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iCs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iCs/>
          <w:kern w:val="2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iCs/>
          <w:kern w:val="2"/>
          <w:sz w:val="24"/>
          <w:szCs w:val="24"/>
          <w:lang w:val="en-US" w:eastAsia="zh-CN" w:bidi="ar"/>
        </w:rPr>
        <w:t>采取课程学习和论文研究工作相结合的方式，系统掌握所在学科领域的理论知识，以及培养分析问题和解决问题的能力。</w:t>
      </w:r>
    </w:p>
    <w:p w14:paraId="5113CEF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iCs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iCs/>
          <w:kern w:val="2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iCs/>
          <w:kern w:val="2"/>
          <w:sz w:val="24"/>
          <w:szCs w:val="24"/>
          <w:lang w:val="en-US" w:eastAsia="zh-CN" w:bidi="ar"/>
        </w:rPr>
        <w:t>实行导师负责制，导师是研究生培养的第一责任人，对研究生培养的全过程进行全方位针对性指导，注重提升研究生思想政治素养，培养研究生学术创新能力和实践创新能力，增强研究生社会责任感，指导研究生恪守学术道德规范，优化研究生培养条件，注重对研究生人文关怀。</w:t>
      </w:r>
    </w:p>
    <w:p w14:paraId="1437B9D7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iCs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iCs/>
          <w:kern w:val="2"/>
          <w:sz w:val="24"/>
          <w:szCs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iCs/>
          <w:kern w:val="2"/>
          <w:sz w:val="24"/>
          <w:szCs w:val="24"/>
          <w:lang w:val="en-US" w:eastAsia="zh-CN" w:bidi="ar"/>
        </w:rPr>
        <w:t>导师根据硕士研究生的知识结构、能力水平、研究兴趣和发展取向，指导研究生制定个性化的培养计划，督促和检查研究生课程修读，指导研究生开展文献阅读、学术活动、社会实践、学位论文开题和中期检查等必修环节。</w:t>
      </w:r>
    </w:p>
    <w:p w14:paraId="53527559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</w:rPr>
      </w:pPr>
      <w:r>
        <w:rPr>
          <w:rFonts w:hint="default" w:ascii="Times New Roman" w:hAnsi="Times New Roman" w:eastAsia="宋体" w:cs="Times New Roman"/>
          <w:iCs/>
          <w:kern w:val="2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iCs/>
          <w:kern w:val="2"/>
          <w:sz w:val="24"/>
          <w:szCs w:val="24"/>
          <w:lang w:val="en-US" w:eastAsia="zh-CN" w:bidi="ar"/>
        </w:rPr>
        <w:t>加强培养环节的规范管理、全程监控、自我评估，把抓督查、抓执行贯穿管理全过程。完善教学评价检查机制，提高课程教学质量。加强培养过程节点管理，强化学业预警机制，提高教育管理的规范化、信息化、精细化。严格学位论文开题审核、中期检查、论文送审等环节管理，强化论文选题前沿性、论文内容创新性、论文写作规范性。</w:t>
      </w:r>
    </w:p>
    <w:p w14:paraId="43D2FAD8">
      <w:pPr>
        <w:pStyle w:val="21"/>
        <w:numPr>
          <w:ilvl w:val="0"/>
          <w:numId w:val="0"/>
        </w:numPr>
        <w:adjustRightInd/>
        <w:snapToGrid/>
        <w:spacing w:after="0" w:line="360" w:lineRule="auto"/>
        <w:ind w:left="562" w:leftChars="0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color w:val="auto"/>
          <w:sz w:val="28"/>
          <w:szCs w:val="28"/>
          <w:lang w:val="en-US" w:eastAsia="zh-CN"/>
        </w:rPr>
        <w:t>七、中期筛选</w:t>
      </w:r>
    </w:p>
    <w:p w14:paraId="3BAB6091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在完成培养方案规定的课程学习、考核成绩合格、获得规定的学分后，按照《河北大学研究生中期筛选管理办法》（校政字〔</w:t>
      </w:r>
      <w:r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  <w:lang w:val="en-US" w:eastAsia="zh-CN" w:bidi="ar"/>
        </w:rPr>
        <w:t>2021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  <w:lang w:val="en-US" w:eastAsia="zh-CN" w:bidi="ar"/>
        </w:rPr>
        <w:t>15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号）的相关规定，组织开展中期筛选工作。</w:t>
      </w:r>
    </w:p>
    <w:p w14:paraId="6F7C58E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</w:rPr>
      </w:pPr>
      <w:r>
        <w:rPr>
          <w:rFonts w:hint="eastAsia" w:ascii="黑体" w:hAnsi="宋体" w:eastAsia="黑体" w:cs="黑体"/>
          <w:bCs/>
          <w:color w:val="auto"/>
          <w:kern w:val="2"/>
          <w:sz w:val="28"/>
          <w:szCs w:val="28"/>
          <w:lang w:val="en-US" w:eastAsia="zh-CN" w:bidi="ar"/>
        </w:rPr>
        <w:t>八、学位（毕业）论文</w:t>
      </w:r>
    </w:p>
    <w:p w14:paraId="001D0B59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18"/>
          <w:szCs w:val="18"/>
        </w:rPr>
      </w:pPr>
      <w:r>
        <w:rPr>
          <w:rFonts w:hint="default" w:ascii="Times New Roman" w:hAnsi="Times New Roman" w:eastAsia="宋体" w:cs="Times New Roman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总体要求：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按照《河北大学关于开展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2025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版研究生培养方案修订工作的指导意见》（校政字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2"/>
          <w:sz w:val="24"/>
          <w:szCs w:val="24"/>
          <w:lang w:val="en-US" w:eastAsia="zh-CN" w:bidi="ar"/>
        </w:rPr>
        <w:t>〔</w:t>
      </w:r>
      <w:r>
        <w:rPr>
          <w:rFonts w:hint="default" w:ascii="Times New Roman" w:hAnsi="Times New Roman" w:eastAsia="宋体" w:cs="Times New Roman"/>
          <w:bCs/>
          <w:i w:val="0"/>
          <w:iCs w:val="0"/>
          <w:color w:val="auto"/>
          <w:kern w:val="2"/>
          <w:sz w:val="24"/>
          <w:szCs w:val="24"/>
          <w:lang w:val="en-US" w:eastAsia="zh-CN" w:bidi="ar"/>
        </w:rPr>
        <w:t>2025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2"/>
          <w:sz w:val="24"/>
          <w:szCs w:val="24"/>
          <w:lang w:val="en-US" w:eastAsia="zh-CN" w:bidi="ar"/>
        </w:rPr>
        <w:t>〕</w:t>
      </w:r>
      <w:r>
        <w:rPr>
          <w:rFonts w:hint="eastAsia" w:ascii="Times New Roman" w:hAnsi="Times New Roman" w:eastAsia="宋体" w:cs="Times New Roman"/>
          <w:bCs/>
          <w:i w:val="0"/>
          <w:iCs w:val="0"/>
          <w:color w:val="auto"/>
          <w:kern w:val="2"/>
          <w:sz w:val="24"/>
          <w:szCs w:val="24"/>
          <w:lang w:val="en-US" w:eastAsia="zh-CN" w:bidi="ar"/>
        </w:rPr>
        <w:t>9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2"/>
          <w:sz w:val="24"/>
          <w:szCs w:val="24"/>
          <w:lang w:val="en-US" w:eastAsia="zh-CN" w:bidi="ar"/>
        </w:rPr>
        <w:t>号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）规定，硕士研究生论文开题与答辩时间间隔原则上不少于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12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个月。学位（毕业）论文应当表明作者具有独立从事学术研究工作的能力，鼓励硕士研究生参与科学研究，取得创新性成果</w:t>
      </w:r>
    </w:p>
    <w:p w14:paraId="2C290AEE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18"/>
          <w:szCs w:val="18"/>
        </w:rPr>
      </w:pPr>
      <w:r>
        <w:rPr>
          <w:rFonts w:hint="default" w:ascii="Times New Roman" w:hAnsi="Times New Roman" w:eastAsia="宋体" w:cs="Times New Roman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开题：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5B7F06D5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原则上在入学后第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学期（最迟不超过第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学期）完成开题。开题由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3-5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名具有高级专业技术职务人员参加，以学术报告的方式进行。</w:t>
      </w:r>
    </w:p>
    <w:p w14:paraId="0B4C79D9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中期进展报告：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中期进展报告是检查研究生个人综合能力及学位论文进展、指导研究生把握学位（毕业）论文方向、提高学位（毕业）论文质量的必要环节。中期进展报告原则上应在入学后第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学期进行；各导师组自行制定中期考核办法并组织考核。</w:t>
      </w:r>
    </w:p>
    <w:p w14:paraId="5E181ECB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学位申请：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达到学位授予条件的申请人，经导师同意后，应于答辩前三个月，向所属学位评定分委员会提出学位申请，提交学位申请材料。</w:t>
      </w:r>
    </w:p>
    <w:p w14:paraId="22E5C5CB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5.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预答辩：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学位申请人须进行学位论文预答辩。预答辩通过者，方可进入学位论文评阅、学位论文答辩等环节。学位（毕业）论文预答辩在正式答辩前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个月进行。</w:t>
      </w:r>
    </w:p>
    <w:p w14:paraId="4A23F17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6.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论文评阅：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学位（毕业）论文在获得导师组认可，经培养单位形式审查合格，并通过预答辩，方可提出进入评阅程序的申请。论文评阅在正式答辩前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40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天由研究生提出，由培养单位依据相关规定进行匿名评审。评阅结果及异议处理按照《河北大学研究生学位论文或者实践成果评审管理办法》（校政字〔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2025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8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号）执行。</w:t>
      </w:r>
    </w:p>
    <w:p w14:paraId="23050634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i w:val="0"/>
          <w:iCs w:val="0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7.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答辩：学位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（毕业）论文答辩按照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《河北大学博士、硕士学位授予工作实施细则》（校政字〔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2025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4"/>
          <w:szCs w:val="24"/>
          <w:lang w:val="en-US" w:eastAsia="zh-CN" w:bidi="ar"/>
        </w:rPr>
        <w:t>号）执行。</w:t>
      </w:r>
    </w:p>
    <w:p w14:paraId="7CC3223B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</w:rPr>
      </w:pPr>
      <w:r>
        <w:rPr>
          <w:rFonts w:hint="eastAsia" w:ascii="黑体" w:hAnsi="宋体" w:eastAsia="黑体" w:cs="黑体"/>
          <w:bCs/>
          <w:color w:val="auto"/>
          <w:kern w:val="2"/>
          <w:sz w:val="28"/>
          <w:szCs w:val="28"/>
          <w:lang w:val="en-US" w:eastAsia="zh-CN" w:bidi="ar"/>
        </w:rPr>
        <w:t>九、毕业条件</w:t>
      </w:r>
    </w:p>
    <w:p w14:paraId="0026F604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  <w:lang w:val="en-US" w:eastAsia="zh-CN" w:bidi="ar"/>
        </w:rPr>
        <w:t xml:space="preserve">1. 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课程学习。研究生在规定修业年限内完成培养方案规定的课程学习，考核成绩合格，获得规定的学分。</w:t>
      </w:r>
    </w:p>
    <w:p w14:paraId="6CA983C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  <w:lang w:val="en-US" w:eastAsia="zh-CN" w:bidi="ar"/>
        </w:rPr>
        <w:t xml:space="preserve">2. 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学术</w:t>
      </w:r>
      <w:r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  <w:lang w:val="en-US" w:eastAsia="zh-CN" w:bidi="ar"/>
        </w:rPr>
        <w:t>/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实践活动。研究生在读期间至少需要完成两类活动中的一类：</w:t>
      </w:r>
    </w:p>
    <w:p w14:paraId="78B0832B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Cs/>
          <w:color w:val="auto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lang w:val="en-US" w:eastAsia="zh-CN" w:bidi="ar"/>
        </w:rPr>
        <w:t>）学术活动：研究生在读期间参加不少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于</w:t>
      </w:r>
      <w:r>
        <w:rPr>
          <w:rFonts w:hint="default" w:ascii="Times New Roman" w:hAnsi="Times New Roman" w:eastAsia="宋体" w:cs="Times New Roman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10</w:t>
      </w:r>
      <w:r>
        <w:rPr>
          <w:rFonts w:hint="eastAsia" w:ascii="宋体" w:hAnsi="宋体" w:eastAsia="宋体" w:cs="宋体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次学术活动，并撰写学术报告小结；以主讲人或宣讲人身份，参加在校内外举行的学术报告或学术讲座不少于</w:t>
      </w:r>
      <w:r>
        <w:rPr>
          <w:rFonts w:hint="default" w:ascii="Times New Roman" w:hAnsi="Times New Roman" w:eastAsia="宋体" w:cs="Times New Roman"/>
          <w:bCs/>
          <w:i w:val="0"/>
          <w:iCs w:val="0"/>
          <w:color w:val="auto"/>
          <w:kern w:val="0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lang w:val="en-US" w:eastAsia="zh-CN" w:bidi="ar"/>
        </w:rPr>
        <w:t>次。</w:t>
      </w:r>
    </w:p>
    <w:p w14:paraId="55D4BE4B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宋体" w:hAnsi="宋体" w:eastAsia="宋体" w:cs="宋体"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lang w:val="en-US" w:eastAsia="zh-CN" w:bidi="ar"/>
        </w:rPr>
        <w:t>（</w:t>
      </w:r>
      <w:r>
        <w:rPr>
          <w:rFonts w:hint="default" w:ascii="Times New Roman" w:hAnsi="Times New Roman" w:eastAsia="宋体" w:cs="Times New Roman"/>
          <w:bCs/>
          <w:color w:val="auto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lang w:val="en-US" w:eastAsia="zh-CN" w:bidi="ar"/>
        </w:rPr>
        <w:t>）实践活动：参与本专业相关的</w:t>
      </w:r>
      <w:r>
        <w:rPr>
          <w:rFonts w:hint="default" w:ascii="宋体" w:hAnsi="宋体" w:eastAsia="宋体" w:cs="宋体"/>
          <w:bCs/>
          <w:color w:val="auto"/>
          <w:kern w:val="0"/>
          <w:sz w:val="24"/>
          <w:szCs w:val="24"/>
          <w:lang w:val="en-US" w:eastAsia="zh-CN" w:bidi="ar"/>
        </w:rPr>
        <w:t>产学研合作实践，由合作单位出具实践证明材料；或围绕本专业开展产学研结合的调查研究、实地考察等活动，并提交调研报告或成果总结</w:t>
      </w:r>
    </w:p>
    <w:p w14:paraId="286103FA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 xml:space="preserve">3.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符合提前毕业条件的研究生，可按照学校相关规定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申请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提前毕业。</w:t>
      </w:r>
    </w:p>
    <w:p w14:paraId="22FA1787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  <w:lang w:val="en-US" w:eastAsia="zh-CN" w:bidi="ar"/>
        </w:rPr>
        <w:t xml:space="preserve">4. 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论文答辩。学位（毕业）论文经专家评审合格、通过学位（毕业）答辩，符合毕业资格审查后，准予毕业。</w:t>
      </w:r>
    </w:p>
    <w:p w14:paraId="3ED91828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</w:rPr>
      </w:pPr>
      <w:r>
        <w:rPr>
          <w:rFonts w:hint="eastAsia" w:ascii="黑体" w:hAnsi="宋体" w:eastAsia="黑体" w:cs="黑体"/>
          <w:bCs/>
          <w:color w:val="auto"/>
          <w:kern w:val="2"/>
          <w:sz w:val="28"/>
          <w:szCs w:val="28"/>
          <w:lang w:val="en-US" w:eastAsia="zh-CN" w:bidi="ar"/>
        </w:rPr>
        <w:t>十、创新性成果</w:t>
      </w:r>
    </w:p>
    <w:p w14:paraId="60A2ABC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详见学院创新性成果文件。</w:t>
      </w:r>
    </w:p>
    <w:p w14:paraId="0E7E0C8D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</w:rPr>
      </w:pPr>
      <w:r>
        <w:rPr>
          <w:rFonts w:hint="eastAsia" w:ascii="黑体" w:hAnsi="宋体" w:eastAsia="黑体" w:cs="黑体"/>
          <w:bCs/>
          <w:color w:val="auto"/>
          <w:kern w:val="2"/>
          <w:sz w:val="28"/>
          <w:szCs w:val="28"/>
          <w:lang w:val="en-US" w:eastAsia="zh-CN" w:bidi="ar"/>
        </w:rPr>
        <w:t>十一、学位授予</w:t>
      </w:r>
    </w:p>
    <w:p w14:paraId="794078F7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default" w:ascii="Times New Roman" w:hAnsi="Times New Roman" w:eastAsia="宋体" w:cs="Times New Roman"/>
          <w:bCs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研究生通过毕业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资格审查，满足本经济学院制定的创新性成果要求，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符合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《河北大学博士、硕士学位授予工作实施细则》（校政字〔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>2025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〕</w:t>
      </w:r>
      <w:r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号）</w:t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lang w:val="en-US" w:eastAsia="zh-CN" w:bidi="ar"/>
        </w:rPr>
        <w:t>的有关规定，达到学校学位授予标准，经学校学位评定委员会审议，授予硕士学位。</w:t>
      </w:r>
    </w:p>
    <w:p w14:paraId="56182E7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</w:rPr>
      </w:pPr>
      <w:r>
        <w:rPr>
          <w:rFonts w:hint="eastAsia" w:ascii="黑体" w:hAnsi="宋体" w:eastAsia="黑体" w:cs="黑体"/>
          <w:bCs/>
          <w:color w:val="auto"/>
          <w:kern w:val="2"/>
          <w:sz w:val="28"/>
          <w:szCs w:val="28"/>
          <w:lang w:val="en-US" w:eastAsia="zh-CN" w:bidi="ar"/>
        </w:rPr>
        <w:t>十二、学分及课程设置</w:t>
      </w:r>
    </w:p>
    <w:p w14:paraId="7E4C5A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本专业最低毕业学分为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37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分，其中学位课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19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学分，非学位课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14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学分，必修环节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分。</w:t>
      </w:r>
    </w:p>
    <w:p w14:paraId="37403B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课程考试不设补考环节，考试成绩低于</w:t>
      </w:r>
      <w:r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"/>
        </w:rPr>
        <w:t>60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分的需重修。</w:t>
      </w:r>
    </w:p>
    <w:p w14:paraId="6BD7FC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color w:val="auto"/>
        </w:rPr>
      </w:pPr>
      <w:r>
        <w:rPr>
          <w:rFonts w:hint="eastAsia" w:ascii="宋体" w:hAnsi="宋体" w:eastAsia="宋体" w:cs="宋体"/>
          <w:i w:val="0"/>
          <w:iCs/>
          <w:color w:val="auto"/>
          <w:kern w:val="2"/>
          <w:sz w:val="24"/>
          <w:szCs w:val="24"/>
          <w:lang w:val="en-US" w:eastAsia="zh-CN" w:bidi="ar"/>
        </w:rPr>
        <w:t>课程考核方式包括考试和考查，可以采用口试、笔试或写读书报告、论文的形式，但应有一定数量的笔试（各专业根据实际情况填写）。无论采取何种考核方式，均应能真实反映学生对所学课程掌握的程度及运用知识的能力。</w:t>
      </w:r>
    </w:p>
    <w:p w14:paraId="7A0454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eastAsia" w:ascii="Times New Roman" w:hAnsi="Times New Roman" w:cs="Times New Roman" w:eastAsiaTheme="minorEastAsia"/>
          <w:color w:val="auto"/>
          <w:sz w:val="24"/>
        </w:rPr>
      </w:pPr>
    </w:p>
    <w:p w14:paraId="7241E6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2" w:firstLineChars="200"/>
        <w:textAlignment w:val="auto"/>
        <w:rPr>
          <w:rFonts w:hint="eastAsia" w:ascii="Times New Roman" w:hAnsi="Times New Roman" w:cs="Times New Roman" w:eastAsiaTheme="minorEastAsia"/>
          <w:b/>
          <w:bCs/>
          <w:color w:val="auto"/>
          <w:sz w:val="24"/>
        </w:rPr>
      </w:pPr>
    </w:p>
    <w:p w14:paraId="6B3B58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eastAsia" w:ascii="Times New Roman" w:hAnsi="Times New Roman" w:cs="Times New Roman" w:eastAsiaTheme="minorEastAsia"/>
          <w:color w:val="auto"/>
          <w:sz w:val="24"/>
        </w:rPr>
      </w:pPr>
    </w:p>
    <w:p w14:paraId="57E68F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eastAsia" w:ascii="Times New Roman" w:hAnsi="Times New Roman" w:cs="Times New Roman" w:eastAsiaTheme="minorEastAsia"/>
          <w:color w:val="auto"/>
          <w:sz w:val="24"/>
        </w:rPr>
      </w:pPr>
    </w:p>
    <w:p w14:paraId="71F231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eastAsia" w:ascii="Times New Roman" w:hAnsi="Times New Roman" w:cs="Times New Roman" w:eastAsiaTheme="minorEastAsia"/>
          <w:color w:val="auto"/>
          <w:sz w:val="24"/>
        </w:rPr>
      </w:pPr>
    </w:p>
    <w:p w14:paraId="4DBB79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eastAsia" w:ascii="Times New Roman" w:hAnsi="Times New Roman" w:cs="Times New Roman" w:eastAsiaTheme="minorEastAsia"/>
          <w:color w:val="auto"/>
          <w:sz w:val="24"/>
        </w:rPr>
      </w:pPr>
    </w:p>
    <w:p w14:paraId="1C77A4E6">
      <w:pPr>
        <w:widowControl w:val="0"/>
        <w:adjustRightInd/>
        <w:snapToGrid/>
        <w:spacing w:after="156" w:afterLines="50" w:line="440" w:lineRule="exact"/>
        <w:ind w:firstLine="482" w:firstLineChars="200"/>
        <w:jc w:val="center"/>
        <w:rPr>
          <w:rFonts w:hint="eastAsia" w:ascii="Times New Roman" w:hAnsi="Times New Roman" w:cs="Times New Roman" w:eastAsiaTheme="minorEastAsia"/>
          <w:b/>
          <w:bCs/>
          <w:color w:val="auto"/>
          <w:kern w:val="2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bCs/>
          <w:color w:val="auto"/>
          <w:kern w:val="2"/>
          <w:sz w:val="24"/>
          <w:szCs w:val="24"/>
        </w:rPr>
        <w:t>金融</w:t>
      </w:r>
      <w:r>
        <w:rPr>
          <w:rFonts w:ascii="Times New Roman" w:hAnsi="Times New Roman" w:cs="Times New Roman" w:eastAsiaTheme="minorEastAsia"/>
          <w:b/>
          <w:bCs/>
          <w:color w:val="auto"/>
          <w:kern w:val="2"/>
          <w:sz w:val="24"/>
          <w:szCs w:val="24"/>
        </w:rPr>
        <w:t>专业非全日制专业学位硕士研究生课程及培养环节设置一览表</w:t>
      </w:r>
    </w:p>
    <w:tbl>
      <w:tblPr>
        <w:tblStyle w:val="10"/>
        <w:tblW w:w="895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404"/>
        <w:gridCol w:w="3434"/>
        <w:gridCol w:w="1199"/>
        <w:gridCol w:w="709"/>
        <w:gridCol w:w="709"/>
        <w:gridCol w:w="997"/>
      </w:tblGrid>
      <w:tr w14:paraId="2A534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90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D02E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课程类别</w:t>
            </w:r>
          </w:p>
        </w:tc>
        <w:tc>
          <w:tcPr>
            <w:tcW w:w="343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3765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课程说明</w:t>
            </w:r>
          </w:p>
        </w:tc>
        <w:tc>
          <w:tcPr>
            <w:tcW w:w="119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8A7E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课程编号</w:t>
            </w:r>
          </w:p>
        </w:tc>
        <w:tc>
          <w:tcPr>
            <w:tcW w:w="7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5842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学分</w:t>
            </w:r>
          </w:p>
        </w:tc>
        <w:tc>
          <w:tcPr>
            <w:tcW w:w="7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8689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学期</w:t>
            </w:r>
          </w:p>
        </w:tc>
        <w:tc>
          <w:tcPr>
            <w:tcW w:w="99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1AB61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</w:tr>
      <w:tr w14:paraId="3B660B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545DF6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学</w:t>
            </w:r>
          </w:p>
          <w:p w14:paraId="03ACE8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位</w:t>
            </w:r>
          </w:p>
          <w:p w14:paraId="2A2617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课</w:t>
            </w: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9E479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公共必修课</w:t>
            </w:r>
          </w:p>
          <w:p w14:paraId="28267C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Calibri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学分）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39B6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新时代中国特色社会主义理论与实践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4263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TS0000001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18AE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3F99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F3699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考查</w:t>
            </w:r>
          </w:p>
        </w:tc>
      </w:tr>
      <w:tr w14:paraId="630B62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62022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919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489F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通用学术英语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AD93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TS0000002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CB35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DD90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ED649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考查</w:t>
            </w:r>
          </w:p>
        </w:tc>
      </w:tr>
      <w:tr w14:paraId="6B6B09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2D7EE7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C762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Calibri" w:hAnsi="Calibri" w:eastAsia="宋体" w:cs="Times New Roman"/>
                <w:b/>
                <w:bCs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学科基础课</w:t>
            </w:r>
          </w:p>
          <w:p w14:paraId="4F45F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Calibri" w:hAnsi="Calibri" w:eastAsia="宋体" w:cs="Times New Roman"/>
                <w:b/>
                <w:bCs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eastAsia" w:ascii="Calibri" w:hAnsi="Calibri" w:eastAsia="宋体" w:cs="Calibri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学分）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D8D3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学生道德与论文写作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8CB93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Z0314001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8C51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C2C9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A3662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tr w14:paraId="25891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1B7D7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05A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B3416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金融理论与政策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72A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Z0314002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13CC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6CE7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6C0880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tr w14:paraId="523C6C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1EC95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21A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1B28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公司金融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35B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Z0314003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5AD8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AF191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41869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tr w14:paraId="6C4E92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1BCD7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bookmarkStart w:id="0" w:name="_GoBack" w:colFirst="3" w:colLast="3"/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C48F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Calibri" w:hAnsi="Calibri" w:eastAsia="宋体" w:cs="Times New Roman"/>
                <w:b/>
                <w:bCs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专业必修课</w:t>
            </w:r>
          </w:p>
          <w:p w14:paraId="1D4DD2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eastAsia" w:ascii="Calibri" w:hAnsi="Calibri" w:eastAsia="宋体" w:cs="Calibri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学分）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81E5C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投资学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3F9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Z0314004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18D7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E3C05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7D0C3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tr w14:paraId="3794E6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5AD411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1FD4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EDF4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金融衍生工具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2CE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Z0314005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2E462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C75D0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26BE33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tr w14:paraId="2E50A9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0FA47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3DBF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A2442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highlight w:val="none"/>
              </w:rPr>
              <w:t>金融计量经济学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121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Z0314006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6B4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226B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3FF43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bookmarkEnd w:id="0"/>
      <w:tr w14:paraId="657CC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2B43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非</w:t>
            </w:r>
          </w:p>
          <w:p w14:paraId="6DE68D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学</w:t>
            </w:r>
          </w:p>
          <w:p w14:paraId="2080C1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位</w:t>
            </w:r>
          </w:p>
          <w:p w14:paraId="3B4087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课</w:t>
            </w: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02B59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公共通识课</w:t>
            </w:r>
          </w:p>
          <w:p w14:paraId="6C6DB9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学分）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CF32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《习近平谈治国理政》研读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FE48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TT0000101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CE39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C8F2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46E89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考查</w:t>
            </w:r>
          </w:p>
        </w:tc>
      </w:tr>
      <w:tr w14:paraId="4AE8EA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25D6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456F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6614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马克思主义与社会科学方法论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1C3E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TS0000101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BB4C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5089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2098CB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考查</w:t>
            </w:r>
          </w:p>
        </w:tc>
      </w:tr>
      <w:tr w14:paraId="25ACFF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9AD2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A3A58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金融监管与政策法规方向选修课</w:t>
            </w:r>
          </w:p>
          <w:p w14:paraId="559730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9E4EB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金融监管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397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4D70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AFE2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4261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选修本方向研究生至少选修</w:t>
            </w:r>
            <w:r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学分</w:t>
            </w:r>
          </w:p>
        </w:tc>
      </w:tr>
      <w:tr w14:paraId="4465B8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E2463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94B1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643B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金融法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0EF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Z0314202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3C390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61E6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287B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7C1838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80F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C0C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88FD3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行为金融学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361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Z0314203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6BD8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2A65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A52DD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350C47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7640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E87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B9D8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金融企业战略管理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24E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Z0314204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4224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F4B14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FE8C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106DF8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27EC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FEC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E9EFB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金融危机管理案例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FDCB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Z0314205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CBA5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CD7137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B58CD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174FA9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4E6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D44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4AD7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财政政策与货币政策协调专题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B62C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Z0314206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F0F1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F4E1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368D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0612C6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CB7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FEB22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金融理财策划方向选修课</w:t>
            </w:r>
          </w:p>
          <w:p w14:paraId="62D169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31CF8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财富管理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B16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Z0314207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AD65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9D5C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1FC85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选修本方向研究生至少选修</w:t>
            </w:r>
            <w:r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学分</w:t>
            </w:r>
          </w:p>
        </w:tc>
      </w:tr>
      <w:tr w14:paraId="538A17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3C82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CF3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A4E1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财务报表分析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14F0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Z0314208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8D24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1913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1F2C8F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2B4EBE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957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B48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6786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固定收益证券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696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Z0314209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5164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D608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929A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571B71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7354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B114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1529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项目评估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105B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Z0314210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F186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A924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2217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347CF8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152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AB4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AF10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智能金融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CF29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Z0314211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E90E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686F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1F414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2257A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D99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04D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1F17A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金融投资理论前沿与实务专题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D09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Z0314212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FE94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1DD1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6E37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4F586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5FD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41C7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金融市场方向选修课</w:t>
            </w:r>
          </w:p>
          <w:p w14:paraId="2975D6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D24B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金融市场与机构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0F80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Z0314213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1B2B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9797A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0E2847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选修本方向研究生至少选修</w:t>
            </w:r>
            <w:r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学分</w:t>
            </w:r>
          </w:p>
        </w:tc>
      </w:tr>
      <w:tr w14:paraId="724827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35F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87F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A16F8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风险管理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DB1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Z0314214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A626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0502B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69051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5B2C24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153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FFC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C74E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金融营销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43F7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Z0314215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5AC0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0ED1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7A5AF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559F3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4FC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8976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C782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房地产金融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49A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Z0314216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45023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AD5B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D6925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208361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80F6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4097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7AC3F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市场调查理论与实务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745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Z0314217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ED01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1370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6EF561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2E126F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23C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98F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7CF9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商业银行经营管理案例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DF6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Z0314218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4F07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047F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69296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36BDAF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9DF0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97C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72235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京津冀协同发展与雄安金融专题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C36F1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Z031421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FB7D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AAE0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24013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4A40EC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450D0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必修环节</w:t>
            </w: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7A5F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素质拓展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C401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入学教育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FFDB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DBFB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779F8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14038D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必修</w:t>
            </w:r>
            <w:r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考查</w:t>
            </w:r>
          </w:p>
        </w:tc>
      </w:tr>
      <w:tr w14:paraId="69C1C1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57C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4BE1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E473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学术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实践活动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BB75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F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Z0314301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89AC4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669BB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4-5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D7AA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7AFEB5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BBB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B15E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学术训练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4E638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中期筛选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464E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48143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3DD1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62AC7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  <w:p w14:paraId="5E770D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过程管理</w:t>
            </w:r>
          </w:p>
          <w:p w14:paraId="7A4D8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val="en-US" w:eastAsia="zh-CN"/>
              </w:rPr>
              <w:t>无学分</w:t>
            </w:r>
          </w:p>
          <w:p w14:paraId="10703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224961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99DC75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D35A98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D033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论文开题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DA8C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8E6B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2D46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25E4E97F">
            <w:pPr>
              <w:keepNext w:val="0"/>
              <w:keepLines w:val="0"/>
              <w:widowControl/>
              <w:suppressLineNumbers w:val="0"/>
              <w:spacing w:before="0" w:beforeAutospacing="0" w:afterAutospacing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FD213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75D14C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250496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20E7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论文中期进展报告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A039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11593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8D09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DEEE5B1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6C2398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FCBFEA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B95D2E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4666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论文预答辩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9BB7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0B0B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4537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65141DA8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C5974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3401A8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DA3258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AFA9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论文评审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4700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CBB7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EFD2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1A4392D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4688A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B65143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BBC6AE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2DA690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论文答辩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216724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15EF6F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beforeAutospacing="0" w:after="0" w:afterAutospacing="0" w:line="32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53093B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77981726"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</w:tbl>
    <w:p w14:paraId="15C4D8E8">
      <w:pPr>
        <w:widowControl w:val="0"/>
        <w:adjustRightInd/>
        <w:snapToGrid/>
        <w:spacing w:after="0" w:line="240" w:lineRule="auto"/>
        <w:ind w:firstLine="0" w:firstLineChars="0"/>
        <w:jc w:val="both"/>
        <w:rPr>
          <w:rFonts w:hint="default" w:ascii="Times New Roman" w:hAnsi="Times New Roman" w:eastAsia="宋体" w:cs="Times New Roman"/>
          <w:color w:val="auto"/>
          <w:kern w:val="2"/>
          <w:sz w:val="18"/>
          <w:szCs w:val="18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18"/>
          <w:szCs w:val="18"/>
        </w:rPr>
        <w:t>*公共外语课程按入学时的外国语考试科目修读相关语种。</w:t>
      </w:r>
    </w:p>
    <w:sectPr>
      <w:headerReference r:id="rId4" w:type="default"/>
      <w:footerReference r:id="rId5" w:type="default"/>
      <w:pgSz w:w="11906" w:h="16838"/>
      <w:pgMar w:top="1417" w:right="1417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8C64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124FC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124FC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BFA87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65F38C"/>
    <w:multiLevelType w:val="multilevel"/>
    <w:tmpl w:val="2D65F38C"/>
    <w:lvl w:ilvl="0" w:tentative="0">
      <w:start w:val="1"/>
      <w:numFmt w:val="japaneseCounting"/>
      <w:lvlText w:val="%1、"/>
      <w:lvlJc w:val="left"/>
      <w:pPr>
        <w:ind w:left="1282" w:hanging="7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1402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822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242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662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3082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502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922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4342" w:hanging="420"/>
      </w:pPr>
      <w:rPr>
        <w:rFonts w:hint="default"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21FC"/>
    <w:rsid w:val="00116609"/>
    <w:rsid w:val="00132A4D"/>
    <w:rsid w:val="001E7ADE"/>
    <w:rsid w:val="00204E61"/>
    <w:rsid w:val="002C3FC9"/>
    <w:rsid w:val="002E1E43"/>
    <w:rsid w:val="00314C89"/>
    <w:rsid w:val="00397B6E"/>
    <w:rsid w:val="003D7CD1"/>
    <w:rsid w:val="003E6E0B"/>
    <w:rsid w:val="00405B80"/>
    <w:rsid w:val="0041169E"/>
    <w:rsid w:val="004434C0"/>
    <w:rsid w:val="005247D4"/>
    <w:rsid w:val="00525AF1"/>
    <w:rsid w:val="005422F0"/>
    <w:rsid w:val="00550018"/>
    <w:rsid w:val="005A294F"/>
    <w:rsid w:val="006729DA"/>
    <w:rsid w:val="006A3485"/>
    <w:rsid w:val="00712ECF"/>
    <w:rsid w:val="007374E8"/>
    <w:rsid w:val="0075296E"/>
    <w:rsid w:val="007E7A52"/>
    <w:rsid w:val="00837EB5"/>
    <w:rsid w:val="00881D24"/>
    <w:rsid w:val="008A6595"/>
    <w:rsid w:val="008C164F"/>
    <w:rsid w:val="009023F6"/>
    <w:rsid w:val="00902EDA"/>
    <w:rsid w:val="00925277"/>
    <w:rsid w:val="00931791"/>
    <w:rsid w:val="009376FD"/>
    <w:rsid w:val="009535C3"/>
    <w:rsid w:val="009C2A8C"/>
    <w:rsid w:val="009D4E38"/>
    <w:rsid w:val="00A03BF3"/>
    <w:rsid w:val="00A347BC"/>
    <w:rsid w:val="00A3496E"/>
    <w:rsid w:val="00A36C41"/>
    <w:rsid w:val="00A86654"/>
    <w:rsid w:val="00AC4E64"/>
    <w:rsid w:val="00AD1747"/>
    <w:rsid w:val="00AD4633"/>
    <w:rsid w:val="00B10FFC"/>
    <w:rsid w:val="00B216D4"/>
    <w:rsid w:val="00B22A40"/>
    <w:rsid w:val="00B3631D"/>
    <w:rsid w:val="00B71B65"/>
    <w:rsid w:val="00B82DED"/>
    <w:rsid w:val="00C060A4"/>
    <w:rsid w:val="00C17415"/>
    <w:rsid w:val="00C346F2"/>
    <w:rsid w:val="00CA28CA"/>
    <w:rsid w:val="00CC3371"/>
    <w:rsid w:val="00CE3926"/>
    <w:rsid w:val="00D41588"/>
    <w:rsid w:val="00D575B0"/>
    <w:rsid w:val="00DB69A3"/>
    <w:rsid w:val="00DD0372"/>
    <w:rsid w:val="00E31D83"/>
    <w:rsid w:val="00E35444"/>
    <w:rsid w:val="00EA5641"/>
    <w:rsid w:val="00EB3435"/>
    <w:rsid w:val="00EC28F9"/>
    <w:rsid w:val="00EC5EBD"/>
    <w:rsid w:val="00F15346"/>
    <w:rsid w:val="00F26368"/>
    <w:rsid w:val="00F3180A"/>
    <w:rsid w:val="00FA5A04"/>
    <w:rsid w:val="00FE62FE"/>
    <w:rsid w:val="00FF77F7"/>
    <w:rsid w:val="01EE512D"/>
    <w:rsid w:val="02EB0770"/>
    <w:rsid w:val="03AF33C7"/>
    <w:rsid w:val="03FA617C"/>
    <w:rsid w:val="0669642C"/>
    <w:rsid w:val="07837045"/>
    <w:rsid w:val="07A5090E"/>
    <w:rsid w:val="07EB0E46"/>
    <w:rsid w:val="09A559B5"/>
    <w:rsid w:val="0A137125"/>
    <w:rsid w:val="0A4E63CE"/>
    <w:rsid w:val="0B372620"/>
    <w:rsid w:val="0D1A3FA7"/>
    <w:rsid w:val="0D25752E"/>
    <w:rsid w:val="0DCB4A28"/>
    <w:rsid w:val="0FAD6AEB"/>
    <w:rsid w:val="13102893"/>
    <w:rsid w:val="134E00CF"/>
    <w:rsid w:val="15510114"/>
    <w:rsid w:val="15FD4466"/>
    <w:rsid w:val="161C476E"/>
    <w:rsid w:val="163B7365"/>
    <w:rsid w:val="165E7858"/>
    <w:rsid w:val="180C1979"/>
    <w:rsid w:val="183B7430"/>
    <w:rsid w:val="1A1B4304"/>
    <w:rsid w:val="1BFC310E"/>
    <w:rsid w:val="1C01076B"/>
    <w:rsid w:val="1C0C63BB"/>
    <w:rsid w:val="1F427F8D"/>
    <w:rsid w:val="1F7C289F"/>
    <w:rsid w:val="200C2A6B"/>
    <w:rsid w:val="22850731"/>
    <w:rsid w:val="23422D3D"/>
    <w:rsid w:val="23915DD9"/>
    <w:rsid w:val="246F63D3"/>
    <w:rsid w:val="24F20F0E"/>
    <w:rsid w:val="256828DF"/>
    <w:rsid w:val="26924376"/>
    <w:rsid w:val="27675F66"/>
    <w:rsid w:val="27A126DC"/>
    <w:rsid w:val="29FE48C9"/>
    <w:rsid w:val="2A007C29"/>
    <w:rsid w:val="2B035301"/>
    <w:rsid w:val="2C0922B0"/>
    <w:rsid w:val="2CF836FF"/>
    <w:rsid w:val="2EB02204"/>
    <w:rsid w:val="2F4935B5"/>
    <w:rsid w:val="310D147D"/>
    <w:rsid w:val="31BA1A73"/>
    <w:rsid w:val="31D420C7"/>
    <w:rsid w:val="32207918"/>
    <w:rsid w:val="33576CD6"/>
    <w:rsid w:val="336851BD"/>
    <w:rsid w:val="34892064"/>
    <w:rsid w:val="34FE33A5"/>
    <w:rsid w:val="35622B48"/>
    <w:rsid w:val="35D55B1C"/>
    <w:rsid w:val="366428C7"/>
    <w:rsid w:val="37111425"/>
    <w:rsid w:val="37E8767B"/>
    <w:rsid w:val="38C754ED"/>
    <w:rsid w:val="3A100D68"/>
    <w:rsid w:val="3A4563D9"/>
    <w:rsid w:val="3A6D3DE9"/>
    <w:rsid w:val="3B33651B"/>
    <w:rsid w:val="404A0EB2"/>
    <w:rsid w:val="40F45E29"/>
    <w:rsid w:val="433A0F35"/>
    <w:rsid w:val="44CC6B6B"/>
    <w:rsid w:val="482F3145"/>
    <w:rsid w:val="48FF5C73"/>
    <w:rsid w:val="4A5D7EF0"/>
    <w:rsid w:val="4C2C5E5B"/>
    <w:rsid w:val="4D0B7043"/>
    <w:rsid w:val="4DB028EA"/>
    <w:rsid w:val="4E6C083E"/>
    <w:rsid w:val="4F7D17A7"/>
    <w:rsid w:val="50B429C6"/>
    <w:rsid w:val="51B178D7"/>
    <w:rsid w:val="51D84E64"/>
    <w:rsid w:val="5222768F"/>
    <w:rsid w:val="52BA08B1"/>
    <w:rsid w:val="53446C55"/>
    <w:rsid w:val="546155E5"/>
    <w:rsid w:val="56966B00"/>
    <w:rsid w:val="56E22214"/>
    <w:rsid w:val="572C5E6A"/>
    <w:rsid w:val="578C3DF3"/>
    <w:rsid w:val="57F972E0"/>
    <w:rsid w:val="58592188"/>
    <w:rsid w:val="5884755E"/>
    <w:rsid w:val="590C165E"/>
    <w:rsid w:val="59EE791A"/>
    <w:rsid w:val="5AEE55C8"/>
    <w:rsid w:val="5BA857F0"/>
    <w:rsid w:val="5C7A7F2E"/>
    <w:rsid w:val="5D461595"/>
    <w:rsid w:val="5DF919EB"/>
    <w:rsid w:val="5FBB2599"/>
    <w:rsid w:val="600564B8"/>
    <w:rsid w:val="602B5F26"/>
    <w:rsid w:val="613974A6"/>
    <w:rsid w:val="61D11B21"/>
    <w:rsid w:val="630101AE"/>
    <w:rsid w:val="64484CEE"/>
    <w:rsid w:val="6537644B"/>
    <w:rsid w:val="679D3158"/>
    <w:rsid w:val="67ED744E"/>
    <w:rsid w:val="6882505A"/>
    <w:rsid w:val="697C2AF8"/>
    <w:rsid w:val="69C500A1"/>
    <w:rsid w:val="6BB87D88"/>
    <w:rsid w:val="6C0A6493"/>
    <w:rsid w:val="6C451402"/>
    <w:rsid w:val="6D622950"/>
    <w:rsid w:val="6D840DA7"/>
    <w:rsid w:val="6DA93E2C"/>
    <w:rsid w:val="6E055DC7"/>
    <w:rsid w:val="6FAB05E4"/>
    <w:rsid w:val="714B3D1E"/>
    <w:rsid w:val="72404633"/>
    <w:rsid w:val="735F5A1D"/>
    <w:rsid w:val="73E5372A"/>
    <w:rsid w:val="741B7A61"/>
    <w:rsid w:val="750E02B6"/>
    <w:rsid w:val="76991AD7"/>
    <w:rsid w:val="79102E30"/>
    <w:rsid w:val="797744C9"/>
    <w:rsid w:val="79A76D6D"/>
    <w:rsid w:val="7A737F2D"/>
    <w:rsid w:val="7CBB1CA0"/>
    <w:rsid w:val="7E977CD1"/>
    <w:rsid w:val="7F1338AD"/>
    <w:rsid w:val="7F1C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adjustRightInd/>
      <w:snapToGrid/>
      <w:spacing w:after="0" w:line="420" w:lineRule="exact"/>
      <w:jc w:val="center"/>
      <w:outlineLvl w:val="0"/>
    </w:pPr>
    <w:rPr>
      <w:rFonts w:ascii="黑体" w:hAnsi="宋体" w:eastAsia="黑体" w:cs="Times New Roman"/>
      <w:kern w:val="2"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4"/>
    <w:qFormat/>
    <w:uiPriority w:val="0"/>
    <w:rPr>
      <w:rFonts w:ascii="宋体" w:eastAsia="宋体"/>
      <w:sz w:val="18"/>
      <w:szCs w:val="18"/>
    </w:rPr>
  </w:style>
  <w:style w:type="paragraph" w:styleId="4">
    <w:name w:val="annotation text"/>
    <w:basedOn w:val="1"/>
    <w:link w:val="18"/>
    <w:qFormat/>
    <w:uiPriority w:val="0"/>
  </w:style>
  <w:style w:type="paragraph" w:styleId="5">
    <w:name w:val="Balloon Text"/>
    <w:basedOn w:val="1"/>
    <w:link w:val="20"/>
    <w:qFormat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rPr>
      <w:sz w:val="24"/>
    </w:rPr>
  </w:style>
  <w:style w:type="paragraph" w:styleId="9">
    <w:name w:val="annotation subject"/>
    <w:basedOn w:val="4"/>
    <w:next w:val="4"/>
    <w:link w:val="19"/>
    <w:qFormat/>
    <w:uiPriority w:val="0"/>
    <w:rPr>
      <w:b/>
      <w:bCs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character" w:customStyle="1" w:styleId="14">
    <w:name w:val="文档结构图 Char"/>
    <w:basedOn w:val="11"/>
    <w:link w:val="3"/>
    <w:qFormat/>
    <w:uiPriority w:val="0"/>
    <w:rPr>
      <w:rFonts w:ascii="宋体" w:hAnsi="Tahoma" w:eastAsia="宋体"/>
      <w:sz w:val="18"/>
      <w:szCs w:val="18"/>
    </w:rPr>
  </w:style>
  <w:style w:type="character" w:customStyle="1" w:styleId="15">
    <w:name w:val="页眉 Char"/>
    <w:basedOn w:val="11"/>
    <w:link w:val="7"/>
    <w:qFormat/>
    <w:uiPriority w:val="0"/>
    <w:rPr>
      <w:rFonts w:ascii="Tahoma" w:hAnsi="Tahoma" w:eastAsia="微软雅黑"/>
      <w:sz w:val="18"/>
      <w:szCs w:val="18"/>
    </w:rPr>
  </w:style>
  <w:style w:type="character" w:customStyle="1" w:styleId="16">
    <w:name w:val="页脚 Char"/>
    <w:basedOn w:val="11"/>
    <w:link w:val="6"/>
    <w:qFormat/>
    <w:uiPriority w:val="0"/>
    <w:rPr>
      <w:rFonts w:ascii="Tahoma" w:hAnsi="Tahoma" w:eastAsia="微软雅黑"/>
      <w:sz w:val="18"/>
      <w:szCs w:val="18"/>
    </w:rPr>
  </w:style>
  <w:style w:type="paragraph" w:customStyle="1" w:styleId="17">
    <w:name w:val="标准"/>
    <w:basedOn w:val="1"/>
    <w:qFormat/>
    <w:uiPriority w:val="0"/>
    <w:pPr>
      <w:widowControl w:val="0"/>
      <w:snapToGrid/>
      <w:spacing w:before="120" w:after="120" w:line="312" w:lineRule="atLeast"/>
      <w:jc w:val="both"/>
      <w:textAlignment w:val="baseline"/>
    </w:pPr>
    <w:rPr>
      <w:rFonts w:ascii="宋体" w:hAnsi="Times New Roman" w:eastAsia="宋体" w:cs="Times New Roman"/>
      <w:sz w:val="21"/>
      <w:szCs w:val="20"/>
    </w:rPr>
  </w:style>
  <w:style w:type="character" w:customStyle="1" w:styleId="18">
    <w:name w:val="批注文字 Char"/>
    <w:basedOn w:val="11"/>
    <w:link w:val="4"/>
    <w:qFormat/>
    <w:uiPriority w:val="0"/>
    <w:rPr>
      <w:rFonts w:ascii="Tahoma" w:hAnsi="Tahoma" w:eastAsia="微软雅黑"/>
      <w:sz w:val="22"/>
      <w:szCs w:val="22"/>
    </w:rPr>
  </w:style>
  <w:style w:type="character" w:customStyle="1" w:styleId="19">
    <w:name w:val="批注主题 Char"/>
    <w:basedOn w:val="18"/>
    <w:link w:val="9"/>
    <w:qFormat/>
    <w:uiPriority w:val="0"/>
    <w:rPr>
      <w:rFonts w:ascii="Tahoma" w:hAnsi="Tahoma" w:eastAsia="微软雅黑"/>
      <w:b/>
      <w:bCs/>
      <w:sz w:val="22"/>
      <w:szCs w:val="22"/>
    </w:rPr>
  </w:style>
  <w:style w:type="character" w:customStyle="1" w:styleId="20">
    <w:name w:val="批注框文本 Char"/>
    <w:basedOn w:val="11"/>
    <w:link w:val="5"/>
    <w:qFormat/>
    <w:uiPriority w:val="0"/>
    <w:rPr>
      <w:rFonts w:ascii="Tahoma" w:hAnsi="Tahoma" w:eastAsia="微软雅黑"/>
      <w:sz w:val="18"/>
      <w:szCs w:val="18"/>
    </w:rPr>
  </w:style>
  <w:style w:type="paragraph" w:styleId="21">
    <w:name w:val="List Paragraph"/>
    <w:basedOn w:val="1"/>
    <w:qFormat/>
    <w:uiPriority w:val="34"/>
    <w:pPr>
      <w:adjustRightInd/>
      <w:snapToGrid/>
      <w:spacing w:after="0" w:line="480" w:lineRule="exact"/>
      <w:ind w:firstLine="420" w:firstLineChars="200"/>
    </w:pPr>
    <w:rPr>
      <w:rFonts w:asciiTheme="minorHAnsi" w:hAnsiTheme="minorHAnsi" w:eastAsiaTheme="minorEastAsia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3674</Words>
  <Characters>3999</Characters>
  <Lines>1</Lines>
  <Paragraphs>1</Paragraphs>
  <TotalTime>9</TotalTime>
  <ScaleCrop>false</ScaleCrop>
  <LinksUpToDate>false</LinksUpToDate>
  <CharactersWithSpaces>4003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2018-03-15T04:00:00Z</dcterms:created>
  <dc:creator>lenovo</dc:creator>
  <cp:lastModifiedBy>zwh</cp:lastModifiedBy>
  <cp:lastPrinted>2021-06-24T02:56:00Z</cp:lastPrinted>
  <dcterms:modified xsi:type="dcterms:W3CDTF">2025-06-10T03:03:07Z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FCA5E3DB66EE4D298E3871F4155910D4</vt:lpwstr>
  </property>
  <property fmtid="{D5CDD505-2E9C-101B-9397-08002B2CF9AE}" pid="4" name="KSOTemplateDocerSaveRecord">
    <vt:lpwstr>eyJoZGlkIjoiZGViMzliNzhmMThmNGNkYzZiMGY3MjViMjljOGUxZTkiLCJ1c2VySWQiOiIxNDQxNjAwMzUzIn0=</vt:lpwstr>
  </property>
</Properties>
</file>