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88E98">
      <w:pPr>
        <w:ind w:left="321" w:leftChars="153" w:right="227"/>
        <w:jc w:val="center"/>
        <w:rPr>
          <w:rFonts w:eastAsia="黑体"/>
          <w:b/>
          <w:bCs/>
          <w:color w:val="auto"/>
          <w:sz w:val="36"/>
          <w:szCs w:val="36"/>
        </w:rPr>
      </w:pPr>
      <w:r>
        <w:rPr>
          <w:rFonts w:hint="eastAsia" w:eastAsia="黑体"/>
          <w:b/>
          <w:bCs/>
          <w:i w:val="0"/>
          <w:iCs/>
          <w:color w:val="auto"/>
          <w:sz w:val="36"/>
          <w:szCs w:val="36"/>
          <w:u w:val="none"/>
          <w:lang w:val="en-US" w:eastAsia="zh-CN"/>
        </w:rPr>
        <w:t>公共管理</w:t>
      </w:r>
      <w:r>
        <w:rPr>
          <w:rFonts w:eastAsia="黑体"/>
          <w:b/>
          <w:bCs/>
          <w:color w:val="auto"/>
          <w:sz w:val="36"/>
          <w:szCs w:val="36"/>
        </w:rPr>
        <w:t>专业非全日制专业学位硕士研究生培养方案</w:t>
      </w:r>
    </w:p>
    <w:p w14:paraId="6198D152">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val="en-US" w:eastAsia="zh-CN"/>
        </w:rPr>
        <w:t>管理</w:t>
      </w:r>
      <w:r>
        <w:rPr>
          <w:rFonts w:eastAsia="黑体"/>
          <w:b/>
          <w:bCs/>
          <w:color w:val="auto"/>
          <w:sz w:val="28"/>
          <w:szCs w:val="28"/>
        </w:rPr>
        <w:t>学院)</w:t>
      </w:r>
    </w:p>
    <w:p w14:paraId="21696B36">
      <w:pPr>
        <w:spacing w:line="360" w:lineRule="auto"/>
        <w:ind w:firstLine="560"/>
        <w:rPr>
          <w:rFonts w:eastAsia="黑体"/>
          <w:bCs/>
          <w:color w:val="auto"/>
          <w:sz w:val="28"/>
          <w:szCs w:val="28"/>
        </w:rPr>
      </w:pPr>
      <w:r>
        <w:rPr>
          <w:rFonts w:eastAsia="黑体"/>
          <w:bCs/>
          <w:color w:val="auto"/>
          <w:sz w:val="28"/>
          <w:szCs w:val="28"/>
        </w:rPr>
        <w:t>一、专业名称、代码</w:t>
      </w:r>
    </w:p>
    <w:p w14:paraId="2EE63B91">
      <w:pPr>
        <w:widowControl/>
        <w:spacing w:line="360" w:lineRule="auto"/>
        <w:ind w:firstLine="960" w:firstLineChars="400"/>
        <w:jc w:val="left"/>
        <w:rPr>
          <w:rFonts w:hint="eastAsia" w:eastAsia="宋体"/>
          <w:color w:val="auto"/>
          <w:kern w:val="0"/>
          <w:sz w:val="18"/>
          <w:szCs w:val="18"/>
          <w:lang w:eastAsia="zh-CN"/>
        </w:rPr>
      </w:pPr>
      <w:r>
        <w:rPr>
          <w:color w:val="auto"/>
          <w:kern w:val="0"/>
          <w:sz w:val="24"/>
        </w:rPr>
        <w:t>专业名称：</w:t>
      </w:r>
      <w:r>
        <w:rPr>
          <w:rFonts w:hint="eastAsia"/>
          <w:color w:val="auto"/>
          <w:kern w:val="0"/>
          <w:sz w:val="24"/>
          <w:lang w:val="en-US" w:eastAsia="zh-CN"/>
        </w:rPr>
        <w:t>公共管理（MPA）</w:t>
      </w:r>
    </w:p>
    <w:p w14:paraId="2CEFF502">
      <w:pPr>
        <w:widowControl/>
        <w:spacing w:line="360" w:lineRule="auto"/>
        <w:ind w:firstLine="960" w:firstLineChars="400"/>
        <w:jc w:val="left"/>
        <w:rPr>
          <w:rFonts w:hint="default" w:eastAsia="宋体"/>
          <w:color w:val="auto"/>
          <w:kern w:val="0"/>
          <w:sz w:val="18"/>
          <w:szCs w:val="18"/>
          <w:lang w:val="en-US" w:eastAsia="zh-CN"/>
        </w:rPr>
      </w:pPr>
      <w:r>
        <w:rPr>
          <w:color w:val="auto"/>
          <w:kern w:val="0"/>
          <w:sz w:val="24"/>
        </w:rPr>
        <w:t>专业代码：</w:t>
      </w:r>
      <w:r>
        <w:rPr>
          <w:rFonts w:hint="eastAsia"/>
          <w:color w:val="auto"/>
          <w:kern w:val="0"/>
          <w:sz w:val="24"/>
          <w:lang w:val="en-US" w:eastAsia="zh-CN"/>
        </w:rPr>
        <w:t>125200</w:t>
      </w:r>
    </w:p>
    <w:p w14:paraId="7899301F">
      <w:pPr>
        <w:spacing w:line="360" w:lineRule="auto"/>
        <w:ind w:firstLine="560" w:firstLineChars="200"/>
        <w:rPr>
          <w:rFonts w:eastAsia="黑体"/>
          <w:bCs/>
          <w:i/>
          <w:color w:val="auto"/>
          <w:sz w:val="28"/>
          <w:szCs w:val="28"/>
        </w:rPr>
      </w:pPr>
      <w:r>
        <w:rPr>
          <w:rFonts w:eastAsia="黑体"/>
          <w:bCs/>
          <w:color w:val="auto"/>
          <w:sz w:val="28"/>
          <w:szCs w:val="28"/>
        </w:rPr>
        <w:t>二、专业简介</w:t>
      </w:r>
    </w:p>
    <w:p w14:paraId="0922ABED">
      <w:pPr>
        <w:spacing w:line="360" w:lineRule="auto"/>
        <w:ind w:firstLine="480" w:firstLineChars="200"/>
        <w:rPr>
          <w:rFonts w:eastAsiaTheme="minorEastAsia"/>
          <w:i/>
          <w:color w:val="auto"/>
          <w:sz w:val="24"/>
        </w:rPr>
      </w:pPr>
      <w:r>
        <w:rPr>
          <w:rFonts w:hint="eastAsia" w:ascii="宋体" w:hAnsi="宋体"/>
          <w:color w:val="auto"/>
          <w:sz w:val="24"/>
        </w:rPr>
        <w:t>河北大学于2005年作为全国第三批试点单位开展MPA专业学位教育，同时也是河北省首批开展MPA专业学位教育的高校之一。从建立之初，就得到了全国MPA教指委、河北省政府各部门、河北大学校领导和相关院系、处室的鼎力支持。如省内17个厅局的主要领导担任过河北大学MPA教指委委员；河北省人力资源和社会保障厅、河北省税务局等单位为MPA教学实践基地建设提供了支持。河北大学MPA教育中心现设有教学案例室6个，专业慕课教室1个，教学实验室2个，此外，还设有专用图书资料室1个。优越的办学条件为公共管理硕士的培养提供了良好的硬件支持。</w:t>
      </w:r>
    </w:p>
    <w:p w14:paraId="38A89A0B">
      <w:pPr>
        <w:spacing w:line="360" w:lineRule="auto"/>
        <w:ind w:firstLine="560" w:firstLineChars="200"/>
        <w:rPr>
          <w:rFonts w:eastAsia="黑体"/>
          <w:bCs/>
          <w:color w:val="auto"/>
          <w:sz w:val="28"/>
          <w:szCs w:val="28"/>
        </w:rPr>
      </w:pPr>
      <w:r>
        <w:rPr>
          <w:rFonts w:eastAsia="黑体"/>
          <w:bCs/>
          <w:color w:val="auto"/>
          <w:sz w:val="28"/>
          <w:szCs w:val="28"/>
        </w:rPr>
        <w:t>三、研究方向</w:t>
      </w:r>
    </w:p>
    <w:p w14:paraId="03EFD1D6">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2"/>
        <w:textAlignment w:val="auto"/>
        <w:rPr>
          <w:rFonts w:ascii="宋体" w:hAnsi="宋体"/>
          <w:color w:val="auto"/>
          <w:shd w:val="clear" w:color="auto" w:fill="FFFFFF"/>
        </w:rPr>
      </w:pPr>
      <w:r>
        <w:rPr>
          <w:rFonts w:ascii="宋体" w:hAnsi="宋体"/>
          <w:b/>
          <w:color w:val="auto"/>
          <w:kern w:val="0"/>
          <w:sz w:val="24"/>
          <w:shd w:val="clear" w:color="auto" w:fill="FFFFFF"/>
        </w:rPr>
        <w:t>方向一：地方政府管理</w:t>
      </w:r>
    </w:p>
    <w:p w14:paraId="4D8F9E3E">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0"/>
        <w:textAlignment w:val="auto"/>
        <w:rPr>
          <w:rFonts w:hint="eastAsia" w:ascii="宋体" w:hAnsi="宋体" w:eastAsia="宋体"/>
          <w:color w:val="auto"/>
          <w:kern w:val="0"/>
          <w:sz w:val="24"/>
          <w:shd w:val="clear" w:color="auto" w:fill="FFFFFF"/>
          <w:lang w:eastAsia="zh-CN"/>
        </w:rPr>
      </w:pPr>
      <w:r>
        <w:rPr>
          <w:rFonts w:ascii="宋体" w:hAnsi="宋体"/>
          <w:color w:val="auto"/>
          <w:kern w:val="0"/>
          <w:sz w:val="24"/>
          <w:shd w:val="clear" w:color="auto" w:fill="FFFFFF"/>
        </w:rPr>
        <w:t>本方向旨在为地方政府尤其是基层政府培养了解地方政府运行机制、掌握基层治理、危机管理等实务技能的公共管理人才。</w:t>
      </w:r>
      <w:r>
        <w:rPr>
          <w:rFonts w:hint="eastAsia" w:ascii="宋体" w:hAnsi="宋体"/>
          <w:color w:val="auto"/>
          <w:kern w:val="0"/>
          <w:sz w:val="24"/>
          <w:shd w:val="clear" w:color="auto" w:fill="FFFFFF"/>
        </w:rPr>
        <w:t>研究领域：公共政策理论与实践、教育管理、卫生管理等。研究特色：从地方视角研究政府提供公共服务的体制机制，并结合京津冀协同发展和雄安新区建设研究政府管理中的现实问题。优势：我校是全省干部轮训培训学校，实现了教学和科研为政府管理服务的优势</w:t>
      </w:r>
      <w:r>
        <w:rPr>
          <w:rFonts w:hint="eastAsia" w:ascii="宋体" w:hAnsi="宋体"/>
          <w:color w:val="auto"/>
          <w:kern w:val="0"/>
          <w:sz w:val="24"/>
          <w:shd w:val="clear" w:color="auto" w:fill="FFFFFF"/>
          <w:lang w:eastAsia="zh-CN"/>
        </w:rPr>
        <w:t>。</w:t>
      </w:r>
    </w:p>
    <w:p w14:paraId="59926EF1">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0"/>
        <w:textAlignment w:val="auto"/>
        <w:rPr>
          <w:rFonts w:ascii="宋体" w:hAnsi="宋体"/>
          <w:b/>
          <w:bCs/>
          <w:color w:val="auto"/>
          <w:kern w:val="0"/>
          <w:sz w:val="24"/>
          <w:shd w:val="clear" w:color="auto" w:fill="FFFFFF"/>
        </w:rPr>
      </w:pPr>
      <w:r>
        <w:rPr>
          <w:rFonts w:hint="eastAsia" w:ascii="宋体" w:hAnsi="宋体"/>
          <w:b/>
          <w:bCs/>
          <w:color w:val="auto"/>
          <w:kern w:val="0"/>
          <w:sz w:val="24"/>
          <w:shd w:val="clear" w:color="auto" w:fill="FFFFFF"/>
        </w:rPr>
        <w:t>方向二：财税管理</w:t>
      </w:r>
    </w:p>
    <w:p w14:paraId="2E11E56C">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0"/>
        <w:textAlignment w:val="auto"/>
        <w:rPr>
          <w:rFonts w:ascii="宋体" w:hAnsi="宋体"/>
          <w:color w:val="auto"/>
          <w:kern w:val="0"/>
          <w:sz w:val="24"/>
          <w:shd w:val="clear" w:color="auto" w:fill="FFFFFF"/>
        </w:rPr>
      </w:pPr>
      <w:r>
        <w:rPr>
          <w:rFonts w:ascii="宋体" w:hAnsi="宋体"/>
          <w:color w:val="auto"/>
          <w:kern w:val="0"/>
          <w:sz w:val="24"/>
          <w:shd w:val="clear" w:color="auto" w:fill="FFFFFF"/>
        </w:rPr>
        <w:t>本方向旨在为地方</w:t>
      </w:r>
      <w:r>
        <w:rPr>
          <w:rFonts w:hint="eastAsia" w:ascii="宋体" w:hAnsi="宋体"/>
          <w:color w:val="auto"/>
          <w:kern w:val="0"/>
          <w:sz w:val="24"/>
          <w:shd w:val="clear" w:color="auto" w:fill="FFFFFF"/>
        </w:rPr>
        <w:t>财税部门</w:t>
      </w:r>
      <w:r>
        <w:rPr>
          <w:rFonts w:ascii="宋体" w:hAnsi="宋体"/>
          <w:color w:val="auto"/>
          <w:kern w:val="0"/>
          <w:sz w:val="24"/>
          <w:shd w:val="clear" w:color="auto" w:fill="FFFFFF"/>
        </w:rPr>
        <w:t>培养了解</w:t>
      </w:r>
      <w:r>
        <w:rPr>
          <w:rFonts w:hint="eastAsia" w:ascii="宋体" w:hAnsi="宋体"/>
          <w:color w:val="auto"/>
          <w:kern w:val="0"/>
          <w:sz w:val="24"/>
          <w:shd w:val="clear" w:color="auto" w:fill="FFFFFF"/>
        </w:rPr>
        <w:t>财税政策</w:t>
      </w:r>
      <w:r>
        <w:rPr>
          <w:rFonts w:ascii="宋体" w:hAnsi="宋体"/>
          <w:color w:val="auto"/>
          <w:kern w:val="0"/>
          <w:sz w:val="24"/>
          <w:shd w:val="clear" w:color="auto" w:fill="FFFFFF"/>
        </w:rPr>
        <w:t>、掌握</w:t>
      </w:r>
      <w:r>
        <w:rPr>
          <w:rFonts w:hint="eastAsia" w:ascii="宋体" w:hAnsi="宋体"/>
          <w:color w:val="auto"/>
          <w:kern w:val="0"/>
          <w:sz w:val="24"/>
          <w:shd w:val="clear" w:color="auto" w:fill="FFFFFF"/>
        </w:rPr>
        <w:t>财税管理运行</w:t>
      </w:r>
      <w:r>
        <w:rPr>
          <w:rFonts w:ascii="宋体" w:hAnsi="宋体"/>
          <w:color w:val="auto"/>
          <w:kern w:val="0"/>
          <w:sz w:val="24"/>
          <w:shd w:val="clear" w:color="auto" w:fill="FFFFFF"/>
        </w:rPr>
        <w:t>等实务技能的公共管理人才。</w:t>
      </w:r>
      <w:r>
        <w:rPr>
          <w:rFonts w:hint="eastAsia" w:ascii="宋体" w:hAnsi="宋体"/>
          <w:color w:val="auto"/>
          <w:kern w:val="0"/>
          <w:sz w:val="24"/>
          <w:shd w:val="clear" w:color="auto" w:fill="FFFFFF"/>
        </w:rPr>
        <w:t>研究领域：财政管理、税制结构优化、宏观经济政策工具选择。研究特色：在所得税国际化和直接税制度建设领域进行持续研究，研究成果丰硕；运用空间计量方法，测算税收集聚的空间分布，为区域地方政府间税收共享与合作提供参考建议。优势：科研实力雄厚。方向带头人为教育部新世纪人才，成员均为国家教学团队骨干。</w:t>
      </w:r>
    </w:p>
    <w:p w14:paraId="5419F839">
      <w:pPr>
        <w:keepNext w:val="0"/>
        <w:keepLines w:val="0"/>
        <w:pageBreakBefore w:val="0"/>
        <w:widowControl w:val="0"/>
        <w:shd w:val="solid" w:color="FFFFFF" w:fill="auto"/>
        <w:kinsoku/>
        <w:wordWrap/>
        <w:overflowPunct/>
        <w:topLinePunct w:val="0"/>
        <w:autoSpaceDE/>
        <w:autoSpaceDN w:val="0"/>
        <w:bidi w:val="0"/>
        <w:adjustRightInd/>
        <w:snapToGrid/>
        <w:spacing w:line="360" w:lineRule="auto"/>
        <w:ind w:firstLine="482"/>
        <w:textAlignment w:val="auto"/>
        <w:rPr>
          <w:rFonts w:ascii="宋体" w:hAnsi="宋体"/>
          <w:color w:val="auto"/>
          <w:shd w:val="clear" w:color="auto" w:fill="FFFFFF"/>
        </w:rPr>
      </w:pPr>
      <w:r>
        <w:rPr>
          <w:rFonts w:ascii="宋体" w:hAnsi="宋体"/>
          <w:b/>
          <w:color w:val="auto"/>
          <w:kern w:val="0"/>
          <w:sz w:val="24"/>
          <w:shd w:val="clear" w:color="auto" w:fill="FFFFFF"/>
        </w:rPr>
        <w:t>方向</w:t>
      </w:r>
      <w:r>
        <w:rPr>
          <w:rFonts w:hint="eastAsia" w:ascii="宋体" w:hAnsi="宋体"/>
          <w:b/>
          <w:color w:val="auto"/>
          <w:kern w:val="0"/>
          <w:sz w:val="24"/>
          <w:shd w:val="clear" w:color="auto" w:fill="FFFFFF"/>
        </w:rPr>
        <w:t>三</w:t>
      </w:r>
      <w:r>
        <w:rPr>
          <w:rFonts w:ascii="宋体" w:hAnsi="宋体"/>
          <w:b/>
          <w:color w:val="auto"/>
          <w:kern w:val="0"/>
          <w:sz w:val="24"/>
          <w:shd w:val="clear" w:color="auto" w:fill="FFFFFF"/>
        </w:rPr>
        <w:t>：社会保障与公共部门人力资源管理</w:t>
      </w:r>
    </w:p>
    <w:p w14:paraId="474F0C12">
      <w:pPr>
        <w:keepNext w:val="0"/>
        <w:keepLines w:val="0"/>
        <w:pageBreakBefore w:val="0"/>
        <w:widowControl w:val="0"/>
        <w:kinsoku/>
        <w:wordWrap/>
        <w:overflowPunct/>
        <w:topLinePunct w:val="0"/>
        <w:autoSpaceDE/>
        <w:bidi w:val="0"/>
        <w:adjustRightInd/>
        <w:snapToGrid/>
        <w:spacing w:line="360" w:lineRule="auto"/>
        <w:ind w:firstLine="480" w:firstLineChars="200"/>
        <w:textAlignment w:val="auto"/>
        <w:rPr>
          <w:rFonts w:eastAsiaTheme="minorEastAsia"/>
          <w:i/>
          <w:color w:val="auto"/>
          <w:sz w:val="24"/>
        </w:rPr>
      </w:pPr>
      <w:r>
        <w:rPr>
          <w:rFonts w:ascii="宋体" w:hAnsi="宋体"/>
          <w:color w:val="auto"/>
          <w:kern w:val="0"/>
          <w:sz w:val="24"/>
          <w:shd w:val="clear" w:color="auto" w:fill="FFFFFF"/>
        </w:rPr>
        <w:t>该方向旨在培养了解公共部门人力资源开发与管理的理论、掌握公共部门人力资源开发与管理的方法的专业性人才。</w:t>
      </w:r>
      <w:r>
        <w:rPr>
          <w:rFonts w:hint="eastAsia" w:ascii="宋体" w:hAnsi="宋体"/>
          <w:color w:val="auto"/>
          <w:kern w:val="0"/>
          <w:sz w:val="24"/>
          <w:shd w:val="clear" w:color="auto" w:fill="FFFFFF"/>
        </w:rPr>
        <w:t>研究领域：社会保障理论、精准扶贫、社会福利。研究特色：运用社会调查方法对农村养老保险长期进行跟踪研究，完成系列咨询报告；通过实地调研，对精准扶贫的效果和退出机制进行研究；通过模型测算农村转移劳动力市民化成本分担。优势：高水平的研究团队。有国家级教学团队和省重点研究基地，团队成员均为博士</w:t>
      </w:r>
      <w:r>
        <w:rPr>
          <w:rFonts w:hint="eastAsia" w:ascii="宋体" w:hAnsi="宋体"/>
          <w:color w:val="auto"/>
          <w:kern w:val="0"/>
          <w:sz w:val="24"/>
          <w:shd w:val="clear" w:color="auto" w:fill="FFFFFF"/>
          <w:lang w:eastAsia="zh-CN"/>
        </w:rPr>
        <w:t>。</w:t>
      </w:r>
    </w:p>
    <w:p w14:paraId="212ED5F4">
      <w:pPr>
        <w:spacing w:line="360" w:lineRule="auto"/>
        <w:ind w:firstLine="560" w:firstLineChars="200"/>
        <w:rPr>
          <w:rFonts w:eastAsia="黑体"/>
          <w:bCs/>
          <w:color w:val="auto"/>
          <w:sz w:val="28"/>
          <w:szCs w:val="28"/>
        </w:rPr>
      </w:pPr>
      <w:r>
        <w:rPr>
          <w:rFonts w:eastAsia="黑体"/>
          <w:bCs/>
          <w:color w:val="auto"/>
          <w:sz w:val="28"/>
          <w:szCs w:val="28"/>
        </w:rPr>
        <w:t>四、学制及学习年限</w:t>
      </w:r>
    </w:p>
    <w:p w14:paraId="5D639CC6">
      <w:pPr>
        <w:spacing w:line="360" w:lineRule="auto"/>
        <w:ind w:firstLine="480" w:firstLineChars="200"/>
        <w:rPr>
          <w:rFonts w:eastAsiaTheme="minorEastAsia"/>
          <w:i/>
          <w:color w:val="auto"/>
          <w:sz w:val="24"/>
        </w:rPr>
      </w:pPr>
      <w:r>
        <w:rPr>
          <w:rFonts w:eastAsiaTheme="minorEastAsia"/>
          <w:color w:val="auto"/>
          <w:sz w:val="24"/>
        </w:rPr>
        <w:t>本专业学制为3年，在校最长学习年限（含休学）不超过6年。</w:t>
      </w:r>
    </w:p>
    <w:p w14:paraId="2E4CDC11">
      <w:pPr>
        <w:spacing w:line="360" w:lineRule="auto"/>
        <w:ind w:firstLine="560" w:firstLineChars="200"/>
        <w:rPr>
          <w:rFonts w:eastAsia="黑体"/>
          <w:bCs/>
          <w:color w:val="auto"/>
          <w:sz w:val="28"/>
          <w:szCs w:val="28"/>
        </w:rPr>
      </w:pPr>
      <w:r>
        <w:rPr>
          <w:rFonts w:eastAsia="黑体"/>
          <w:bCs/>
          <w:color w:val="auto"/>
          <w:sz w:val="28"/>
          <w:szCs w:val="28"/>
        </w:rPr>
        <w:t>五、培养目标</w:t>
      </w:r>
    </w:p>
    <w:p w14:paraId="16384BDC">
      <w:pPr>
        <w:spacing w:line="360" w:lineRule="auto"/>
        <w:ind w:firstLine="480" w:firstLineChars="200"/>
        <w:rPr>
          <w:rFonts w:ascii="宋体" w:hAnsi="宋体"/>
          <w:color w:val="auto"/>
          <w:sz w:val="24"/>
        </w:rPr>
      </w:pPr>
      <w:r>
        <w:rPr>
          <w:rFonts w:hint="eastAsia" w:ascii="宋体" w:hAnsi="宋体"/>
          <w:color w:val="auto"/>
          <w:sz w:val="24"/>
        </w:rPr>
        <w:t>培养具备良好的政治思想素质和职业道德素养，掌握系统的公共管理理论、知识和方法，具备从事公共管理与公共政策分析的能力，能够综合运用管理、政治、经济、法律、现代科技等方面知识和科学研究方法解决公共管理实际问题的德才兼备的高层次、应用型、复合型公共管理专门人才。</w:t>
      </w:r>
    </w:p>
    <w:p w14:paraId="50D67CEB">
      <w:pPr>
        <w:spacing w:line="360" w:lineRule="auto"/>
        <w:ind w:firstLine="480" w:firstLineChars="200"/>
        <w:rPr>
          <w:rFonts w:ascii="宋体" w:hAnsi="宋体"/>
          <w:color w:val="auto"/>
          <w:sz w:val="24"/>
        </w:rPr>
      </w:pPr>
      <w:r>
        <w:rPr>
          <w:rFonts w:hint="eastAsia" w:ascii="宋体" w:hAnsi="宋体"/>
          <w:color w:val="auto"/>
          <w:sz w:val="24"/>
        </w:rPr>
        <w:t>1.全面、准确地掌握马克思主义的基本理论，拥护中国共产党的领导，拥护社会主义的制度，热爱祖国，遵纪守法，品行端正。</w:t>
      </w:r>
    </w:p>
    <w:p w14:paraId="04655FFE">
      <w:pPr>
        <w:spacing w:line="360" w:lineRule="auto"/>
        <w:ind w:firstLine="480" w:firstLineChars="200"/>
        <w:rPr>
          <w:rFonts w:ascii="宋体" w:hAnsi="宋体"/>
          <w:color w:val="auto"/>
          <w:sz w:val="24"/>
        </w:rPr>
      </w:pPr>
      <w:r>
        <w:rPr>
          <w:rFonts w:hint="eastAsia" w:ascii="宋体" w:hAnsi="宋体"/>
          <w:color w:val="auto"/>
          <w:sz w:val="24"/>
        </w:rPr>
        <w:t>2.在公共管理学科掌握坚实的理论基础和系统的专门知识；具有从事科学研究工作或独立担负专门技术工作的能力。</w:t>
      </w:r>
    </w:p>
    <w:p w14:paraId="073E841D">
      <w:pPr>
        <w:spacing w:line="360" w:lineRule="auto"/>
        <w:ind w:firstLine="480" w:firstLineChars="200"/>
        <w:rPr>
          <w:rFonts w:hint="eastAsia" w:ascii="宋体" w:hAnsi="宋体"/>
          <w:color w:val="auto"/>
          <w:sz w:val="24"/>
        </w:rPr>
      </w:pPr>
      <w:r>
        <w:rPr>
          <w:rFonts w:hint="eastAsia" w:ascii="宋体" w:hAnsi="宋体"/>
          <w:color w:val="auto"/>
          <w:sz w:val="24"/>
        </w:rPr>
        <w:t>3.掌握一门外国语。要求能较熟练地阅读本专业的外文资料，具有一定的写译能力和基本的听、说能力。</w:t>
      </w:r>
    </w:p>
    <w:p w14:paraId="68F6B78C">
      <w:pPr>
        <w:spacing w:line="360" w:lineRule="auto"/>
        <w:ind w:firstLine="480" w:firstLineChars="200"/>
        <w:rPr>
          <w:rFonts w:hint="eastAsia" w:ascii="宋体" w:hAnsi="宋体"/>
          <w:color w:val="auto"/>
          <w:sz w:val="24"/>
        </w:rPr>
      </w:pPr>
      <w:r>
        <w:rPr>
          <w:rFonts w:hint="eastAsia" w:ascii="宋体" w:hAnsi="宋体"/>
          <w:color w:val="auto"/>
          <w:sz w:val="24"/>
        </w:rPr>
        <w:t>4.具有良好的团队意识和团队合作精神。</w:t>
      </w:r>
    </w:p>
    <w:p w14:paraId="516D1C14">
      <w:pPr>
        <w:spacing w:line="360" w:lineRule="auto"/>
        <w:ind w:firstLine="480" w:firstLineChars="200"/>
        <w:rPr>
          <w:rFonts w:hint="eastAsia" w:ascii="宋体" w:hAnsi="宋体"/>
          <w:color w:val="auto"/>
          <w:sz w:val="24"/>
        </w:rPr>
      </w:pPr>
      <w:r>
        <w:rPr>
          <w:rFonts w:hint="eastAsia" w:ascii="宋体" w:hAnsi="宋体"/>
          <w:color w:val="auto"/>
          <w:sz w:val="24"/>
        </w:rPr>
        <w:t>5.具有良好的心理素养。</w:t>
      </w:r>
    </w:p>
    <w:p w14:paraId="37051214">
      <w:pPr>
        <w:spacing w:line="360" w:lineRule="auto"/>
        <w:ind w:firstLine="480" w:firstLineChars="200"/>
        <w:rPr>
          <w:rFonts w:hint="eastAsia" w:ascii="宋体" w:hAnsi="宋体"/>
          <w:color w:val="auto"/>
          <w:sz w:val="24"/>
        </w:rPr>
      </w:pPr>
      <w:r>
        <w:rPr>
          <w:rFonts w:hint="eastAsia" w:ascii="宋体" w:hAnsi="宋体"/>
          <w:color w:val="auto"/>
          <w:sz w:val="24"/>
        </w:rPr>
        <w:t>6.培养德智体美劳全面发展的社会主义事业接班人。</w:t>
      </w:r>
    </w:p>
    <w:p w14:paraId="2E0696D1">
      <w:pPr>
        <w:spacing w:line="360" w:lineRule="auto"/>
        <w:ind w:firstLine="560" w:firstLineChars="200"/>
        <w:rPr>
          <w:rFonts w:eastAsia="黑体"/>
          <w:bCs/>
          <w:color w:val="auto"/>
          <w:sz w:val="28"/>
          <w:szCs w:val="28"/>
        </w:rPr>
      </w:pPr>
      <w:r>
        <w:rPr>
          <w:rFonts w:eastAsia="黑体"/>
          <w:bCs/>
          <w:color w:val="auto"/>
          <w:sz w:val="28"/>
          <w:szCs w:val="28"/>
        </w:rPr>
        <w:t>六、培养方式</w:t>
      </w:r>
    </w:p>
    <w:p w14:paraId="64194252">
      <w:pPr>
        <w:spacing w:line="360" w:lineRule="auto"/>
        <w:ind w:firstLine="480" w:firstLineChars="200"/>
        <w:rPr>
          <w:rFonts w:hint="eastAsia" w:asciiTheme="minorEastAsia" w:hAnsiTheme="minorEastAsia" w:eastAsiaTheme="minorEastAsia"/>
          <w:bCs/>
          <w:i w:val="0"/>
          <w:iCs/>
          <w:color w:val="auto"/>
          <w:sz w:val="24"/>
          <w:lang w:val="en-US" w:eastAsia="zh-CN"/>
        </w:rPr>
      </w:pPr>
      <w:r>
        <w:rPr>
          <w:rFonts w:hint="eastAsia" w:asciiTheme="minorEastAsia" w:hAnsiTheme="minorEastAsia" w:eastAsiaTheme="minorEastAsia"/>
          <w:bCs/>
          <w:i w:val="0"/>
          <w:iCs/>
          <w:color w:val="auto"/>
          <w:sz w:val="24"/>
          <w:lang w:val="en-US" w:eastAsia="zh-CN"/>
        </w:rPr>
        <w:t>非全日制</w:t>
      </w:r>
    </w:p>
    <w:p w14:paraId="160ADC21">
      <w:pPr>
        <w:spacing w:line="360" w:lineRule="auto"/>
        <w:ind w:firstLine="560" w:firstLineChars="200"/>
        <w:rPr>
          <w:rFonts w:eastAsia="黑体"/>
          <w:bCs/>
          <w:color w:val="auto"/>
          <w:sz w:val="28"/>
          <w:szCs w:val="28"/>
        </w:rPr>
      </w:pPr>
      <w:r>
        <w:rPr>
          <w:rFonts w:hint="eastAsia" w:eastAsia="黑体"/>
          <w:bCs/>
          <w:color w:val="auto"/>
          <w:sz w:val="28"/>
          <w:szCs w:val="28"/>
        </w:rPr>
        <w:t>七、</w:t>
      </w:r>
      <w:r>
        <w:rPr>
          <w:rFonts w:eastAsia="黑体"/>
          <w:bCs/>
          <w:color w:val="auto"/>
          <w:sz w:val="28"/>
          <w:szCs w:val="28"/>
        </w:rPr>
        <w:t>中期筛选</w:t>
      </w:r>
    </w:p>
    <w:p w14:paraId="636E43F4">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p>
    <w:p w14:paraId="749F058B">
      <w:pPr>
        <w:spacing w:line="360" w:lineRule="auto"/>
        <w:ind w:firstLine="560" w:firstLineChars="200"/>
        <w:rPr>
          <w:rFonts w:eastAsia="黑体"/>
          <w:bCs/>
          <w:color w:val="auto"/>
          <w:sz w:val="28"/>
          <w:szCs w:val="28"/>
        </w:rPr>
      </w:pPr>
      <w:r>
        <w:rPr>
          <w:rFonts w:hint="eastAsia" w:eastAsia="黑体"/>
          <w:bCs/>
          <w:color w:val="auto"/>
          <w:sz w:val="28"/>
          <w:szCs w:val="28"/>
        </w:rPr>
        <w:t>八</w:t>
      </w:r>
      <w:r>
        <w:rPr>
          <w:rFonts w:eastAsia="黑体"/>
          <w:bCs/>
          <w:color w:val="auto"/>
          <w:sz w:val="28"/>
          <w:szCs w:val="28"/>
        </w:rPr>
        <w:t>、学位（毕业）论文</w:t>
      </w:r>
    </w:p>
    <w:p w14:paraId="677EFF1A">
      <w:pPr>
        <w:widowControl/>
        <w:spacing w:line="360" w:lineRule="auto"/>
        <w:ind w:firstLine="480"/>
        <w:jc w:val="left"/>
        <w:rPr>
          <w:i w:val="0"/>
          <w:iCs/>
          <w:color w:val="auto"/>
          <w:kern w:val="0"/>
          <w:sz w:val="18"/>
          <w:szCs w:val="18"/>
        </w:rPr>
      </w:pPr>
      <w:r>
        <w:rPr>
          <w:bCs/>
          <w:color w:val="auto"/>
          <w:kern w:val="0"/>
          <w:sz w:val="24"/>
        </w:rPr>
        <w:t>1.总体要求：</w:t>
      </w:r>
      <w:r>
        <w:rPr>
          <w:color w:val="auto"/>
          <w:kern w:val="0"/>
          <w:sz w:val="24"/>
        </w:rPr>
        <w:t>按照《河北大学关于开展2025版研究生培养方案修订工作的指导意见》（校政字</w:t>
      </w:r>
      <w:r>
        <w:rPr>
          <w:rFonts w:eastAsiaTheme="minorEastAsia"/>
          <w:bCs/>
          <w:color w:val="auto"/>
          <w:sz w:val="24"/>
        </w:rPr>
        <w:t>〔2025〕</w:t>
      </w:r>
      <w:r>
        <w:rPr>
          <w:rFonts w:hint="eastAsia" w:eastAsiaTheme="minorEastAsia"/>
          <w:bCs/>
          <w:color w:val="auto"/>
          <w:sz w:val="24"/>
          <w:lang w:val="en-US" w:eastAsia="zh-CN"/>
        </w:rPr>
        <w:t>9</w:t>
      </w:r>
      <w:r>
        <w:rPr>
          <w:rFonts w:eastAsiaTheme="minorEastAsia"/>
          <w:bCs/>
          <w:color w:val="auto"/>
          <w:sz w:val="24"/>
        </w:rPr>
        <w:t>号</w:t>
      </w:r>
      <w:r>
        <w:rPr>
          <w:color w:val="auto"/>
          <w:kern w:val="0"/>
          <w:sz w:val="24"/>
        </w:rPr>
        <w:t>）规定，硕士研究生论文开题与答辩时间间隔原则上不少于12个月。</w:t>
      </w:r>
      <w:r>
        <w:rPr>
          <w:i w:val="0"/>
          <w:iCs/>
          <w:color w:val="auto"/>
          <w:kern w:val="0"/>
          <w:sz w:val="24"/>
        </w:rPr>
        <w:t>学位（毕业）论文应当表明作者具有独立从事学术研究工作的能力，鼓励硕士研究生参与科学研究，取得创新性成果</w:t>
      </w:r>
    </w:p>
    <w:p w14:paraId="1A2117B1">
      <w:pPr>
        <w:widowControl/>
        <w:spacing w:line="360" w:lineRule="auto"/>
        <w:ind w:firstLine="480"/>
        <w:jc w:val="left"/>
        <w:rPr>
          <w:i w:val="0"/>
          <w:iCs/>
          <w:color w:val="auto"/>
          <w:kern w:val="0"/>
          <w:sz w:val="18"/>
          <w:szCs w:val="18"/>
        </w:rPr>
      </w:pPr>
      <w:r>
        <w:rPr>
          <w:bCs/>
          <w:i w:val="0"/>
          <w:iCs/>
          <w:color w:val="auto"/>
          <w:kern w:val="0"/>
          <w:sz w:val="24"/>
        </w:rPr>
        <w:t>2.开题：</w:t>
      </w:r>
      <w:r>
        <w:rPr>
          <w:i w:val="0"/>
          <w:iCs/>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01D48B79">
      <w:pPr>
        <w:widowControl/>
        <w:spacing w:line="360" w:lineRule="auto"/>
        <w:ind w:firstLine="480"/>
        <w:jc w:val="left"/>
        <w:rPr>
          <w:i w:val="0"/>
          <w:iCs/>
          <w:color w:val="auto"/>
          <w:kern w:val="0"/>
          <w:sz w:val="24"/>
        </w:rPr>
      </w:pPr>
      <w:r>
        <w:rPr>
          <w:bCs/>
          <w:i w:val="0"/>
          <w:iCs/>
          <w:color w:val="auto"/>
          <w:kern w:val="0"/>
          <w:sz w:val="24"/>
        </w:rPr>
        <w:t>3.中期进展报告：</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41D2B5B">
      <w:pPr>
        <w:widowControl/>
        <w:spacing w:line="360" w:lineRule="auto"/>
        <w:ind w:firstLine="480"/>
        <w:jc w:val="left"/>
        <w:rPr>
          <w:i w:val="0"/>
          <w:iCs/>
          <w:color w:val="auto"/>
          <w:kern w:val="0"/>
          <w:sz w:val="24"/>
        </w:rPr>
      </w:pPr>
      <w:r>
        <w:rPr>
          <w:bCs/>
          <w:i w:val="0"/>
          <w:iCs/>
          <w:color w:val="auto"/>
          <w:kern w:val="0"/>
          <w:sz w:val="24"/>
        </w:rPr>
        <w:t>4.学位申请：</w:t>
      </w:r>
      <w:r>
        <w:rPr>
          <w:i w:val="0"/>
          <w:iCs/>
          <w:color w:val="auto"/>
          <w:kern w:val="0"/>
          <w:sz w:val="24"/>
        </w:rPr>
        <w:t>达到学位授予条件的申请人，经导师同意后，应于答辩前三个月，向所属学位评定分委员会提出学位申请，提交学位申请材料。</w:t>
      </w:r>
    </w:p>
    <w:p w14:paraId="2AF26B93">
      <w:pPr>
        <w:widowControl/>
        <w:spacing w:line="360" w:lineRule="auto"/>
        <w:ind w:firstLine="480"/>
        <w:jc w:val="left"/>
        <w:rPr>
          <w:i w:val="0"/>
          <w:iCs/>
          <w:color w:val="auto"/>
          <w:kern w:val="0"/>
          <w:sz w:val="24"/>
        </w:rPr>
      </w:pPr>
      <w:r>
        <w:rPr>
          <w:bCs/>
          <w:i w:val="0"/>
          <w:iCs/>
          <w:color w:val="auto"/>
          <w:kern w:val="0"/>
          <w:sz w:val="24"/>
        </w:rPr>
        <w:t>5.预答辩：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746DF982">
      <w:pPr>
        <w:widowControl/>
        <w:spacing w:line="360" w:lineRule="auto"/>
        <w:ind w:firstLine="480"/>
        <w:jc w:val="left"/>
        <w:rPr>
          <w:i w:val="0"/>
          <w:iCs/>
          <w:color w:val="auto"/>
          <w:kern w:val="0"/>
          <w:sz w:val="24"/>
        </w:rPr>
      </w:pPr>
      <w:r>
        <w:rPr>
          <w:bCs/>
          <w:i w:val="0"/>
          <w:iCs/>
          <w:color w:val="auto"/>
          <w:kern w:val="0"/>
          <w:sz w:val="24"/>
        </w:rPr>
        <w:t>6.论文评阅：</w:t>
      </w:r>
      <w:r>
        <w:rPr>
          <w:i w:val="0"/>
          <w:iCs/>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8A42592">
      <w:pPr>
        <w:widowControl/>
        <w:spacing w:line="360" w:lineRule="auto"/>
        <w:ind w:firstLine="480"/>
        <w:jc w:val="left"/>
        <w:rPr>
          <w:rFonts w:eastAsiaTheme="minorEastAsia"/>
          <w:i w:val="0"/>
          <w:iCs/>
          <w:color w:val="auto"/>
          <w:sz w:val="24"/>
        </w:rPr>
      </w:pPr>
      <w:r>
        <w:rPr>
          <w:b w:val="0"/>
          <w:bCs w:val="0"/>
          <w:i w:val="0"/>
          <w:iCs/>
          <w:color w:val="auto"/>
          <w:kern w:val="0"/>
          <w:sz w:val="24"/>
        </w:rPr>
        <w:t>7.答辩：</w:t>
      </w:r>
      <w:r>
        <w:rPr>
          <w:bCs/>
          <w:i w:val="0"/>
          <w:iCs/>
          <w:color w:val="auto"/>
          <w:kern w:val="0"/>
          <w:sz w:val="24"/>
        </w:rPr>
        <w:t>学位（毕业）论文答辩按照</w:t>
      </w:r>
      <w:r>
        <w:rPr>
          <w:i w:val="0"/>
          <w:iCs/>
          <w:color w:val="auto"/>
          <w:kern w:val="0"/>
          <w:sz w:val="24"/>
        </w:rPr>
        <w:t>《河北大学博士、硕士学位授予工作实施细则》（校政字〔2025〕7号）执行。</w:t>
      </w:r>
    </w:p>
    <w:p w14:paraId="3065AD2C">
      <w:pPr>
        <w:spacing w:line="360" w:lineRule="auto"/>
        <w:ind w:firstLine="560" w:firstLineChars="200"/>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55CC92F2">
      <w:pPr>
        <w:spacing w:line="360" w:lineRule="auto"/>
        <w:ind w:firstLine="480" w:firstLineChars="200"/>
        <w:rPr>
          <w:rFonts w:eastAsiaTheme="minorEastAsia"/>
          <w:bCs/>
          <w:color w:val="auto"/>
          <w:sz w:val="24"/>
        </w:rPr>
      </w:pPr>
      <w:r>
        <w:rPr>
          <w:rFonts w:eastAsiaTheme="minorEastAsia"/>
          <w:bCs/>
          <w:color w:val="auto"/>
          <w:sz w:val="24"/>
        </w:rPr>
        <w:t>1.课程学习。研究生在规定修业年限内完成培养方案规定的课程学习，考核成绩合格，获得规定的学分。</w:t>
      </w:r>
    </w:p>
    <w:p w14:paraId="2B011D02">
      <w:pPr>
        <w:spacing w:line="360" w:lineRule="auto"/>
        <w:ind w:firstLine="480" w:firstLineChars="200"/>
        <w:rPr>
          <w:rFonts w:eastAsiaTheme="minorEastAsia"/>
          <w:bCs/>
          <w:color w:val="auto"/>
          <w:sz w:val="24"/>
          <w:szCs w:val="22"/>
        </w:rPr>
      </w:pPr>
      <w:r>
        <w:rPr>
          <w:rFonts w:eastAsiaTheme="minorEastAsia"/>
          <w:bCs/>
          <w:color w:val="auto"/>
          <w:sz w:val="24"/>
        </w:rPr>
        <w:t>2.</w:t>
      </w:r>
      <w:r>
        <w:rPr>
          <w:bCs/>
          <w:color w:val="auto"/>
          <w:sz w:val="24"/>
        </w:rPr>
        <w:t>学术/实践活动。研究生在读期间至少需要完成两类活动中的一类：</w:t>
      </w:r>
    </w:p>
    <w:p w14:paraId="66AA9B71">
      <w:pPr>
        <w:spacing w:line="360" w:lineRule="auto"/>
        <w:ind w:firstLine="480" w:firstLineChars="200"/>
        <w:rPr>
          <w:bCs/>
          <w:color w:val="auto"/>
          <w:kern w:val="0"/>
          <w:sz w:val="24"/>
        </w:rPr>
      </w:pPr>
      <w:r>
        <w:rPr>
          <w:bCs/>
          <w:color w:val="auto"/>
          <w:kern w:val="0"/>
          <w:sz w:val="24"/>
        </w:rPr>
        <w:t>（1）学术活动：研究生在读期间参加不少于</w:t>
      </w:r>
      <w:r>
        <w:rPr>
          <w:bCs/>
          <w:i/>
          <w:color w:val="auto"/>
          <w:kern w:val="0"/>
          <w:sz w:val="24"/>
        </w:rPr>
        <w:t>10</w:t>
      </w:r>
      <w:r>
        <w:rPr>
          <w:bCs/>
          <w:color w:val="auto"/>
          <w:kern w:val="0"/>
          <w:sz w:val="24"/>
        </w:rPr>
        <w:t>次学术活动，并撰写学术报告小结；以主讲人或宣讲人身份，参加在校内外举行的学术报告或学术讲座不少于</w:t>
      </w:r>
      <w:r>
        <w:rPr>
          <w:bCs/>
          <w:i/>
          <w:color w:val="auto"/>
          <w:kern w:val="0"/>
          <w:sz w:val="24"/>
        </w:rPr>
        <w:t>1</w:t>
      </w:r>
      <w:r>
        <w:rPr>
          <w:bCs/>
          <w:color w:val="auto"/>
          <w:kern w:val="0"/>
          <w:sz w:val="24"/>
        </w:rPr>
        <w:t>次。</w:t>
      </w:r>
    </w:p>
    <w:p w14:paraId="24301B92">
      <w:pPr>
        <w:spacing w:line="360" w:lineRule="auto"/>
        <w:ind w:firstLine="480" w:firstLineChars="200"/>
        <w:rPr>
          <w:rFonts w:eastAsiaTheme="minorEastAsia"/>
          <w:i/>
          <w:color w:val="auto"/>
          <w:sz w:val="24"/>
        </w:rPr>
      </w:pPr>
      <w:r>
        <w:rPr>
          <w:bCs/>
          <w:color w:val="auto"/>
          <w:kern w:val="0"/>
          <w:sz w:val="24"/>
        </w:rPr>
        <w:t>（2）实践活动：参与本专业相关的社会实践，由相关单位出具相关实践证明材料；或组织开展与本专业相关的调查、考察等活动，并提交相关报告。</w:t>
      </w:r>
    </w:p>
    <w:p w14:paraId="3F5797D2">
      <w:pPr>
        <w:spacing w:line="360" w:lineRule="auto"/>
        <w:ind w:firstLine="480" w:firstLineChars="200"/>
        <w:rPr>
          <w:rFonts w:eastAsiaTheme="minorEastAsia"/>
          <w:bCs/>
          <w:color w:val="auto"/>
          <w:sz w:val="24"/>
        </w:rPr>
      </w:pPr>
      <w:r>
        <w:rPr>
          <w:rFonts w:eastAsiaTheme="minorEastAsia"/>
          <w:color w:val="auto"/>
          <w:sz w:val="24"/>
        </w:rPr>
        <w:t>3.符合提前毕业条件的研究生，可按照学校相关规定</w:t>
      </w:r>
      <w:r>
        <w:rPr>
          <w:rFonts w:eastAsiaTheme="minorEastAsia"/>
          <w:bCs/>
          <w:color w:val="auto"/>
          <w:sz w:val="24"/>
        </w:rPr>
        <w:t>申请</w:t>
      </w:r>
      <w:r>
        <w:rPr>
          <w:rFonts w:eastAsiaTheme="minorEastAsia"/>
          <w:color w:val="auto"/>
          <w:sz w:val="24"/>
        </w:rPr>
        <w:t>提前毕业。</w:t>
      </w:r>
    </w:p>
    <w:p w14:paraId="21B21BC0">
      <w:pPr>
        <w:spacing w:line="360" w:lineRule="auto"/>
        <w:ind w:firstLine="480" w:firstLineChars="200"/>
        <w:rPr>
          <w:rFonts w:eastAsiaTheme="minorEastAsia"/>
          <w:bCs/>
          <w:color w:val="auto"/>
          <w:sz w:val="24"/>
        </w:rPr>
      </w:pPr>
      <w:r>
        <w:rPr>
          <w:rFonts w:eastAsiaTheme="minorEastAsia"/>
          <w:bCs/>
          <w:color w:val="auto"/>
          <w:sz w:val="24"/>
        </w:rPr>
        <w:t>4.论文答辩。学位（毕业）论文经专家评审合格、通过学位（毕业）答辩，符合毕业资格审查后，准予毕业。</w:t>
      </w:r>
    </w:p>
    <w:p w14:paraId="02A212F4">
      <w:pPr>
        <w:spacing w:line="360" w:lineRule="auto"/>
        <w:ind w:firstLine="560" w:firstLineChars="200"/>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2FC0B100">
      <w:pPr>
        <w:spacing w:line="360" w:lineRule="auto"/>
        <w:ind w:firstLine="480" w:firstLineChars="200"/>
        <w:rPr>
          <w:rFonts w:hint="default" w:eastAsiaTheme="minorEastAsia"/>
          <w:i w:val="0"/>
          <w:iCs/>
          <w:color w:val="auto"/>
          <w:sz w:val="24"/>
          <w:lang w:val="en-US" w:eastAsia="zh-CN"/>
        </w:rPr>
      </w:pPr>
      <w:r>
        <w:rPr>
          <w:rFonts w:hint="eastAsia" w:eastAsiaTheme="minorEastAsia"/>
          <w:i w:val="0"/>
          <w:iCs/>
          <w:color w:val="auto"/>
          <w:sz w:val="24"/>
          <w:lang w:val="en-US" w:eastAsia="zh-CN"/>
        </w:rPr>
        <w:t>鼓励学生参与科研项目、申请研究生创新创业项目、发表专业论文、参与学科竞赛或者教指委组织的案例大赛。</w:t>
      </w:r>
    </w:p>
    <w:p w14:paraId="7D3EB257">
      <w:pPr>
        <w:spacing w:line="360" w:lineRule="auto"/>
        <w:ind w:firstLine="560" w:firstLineChars="200"/>
        <w:rPr>
          <w:rFonts w:eastAsia="黑体"/>
          <w:bCs/>
          <w:color w:val="auto"/>
          <w:sz w:val="28"/>
          <w:szCs w:val="28"/>
        </w:rPr>
      </w:pPr>
      <w:r>
        <w:rPr>
          <w:rFonts w:eastAsia="黑体"/>
          <w:bCs/>
          <w:color w:val="auto"/>
          <w:sz w:val="28"/>
          <w:szCs w:val="28"/>
        </w:rPr>
        <w:t>十一、学位授予</w:t>
      </w:r>
    </w:p>
    <w:p w14:paraId="66563DCA">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rFonts w:hint="eastAsia"/>
          <w:i w:val="0"/>
          <w:iCs/>
          <w:color w:val="auto"/>
          <w:kern w:val="0"/>
          <w:sz w:val="24"/>
          <w:lang w:val="en-US" w:eastAsia="zh-CN"/>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5BD99B64">
      <w:pPr>
        <w:spacing w:line="360" w:lineRule="auto"/>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二</w:t>
      </w:r>
      <w:r>
        <w:rPr>
          <w:rFonts w:eastAsia="黑体"/>
          <w:bCs/>
          <w:color w:val="auto"/>
          <w:sz w:val="28"/>
          <w:szCs w:val="28"/>
        </w:rPr>
        <w:t>、学分及课程设置</w:t>
      </w:r>
    </w:p>
    <w:p w14:paraId="4C8E6A7A">
      <w:pPr>
        <w:spacing w:line="360" w:lineRule="auto"/>
        <w:ind w:firstLine="480" w:firstLineChars="200"/>
        <w:rPr>
          <w:rFonts w:eastAsiaTheme="minorEastAsia"/>
          <w:color w:val="auto"/>
          <w:sz w:val="24"/>
        </w:rPr>
      </w:pPr>
      <w:r>
        <w:rPr>
          <w:rFonts w:hint="eastAsia" w:eastAsiaTheme="minorEastAsia"/>
          <w:color w:val="auto"/>
          <w:sz w:val="24"/>
        </w:rPr>
        <w:t>课程设置突出理论与实践相结合的原则，分为核心课、专业方向必修课、选修课和社会实践四方面基本模块。其中，</w:t>
      </w:r>
      <w:r>
        <w:rPr>
          <w:rFonts w:hint="eastAsia" w:eastAsiaTheme="minorEastAsia"/>
          <w:color w:val="auto"/>
          <w:sz w:val="24"/>
          <w:lang w:val="en-US" w:eastAsia="zh-CN"/>
        </w:rPr>
        <w:t>学位课</w:t>
      </w:r>
      <w:r>
        <w:rPr>
          <w:rFonts w:hint="eastAsia" w:eastAsiaTheme="minorEastAsia"/>
          <w:color w:val="auto"/>
          <w:sz w:val="24"/>
        </w:rPr>
        <w:t>不少于</w:t>
      </w:r>
      <w:r>
        <w:rPr>
          <w:rFonts w:hint="eastAsia" w:eastAsiaTheme="minorEastAsia"/>
          <w:color w:val="auto"/>
          <w:sz w:val="24"/>
          <w:lang w:val="en-US" w:eastAsia="zh-CN"/>
        </w:rPr>
        <w:t>26</w:t>
      </w:r>
      <w:r>
        <w:rPr>
          <w:rFonts w:hint="eastAsia" w:eastAsiaTheme="minorEastAsia"/>
          <w:color w:val="auto"/>
          <w:sz w:val="24"/>
        </w:rPr>
        <w:t>学分，</w:t>
      </w:r>
      <w:r>
        <w:rPr>
          <w:rFonts w:hint="eastAsia" w:eastAsiaTheme="minorEastAsia"/>
          <w:color w:val="auto"/>
          <w:sz w:val="24"/>
          <w:lang w:val="en-US" w:eastAsia="zh-CN"/>
        </w:rPr>
        <w:t>非学位课</w:t>
      </w:r>
      <w:r>
        <w:rPr>
          <w:rFonts w:hint="eastAsia" w:eastAsiaTheme="minorEastAsia"/>
          <w:color w:val="auto"/>
          <w:sz w:val="24"/>
        </w:rPr>
        <w:t>不少于8学分，社会实践为2学分。</w:t>
      </w:r>
      <w:r>
        <w:rPr>
          <w:rFonts w:hint="eastAsia" w:eastAsiaTheme="minorEastAsia"/>
          <w:color w:val="auto"/>
          <w:sz w:val="24"/>
          <w:lang w:val="en-US" w:eastAsia="zh-CN"/>
        </w:rPr>
        <w:t>一共修满36学分。</w:t>
      </w:r>
    </w:p>
    <w:p w14:paraId="340C2CD2">
      <w:pPr>
        <w:spacing w:line="360" w:lineRule="auto"/>
        <w:ind w:firstLine="480"/>
        <w:rPr>
          <w:color w:val="auto"/>
          <w:sz w:val="24"/>
        </w:rPr>
      </w:pPr>
      <w:r>
        <w:rPr>
          <w:rFonts w:eastAsiaTheme="minorEastAsia"/>
          <w:color w:val="auto"/>
          <w:sz w:val="24"/>
        </w:rPr>
        <w:t>课程考试不设补考环节，</w:t>
      </w:r>
      <w:r>
        <w:rPr>
          <w:color w:val="auto"/>
          <w:sz w:val="24"/>
        </w:rPr>
        <w:t>考试成绩低于60分的需重修。</w:t>
      </w:r>
    </w:p>
    <w:p w14:paraId="1545E82A">
      <w:pPr>
        <w:spacing w:after="156" w:afterLines="50" w:line="440" w:lineRule="exact"/>
        <w:ind w:firstLine="482" w:firstLineChars="200"/>
        <w:jc w:val="center"/>
        <w:rPr>
          <w:rFonts w:eastAsiaTheme="minorEastAsia"/>
          <w:b/>
          <w:bCs/>
          <w:color w:val="auto"/>
          <w:sz w:val="24"/>
        </w:rPr>
      </w:pPr>
      <w:r>
        <w:rPr>
          <w:rFonts w:hint="eastAsia" w:eastAsiaTheme="minorEastAsia"/>
          <w:b/>
          <w:bCs/>
          <w:color w:val="auto"/>
          <w:sz w:val="24"/>
          <w:lang w:val="en-US" w:eastAsia="zh-CN"/>
        </w:rPr>
        <w:t>公共管理</w:t>
      </w:r>
      <w:r>
        <w:rPr>
          <w:rFonts w:eastAsiaTheme="minorEastAsia"/>
          <w:b/>
          <w:bCs/>
          <w:color w:val="auto"/>
          <w:sz w:val="24"/>
        </w:rPr>
        <w:t>专业非全日制专业学位硕士研究生课程及培养环节设置一览表</w:t>
      </w:r>
    </w:p>
    <w:tbl>
      <w:tblPr>
        <w:tblStyle w:val="2"/>
        <w:tblW w:w="897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162"/>
      </w:tblGrid>
      <w:tr w14:paraId="2CF612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565E158">
            <w:pPr>
              <w:jc w:val="center"/>
              <w:rPr>
                <w:b/>
                <w:color w:val="auto"/>
                <w:szCs w:val="21"/>
              </w:rPr>
            </w:pPr>
            <w:r>
              <w:rPr>
                <w:b/>
                <w:color w:val="auto"/>
                <w:szCs w:val="21"/>
              </w:rPr>
              <w:t>课程类别</w:t>
            </w:r>
          </w:p>
        </w:tc>
        <w:tc>
          <w:tcPr>
            <w:tcW w:w="3516" w:type="dxa"/>
            <w:vAlign w:val="center"/>
          </w:tcPr>
          <w:p w14:paraId="06B9E73A">
            <w:pPr>
              <w:jc w:val="center"/>
              <w:rPr>
                <w:b/>
                <w:color w:val="auto"/>
                <w:szCs w:val="21"/>
              </w:rPr>
            </w:pPr>
            <w:r>
              <w:rPr>
                <w:b/>
                <w:color w:val="auto"/>
                <w:szCs w:val="21"/>
              </w:rPr>
              <w:t>课程说明</w:t>
            </w:r>
          </w:p>
        </w:tc>
        <w:tc>
          <w:tcPr>
            <w:tcW w:w="1081" w:type="dxa"/>
            <w:vAlign w:val="center"/>
          </w:tcPr>
          <w:p w14:paraId="23AF1823">
            <w:pPr>
              <w:jc w:val="center"/>
              <w:rPr>
                <w:b/>
                <w:color w:val="auto"/>
                <w:szCs w:val="21"/>
              </w:rPr>
            </w:pPr>
            <w:r>
              <w:rPr>
                <w:b/>
                <w:color w:val="auto"/>
                <w:szCs w:val="21"/>
              </w:rPr>
              <w:t>课程编号</w:t>
            </w:r>
          </w:p>
        </w:tc>
        <w:tc>
          <w:tcPr>
            <w:tcW w:w="709" w:type="dxa"/>
            <w:vAlign w:val="center"/>
          </w:tcPr>
          <w:p w14:paraId="474E6B5F">
            <w:pPr>
              <w:jc w:val="center"/>
              <w:rPr>
                <w:b/>
                <w:color w:val="auto"/>
                <w:szCs w:val="21"/>
              </w:rPr>
            </w:pPr>
            <w:r>
              <w:rPr>
                <w:b/>
                <w:color w:val="auto"/>
                <w:szCs w:val="21"/>
              </w:rPr>
              <w:t>学分</w:t>
            </w:r>
          </w:p>
        </w:tc>
        <w:tc>
          <w:tcPr>
            <w:tcW w:w="709" w:type="dxa"/>
            <w:vAlign w:val="center"/>
          </w:tcPr>
          <w:p w14:paraId="14FE9F2D">
            <w:pPr>
              <w:jc w:val="center"/>
              <w:rPr>
                <w:b/>
                <w:color w:val="auto"/>
                <w:szCs w:val="21"/>
              </w:rPr>
            </w:pPr>
            <w:r>
              <w:rPr>
                <w:b/>
                <w:color w:val="auto"/>
                <w:szCs w:val="21"/>
              </w:rPr>
              <w:t>学期</w:t>
            </w:r>
          </w:p>
        </w:tc>
        <w:tc>
          <w:tcPr>
            <w:tcW w:w="1162" w:type="dxa"/>
            <w:vAlign w:val="center"/>
          </w:tcPr>
          <w:p w14:paraId="5DFF71C6">
            <w:pPr>
              <w:jc w:val="center"/>
              <w:rPr>
                <w:b/>
                <w:color w:val="auto"/>
                <w:szCs w:val="21"/>
              </w:rPr>
            </w:pPr>
            <w:r>
              <w:rPr>
                <w:b/>
                <w:color w:val="auto"/>
                <w:szCs w:val="21"/>
              </w:rPr>
              <w:t>备注</w:t>
            </w:r>
          </w:p>
        </w:tc>
      </w:tr>
      <w:tr w14:paraId="5C79A5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28863AAF">
            <w:pPr>
              <w:jc w:val="center"/>
              <w:rPr>
                <w:b/>
                <w:color w:val="auto"/>
                <w:sz w:val="18"/>
                <w:szCs w:val="18"/>
              </w:rPr>
            </w:pPr>
            <w:r>
              <w:rPr>
                <w:b/>
                <w:color w:val="auto"/>
                <w:sz w:val="18"/>
                <w:szCs w:val="18"/>
              </w:rPr>
              <w:t>学位课</w:t>
            </w:r>
          </w:p>
        </w:tc>
        <w:tc>
          <w:tcPr>
            <w:tcW w:w="1226" w:type="dxa"/>
            <w:vMerge w:val="restart"/>
            <w:vAlign w:val="center"/>
          </w:tcPr>
          <w:p w14:paraId="77FD7C95">
            <w:pPr>
              <w:jc w:val="center"/>
              <w:rPr>
                <w:b/>
                <w:color w:val="auto"/>
                <w:sz w:val="18"/>
                <w:szCs w:val="18"/>
              </w:rPr>
            </w:pPr>
            <w:r>
              <w:rPr>
                <w:b/>
                <w:color w:val="auto"/>
                <w:sz w:val="18"/>
                <w:szCs w:val="18"/>
              </w:rPr>
              <w:t>公共必修课</w:t>
            </w:r>
          </w:p>
          <w:p w14:paraId="7A3E86AF">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255105BE">
            <w:pPr>
              <w:rPr>
                <w:color w:val="auto"/>
                <w:sz w:val="18"/>
                <w:szCs w:val="18"/>
              </w:rPr>
            </w:pPr>
            <w:r>
              <w:rPr>
                <w:color w:val="auto"/>
                <w:sz w:val="18"/>
                <w:szCs w:val="18"/>
              </w:rPr>
              <w:t>新时代中国特色社会主义理论与实践</w:t>
            </w:r>
          </w:p>
        </w:tc>
        <w:tc>
          <w:tcPr>
            <w:tcW w:w="1081" w:type="dxa"/>
            <w:vAlign w:val="center"/>
          </w:tcPr>
          <w:p w14:paraId="3DB27078">
            <w:pPr>
              <w:jc w:val="center"/>
              <w:rPr>
                <w:color w:val="auto"/>
                <w:sz w:val="18"/>
                <w:szCs w:val="18"/>
              </w:rPr>
            </w:pPr>
            <w:r>
              <w:rPr>
                <w:color w:val="auto"/>
                <w:sz w:val="18"/>
                <w:szCs w:val="18"/>
              </w:rPr>
              <w:t>TS0000001</w:t>
            </w:r>
          </w:p>
        </w:tc>
        <w:tc>
          <w:tcPr>
            <w:tcW w:w="709" w:type="dxa"/>
            <w:vAlign w:val="center"/>
          </w:tcPr>
          <w:p w14:paraId="10A28719">
            <w:pPr>
              <w:jc w:val="center"/>
              <w:rPr>
                <w:color w:val="auto"/>
                <w:sz w:val="18"/>
                <w:szCs w:val="18"/>
              </w:rPr>
            </w:pPr>
            <w:r>
              <w:rPr>
                <w:color w:val="auto"/>
                <w:sz w:val="18"/>
                <w:szCs w:val="18"/>
              </w:rPr>
              <w:t>2</w:t>
            </w:r>
          </w:p>
        </w:tc>
        <w:tc>
          <w:tcPr>
            <w:tcW w:w="709" w:type="dxa"/>
            <w:vAlign w:val="center"/>
          </w:tcPr>
          <w:p w14:paraId="600FD3C1">
            <w:pPr>
              <w:jc w:val="center"/>
              <w:rPr>
                <w:color w:val="auto"/>
                <w:sz w:val="18"/>
                <w:szCs w:val="18"/>
              </w:rPr>
            </w:pPr>
            <w:r>
              <w:rPr>
                <w:color w:val="auto"/>
                <w:sz w:val="18"/>
                <w:szCs w:val="18"/>
              </w:rPr>
              <w:t>1</w:t>
            </w:r>
          </w:p>
        </w:tc>
        <w:tc>
          <w:tcPr>
            <w:tcW w:w="1162" w:type="dxa"/>
            <w:vAlign w:val="center"/>
          </w:tcPr>
          <w:p w14:paraId="3E5055B5">
            <w:pPr>
              <w:jc w:val="center"/>
              <w:rPr>
                <w:color w:val="auto"/>
                <w:sz w:val="18"/>
                <w:szCs w:val="18"/>
              </w:rPr>
            </w:pPr>
            <w:r>
              <w:rPr>
                <w:rFonts w:hint="eastAsia"/>
                <w:color w:val="auto"/>
                <w:sz w:val="18"/>
                <w:szCs w:val="18"/>
              </w:rPr>
              <w:t>考试</w:t>
            </w:r>
          </w:p>
        </w:tc>
      </w:tr>
      <w:tr w14:paraId="22AABF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73D4DAEB">
            <w:pPr>
              <w:jc w:val="center"/>
              <w:rPr>
                <w:b/>
                <w:color w:val="auto"/>
                <w:sz w:val="18"/>
                <w:szCs w:val="18"/>
              </w:rPr>
            </w:pPr>
          </w:p>
        </w:tc>
        <w:tc>
          <w:tcPr>
            <w:tcW w:w="1226" w:type="dxa"/>
            <w:vMerge w:val="continue"/>
            <w:vAlign w:val="center"/>
          </w:tcPr>
          <w:p w14:paraId="61E8CF67">
            <w:pPr>
              <w:jc w:val="center"/>
              <w:rPr>
                <w:b/>
                <w:color w:val="auto"/>
                <w:sz w:val="18"/>
                <w:szCs w:val="18"/>
              </w:rPr>
            </w:pPr>
          </w:p>
        </w:tc>
        <w:tc>
          <w:tcPr>
            <w:tcW w:w="3516" w:type="dxa"/>
            <w:vAlign w:val="center"/>
          </w:tcPr>
          <w:p w14:paraId="6DF6DDE0">
            <w:pPr>
              <w:rPr>
                <w:color w:val="auto"/>
                <w:sz w:val="18"/>
                <w:szCs w:val="18"/>
              </w:rPr>
            </w:pPr>
            <w:r>
              <w:rPr>
                <w:color w:val="auto"/>
                <w:sz w:val="18"/>
                <w:szCs w:val="18"/>
              </w:rPr>
              <w:t>通用学术英语</w:t>
            </w:r>
          </w:p>
        </w:tc>
        <w:tc>
          <w:tcPr>
            <w:tcW w:w="1081" w:type="dxa"/>
            <w:vAlign w:val="center"/>
          </w:tcPr>
          <w:p w14:paraId="2EBC9AC2">
            <w:pPr>
              <w:jc w:val="center"/>
              <w:rPr>
                <w:color w:val="auto"/>
                <w:sz w:val="18"/>
                <w:szCs w:val="18"/>
              </w:rPr>
            </w:pPr>
            <w:r>
              <w:rPr>
                <w:color w:val="auto"/>
                <w:sz w:val="18"/>
                <w:szCs w:val="18"/>
              </w:rPr>
              <w:t>TS0000002</w:t>
            </w:r>
          </w:p>
        </w:tc>
        <w:tc>
          <w:tcPr>
            <w:tcW w:w="709" w:type="dxa"/>
            <w:vAlign w:val="center"/>
          </w:tcPr>
          <w:p w14:paraId="0C5ADCB9">
            <w:pPr>
              <w:jc w:val="center"/>
              <w:rPr>
                <w:color w:val="auto"/>
                <w:sz w:val="18"/>
                <w:szCs w:val="18"/>
              </w:rPr>
            </w:pPr>
            <w:r>
              <w:rPr>
                <w:color w:val="auto"/>
                <w:sz w:val="18"/>
                <w:szCs w:val="18"/>
              </w:rPr>
              <w:t>2</w:t>
            </w:r>
          </w:p>
        </w:tc>
        <w:tc>
          <w:tcPr>
            <w:tcW w:w="709" w:type="dxa"/>
            <w:vAlign w:val="center"/>
          </w:tcPr>
          <w:p w14:paraId="2D950CB6">
            <w:pPr>
              <w:jc w:val="center"/>
              <w:rPr>
                <w:color w:val="auto"/>
                <w:sz w:val="18"/>
                <w:szCs w:val="18"/>
              </w:rPr>
            </w:pPr>
            <w:r>
              <w:rPr>
                <w:color w:val="auto"/>
                <w:sz w:val="18"/>
                <w:szCs w:val="18"/>
              </w:rPr>
              <w:t>1</w:t>
            </w:r>
          </w:p>
        </w:tc>
        <w:tc>
          <w:tcPr>
            <w:tcW w:w="1162" w:type="dxa"/>
            <w:vAlign w:val="center"/>
          </w:tcPr>
          <w:p w14:paraId="791572B9">
            <w:pPr>
              <w:jc w:val="center"/>
              <w:rPr>
                <w:color w:val="auto"/>
                <w:sz w:val="18"/>
                <w:szCs w:val="18"/>
              </w:rPr>
            </w:pPr>
            <w:r>
              <w:rPr>
                <w:rFonts w:hint="eastAsia"/>
                <w:color w:val="auto"/>
                <w:sz w:val="18"/>
                <w:szCs w:val="18"/>
              </w:rPr>
              <w:t>考试</w:t>
            </w:r>
          </w:p>
        </w:tc>
      </w:tr>
      <w:tr w14:paraId="3852F0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1D6072">
            <w:pPr>
              <w:jc w:val="center"/>
              <w:rPr>
                <w:b/>
                <w:color w:val="auto"/>
                <w:sz w:val="18"/>
                <w:szCs w:val="18"/>
              </w:rPr>
            </w:pPr>
          </w:p>
        </w:tc>
        <w:tc>
          <w:tcPr>
            <w:tcW w:w="1226" w:type="dxa"/>
            <w:vMerge w:val="restart"/>
            <w:vAlign w:val="center"/>
          </w:tcPr>
          <w:p w14:paraId="773515BE">
            <w:pPr>
              <w:jc w:val="center"/>
              <w:rPr>
                <w:b/>
                <w:color w:val="auto"/>
                <w:sz w:val="18"/>
                <w:szCs w:val="18"/>
                <w:highlight w:val="none"/>
              </w:rPr>
            </w:pPr>
            <w:r>
              <w:rPr>
                <w:b/>
                <w:color w:val="auto"/>
                <w:sz w:val="18"/>
                <w:szCs w:val="18"/>
                <w:highlight w:val="none"/>
              </w:rPr>
              <w:t>学科基础课</w:t>
            </w:r>
          </w:p>
          <w:p w14:paraId="6EDF25CA">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9</w:t>
            </w:r>
            <w:r>
              <w:rPr>
                <w:b/>
                <w:color w:val="auto"/>
                <w:sz w:val="18"/>
                <w:szCs w:val="18"/>
                <w:highlight w:val="none"/>
              </w:rPr>
              <w:t>学分）</w:t>
            </w:r>
          </w:p>
        </w:tc>
        <w:tc>
          <w:tcPr>
            <w:tcW w:w="3516" w:type="dxa"/>
            <w:vAlign w:val="center"/>
          </w:tcPr>
          <w:p w14:paraId="58D34626">
            <w:pPr>
              <w:rPr>
                <w:color w:val="auto"/>
                <w:sz w:val="18"/>
                <w:szCs w:val="18"/>
              </w:rPr>
            </w:pPr>
            <w:r>
              <w:rPr>
                <w:color w:val="auto"/>
                <w:sz w:val="18"/>
                <w:szCs w:val="18"/>
              </w:rPr>
              <w:t>学术道德与论文写作</w:t>
            </w:r>
          </w:p>
        </w:tc>
        <w:tc>
          <w:tcPr>
            <w:tcW w:w="1081" w:type="dxa"/>
            <w:vAlign w:val="center"/>
          </w:tcPr>
          <w:p w14:paraId="28F98081">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FZ0416001</w:t>
            </w:r>
          </w:p>
        </w:tc>
        <w:tc>
          <w:tcPr>
            <w:tcW w:w="709" w:type="dxa"/>
            <w:vAlign w:val="center"/>
          </w:tcPr>
          <w:p w14:paraId="7046A2B6">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1</w:t>
            </w:r>
          </w:p>
        </w:tc>
        <w:tc>
          <w:tcPr>
            <w:tcW w:w="709" w:type="dxa"/>
            <w:vAlign w:val="center"/>
          </w:tcPr>
          <w:p w14:paraId="61CA1D9D">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1、2、3</w:t>
            </w:r>
          </w:p>
        </w:tc>
        <w:tc>
          <w:tcPr>
            <w:tcW w:w="1162" w:type="dxa"/>
            <w:vAlign w:val="center"/>
          </w:tcPr>
          <w:p w14:paraId="4A600A64">
            <w:pPr>
              <w:jc w:val="center"/>
              <w:rPr>
                <w:rFonts w:hint="default" w:eastAsia="宋体"/>
                <w:i/>
                <w:color w:val="auto"/>
                <w:sz w:val="18"/>
                <w:szCs w:val="18"/>
                <w:lang w:val="en-US" w:eastAsia="zh-CN"/>
              </w:rPr>
            </w:pPr>
            <w:r>
              <w:rPr>
                <w:rFonts w:hint="eastAsia"/>
                <w:color w:val="auto"/>
                <w:sz w:val="18"/>
                <w:szCs w:val="18"/>
                <w:lang w:val="en-US" w:eastAsia="zh-CN"/>
              </w:rPr>
              <w:t>考查</w:t>
            </w:r>
          </w:p>
        </w:tc>
      </w:tr>
      <w:tr w14:paraId="5FD2B5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7CE49C5">
            <w:pPr>
              <w:jc w:val="center"/>
              <w:rPr>
                <w:b/>
                <w:color w:val="auto"/>
                <w:sz w:val="18"/>
                <w:szCs w:val="18"/>
              </w:rPr>
            </w:pPr>
          </w:p>
        </w:tc>
        <w:tc>
          <w:tcPr>
            <w:tcW w:w="1226" w:type="dxa"/>
            <w:vMerge w:val="continue"/>
            <w:vAlign w:val="center"/>
          </w:tcPr>
          <w:p w14:paraId="28A80D20">
            <w:pPr>
              <w:jc w:val="center"/>
              <w:rPr>
                <w:b/>
                <w:color w:val="auto"/>
                <w:sz w:val="18"/>
                <w:szCs w:val="18"/>
              </w:rPr>
            </w:pPr>
          </w:p>
        </w:tc>
        <w:tc>
          <w:tcPr>
            <w:tcW w:w="3516" w:type="dxa"/>
            <w:vAlign w:val="center"/>
          </w:tcPr>
          <w:p w14:paraId="4B506FEE">
            <w:pPr>
              <w:adjustRightInd w:val="0"/>
              <w:snapToGrid w:val="0"/>
              <w:rPr>
                <w:rFonts w:hint="eastAsia" w:eastAsia="宋体"/>
                <w:i w:val="0"/>
                <w:iCs w:val="0"/>
                <w:color w:val="auto"/>
                <w:sz w:val="18"/>
                <w:szCs w:val="18"/>
                <w:lang w:val="en-US" w:eastAsia="zh-CN"/>
              </w:rPr>
            </w:pPr>
            <w:r>
              <w:rPr>
                <w:rFonts w:hint="eastAsia"/>
                <w:i w:val="0"/>
                <w:iCs w:val="0"/>
                <w:color w:val="auto"/>
                <w:sz w:val="18"/>
                <w:szCs w:val="18"/>
                <w:lang w:val="en-US" w:eastAsia="zh-CN"/>
              </w:rPr>
              <w:t>公共管理</w:t>
            </w:r>
          </w:p>
        </w:tc>
        <w:tc>
          <w:tcPr>
            <w:tcW w:w="1081" w:type="dxa"/>
            <w:shd w:val="clear" w:color="auto" w:fill="auto"/>
            <w:vAlign w:val="center"/>
          </w:tcPr>
          <w:p w14:paraId="473B3459">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0415002</w:t>
            </w:r>
          </w:p>
        </w:tc>
        <w:tc>
          <w:tcPr>
            <w:tcW w:w="709" w:type="dxa"/>
            <w:vAlign w:val="center"/>
          </w:tcPr>
          <w:p w14:paraId="44EAF4FF">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3</w:t>
            </w:r>
          </w:p>
        </w:tc>
        <w:tc>
          <w:tcPr>
            <w:tcW w:w="709" w:type="dxa"/>
            <w:vAlign w:val="center"/>
          </w:tcPr>
          <w:p w14:paraId="3C705F9F">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1</w:t>
            </w:r>
          </w:p>
        </w:tc>
        <w:tc>
          <w:tcPr>
            <w:tcW w:w="1162" w:type="dxa"/>
            <w:vAlign w:val="center"/>
          </w:tcPr>
          <w:p w14:paraId="17E68B70">
            <w:pPr>
              <w:jc w:val="center"/>
              <w:rPr>
                <w:rFonts w:hint="eastAsia" w:eastAsia="宋体"/>
                <w:color w:val="auto"/>
                <w:sz w:val="18"/>
                <w:szCs w:val="18"/>
                <w:lang w:eastAsia="zh-CN"/>
              </w:rPr>
            </w:pPr>
            <w:r>
              <w:rPr>
                <w:rFonts w:hint="eastAsia"/>
                <w:color w:val="auto"/>
                <w:sz w:val="18"/>
                <w:szCs w:val="18"/>
              </w:rPr>
              <w:t>考试</w:t>
            </w:r>
          </w:p>
        </w:tc>
      </w:tr>
      <w:tr w14:paraId="198B9B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74189CE">
            <w:pPr>
              <w:jc w:val="center"/>
              <w:rPr>
                <w:b/>
                <w:color w:val="auto"/>
                <w:sz w:val="18"/>
                <w:szCs w:val="18"/>
              </w:rPr>
            </w:pPr>
          </w:p>
        </w:tc>
        <w:tc>
          <w:tcPr>
            <w:tcW w:w="1226" w:type="dxa"/>
            <w:vMerge w:val="continue"/>
            <w:vAlign w:val="center"/>
          </w:tcPr>
          <w:p w14:paraId="0E3A6E34">
            <w:pPr>
              <w:jc w:val="center"/>
              <w:rPr>
                <w:b/>
                <w:color w:val="auto"/>
                <w:sz w:val="18"/>
                <w:szCs w:val="18"/>
              </w:rPr>
            </w:pPr>
          </w:p>
        </w:tc>
        <w:tc>
          <w:tcPr>
            <w:tcW w:w="3516" w:type="dxa"/>
            <w:vAlign w:val="center"/>
          </w:tcPr>
          <w:p w14:paraId="263EC7DC">
            <w:pPr>
              <w:adjustRightInd w:val="0"/>
              <w:snapToGrid w:val="0"/>
              <w:rPr>
                <w:rFonts w:hint="eastAsia" w:eastAsia="宋体"/>
                <w:i w:val="0"/>
                <w:iCs w:val="0"/>
                <w:color w:val="auto"/>
                <w:sz w:val="18"/>
                <w:szCs w:val="18"/>
                <w:lang w:eastAsia="zh-CN"/>
              </w:rPr>
            </w:pPr>
            <w:r>
              <w:rPr>
                <w:rFonts w:hint="eastAsia"/>
                <w:i w:val="0"/>
                <w:iCs w:val="0"/>
                <w:color w:val="auto"/>
                <w:sz w:val="18"/>
                <w:szCs w:val="18"/>
                <w:lang w:val="en-US" w:eastAsia="zh-CN"/>
              </w:rPr>
              <w:t>公共政策分析</w:t>
            </w:r>
          </w:p>
        </w:tc>
        <w:tc>
          <w:tcPr>
            <w:tcW w:w="1081" w:type="dxa"/>
            <w:shd w:val="clear" w:color="auto" w:fill="auto"/>
            <w:vAlign w:val="top"/>
          </w:tcPr>
          <w:p w14:paraId="0C3FA3F2">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0415003</w:t>
            </w:r>
          </w:p>
        </w:tc>
        <w:tc>
          <w:tcPr>
            <w:tcW w:w="709" w:type="dxa"/>
            <w:vAlign w:val="center"/>
          </w:tcPr>
          <w:p w14:paraId="4B84E1FF">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3</w:t>
            </w:r>
          </w:p>
        </w:tc>
        <w:tc>
          <w:tcPr>
            <w:tcW w:w="709" w:type="dxa"/>
            <w:vAlign w:val="center"/>
          </w:tcPr>
          <w:p w14:paraId="68B64FC2">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1</w:t>
            </w:r>
          </w:p>
        </w:tc>
        <w:tc>
          <w:tcPr>
            <w:tcW w:w="1162" w:type="dxa"/>
            <w:vAlign w:val="center"/>
          </w:tcPr>
          <w:p w14:paraId="6AF162AE">
            <w:pPr>
              <w:jc w:val="center"/>
              <w:rPr>
                <w:rFonts w:hint="eastAsia" w:eastAsia="宋体"/>
                <w:color w:val="auto"/>
                <w:sz w:val="18"/>
                <w:szCs w:val="18"/>
                <w:lang w:eastAsia="zh-CN"/>
              </w:rPr>
            </w:pPr>
            <w:r>
              <w:rPr>
                <w:rFonts w:hint="eastAsia"/>
                <w:color w:val="auto"/>
                <w:sz w:val="18"/>
                <w:szCs w:val="18"/>
              </w:rPr>
              <w:t>考试</w:t>
            </w:r>
          </w:p>
        </w:tc>
      </w:tr>
      <w:tr w14:paraId="3930DF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93715D0">
            <w:pPr>
              <w:jc w:val="center"/>
              <w:rPr>
                <w:b/>
                <w:color w:val="auto"/>
                <w:sz w:val="18"/>
                <w:szCs w:val="18"/>
              </w:rPr>
            </w:pPr>
          </w:p>
        </w:tc>
        <w:tc>
          <w:tcPr>
            <w:tcW w:w="1226" w:type="dxa"/>
            <w:vMerge w:val="continue"/>
            <w:vAlign w:val="center"/>
          </w:tcPr>
          <w:p w14:paraId="7E7B3A46">
            <w:pPr>
              <w:jc w:val="center"/>
              <w:rPr>
                <w:b/>
                <w:color w:val="auto"/>
                <w:sz w:val="18"/>
                <w:szCs w:val="18"/>
              </w:rPr>
            </w:pPr>
          </w:p>
        </w:tc>
        <w:tc>
          <w:tcPr>
            <w:tcW w:w="3516" w:type="dxa"/>
            <w:vAlign w:val="center"/>
          </w:tcPr>
          <w:p w14:paraId="5EC41DFD">
            <w:pPr>
              <w:adjustRightInd w:val="0"/>
              <w:snapToGrid w:val="0"/>
              <w:rPr>
                <w:rFonts w:hint="default"/>
                <w:i w:val="0"/>
                <w:iCs w:val="0"/>
                <w:color w:val="auto"/>
                <w:sz w:val="18"/>
                <w:szCs w:val="18"/>
                <w:lang w:val="en-US" w:eastAsia="zh-CN"/>
              </w:rPr>
            </w:pPr>
            <w:r>
              <w:rPr>
                <w:rFonts w:hint="eastAsia"/>
                <w:i w:val="0"/>
                <w:iCs w:val="0"/>
                <w:color w:val="auto"/>
                <w:sz w:val="18"/>
                <w:szCs w:val="18"/>
                <w:lang w:val="en-US" w:eastAsia="zh-CN"/>
              </w:rPr>
              <w:t>社会科学研究方法</w:t>
            </w:r>
          </w:p>
        </w:tc>
        <w:tc>
          <w:tcPr>
            <w:tcW w:w="1081" w:type="dxa"/>
            <w:shd w:val="clear" w:color="auto" w:fill="auto"/>
            <w:vAlign w:val="top"/>
          </w:tcPr>
          <w:p w14:paraId="184E20DD">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0415004</w:t>
            </w:r>
          </w:p>
        </w:tc>
        <w:tc>
          <w:tcPr>
            <w:tcW w:w="709" w:type="dxa"/>
            <w:vAlign w:val="center"/>
          </w:tcPr>
          <w:p w14:paraId="02563D93">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3</w:t>
            </w:r>
          </w:p>
        </w:tc>
        <w:tc>
          <w:tcPr>
            <w:tcW w:w="709" w:type="dxa"/>
            <w:vAlign w:val="center"/>
          </w:tcPr>
          <w:p w14:paraId="65146292">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1162" w:type="dxa"/>
            <w:vAlign w:val="center"/>
          </w:tcPr>
          <w:p w14:paraId="6E050F4A">
            <w:pPr>
              <w:jc w:val="center"/>
              <w:rPr>
                <w:i/>
                <w:color w:val="auto"/>
                <w:sz w:val="18"/>
                <w:szCs w:val="18"/>
              </w:rPr>
            </w:pPr>
            <w:r>
              <w:rPr>
                <w:rFonts w:hint="eastAsia"/>
                <w:color w:val="auto"/>
                <w:sz w:val="18"/>
                <w:szCs w:val="18"/>
              </w:rPr>
              <w:t>考试</w:t>
            </w:r>
          </w:p>
        </w:tc>
      </w:tr>
      <w:tr w14:paraId="5C747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C191060">
            <w:pPr>
              <w:jc w:val="center"/>
              <w:rPr>
                <w:b/>
                <w:color w:val="auto"/>
                <w:sz w:val="18"/>
                <w:szCs w:val="18"/>
              </w:rPr>
            </w:pPr>
          </w:p>
        </w:tc>
        <w:tc>
          <w:tcPr>
            <w:tcW w:w="1226" w:type="dxa"/>
            <w:vMerge w:val="restart"/>
            <w:vAlign w:val="center"/>
          </w:tcPr>
          <w:p w14:paraId="265C13CF">
            <w:pPr>
              <w:jc w:val="center"/>
              <w:rPr>
                <w:b/>
                <w:color w:val="auto"/>
                <w:sz w:val="18"/>
                <w:szCs w:val="18"/>
                <w:highlight w:val="none"/>
              </w:rPr>
            </w:pPr>
            <w:r>
              <w:rPr>
                <w:b/>
                <w:color w:val="auto"/>
                <w:sz w:val="18"/>
                <w:szCs w:val="18"/>
                <w:highlight w:val="none"/>
              </w:rPr>
              <w:t>专业必修课</w:t>
            </w:r>
          </w:p>
          <w:p w14:paraId="622B943F">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13</w:t>
            </w:r>
            <w:r>
              <w:rPr>
                <w:b/>
                <w:color w:val="auto"/>
                <w:sz w:val="18"/>
                <w:szCs w:val="18"/>
                <w:highlight w:val="none"/>
              </w:rPr>
              <w:t>学分）</w:t>
            </w:r>
          </w:p>
        </w:tc>
        <w:tc>
          <w:tcPr>
            <w:tcW w:w="3516" w:type="dxa"/>
          </w:tcPr>
          <w:p w14:paraId="00D225DA">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政治学</w:t>
            </w:r>
          </w:p>
        </w:tc>
        <w:tc>
          <w:tcPr>
            <w:tcW w:w="1081" w:type="dxa"/>
            <w:vAlign w:val="center"/>
          </w:tcPr>
          <w:p w14:paraId="03192CCA">
            <w:pPr>
              <w:adjustRightInd w:val="0"/>
              <w:snapToGrid w:val="0"/>
              <w:jc w:val="center"/>
              <w:rPr>
                <w:rFonts w:hint="eastAsia" w:eastAsia="宋体"/>
                <w:i w:val="0"/>
                <w:iCs w:val="0"/>
                <w:color w:val="auto"/>
                <w:sz w:val="18"/>
                <w:szCs w:val="18"/>
                <w:lang w:val="en-US" w:eastAsia="zh-CN"/>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5</w:t>
            </w:r>
          </w:p>
        </w:tc>
        <w:tc>
          <w:tcPr>
            <w:tcW w:w="709" w:type="dxa"/>
            <w:vAlign w:val="center"/>
          </w:tcPr>
          <w:p w14:paraId="5859AB4D">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20E9CCF0">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1</w:t>
            </w:r>
          </w:p>
        </w:tc>
        <w:tc>
          <w:tcPr>
            <w:tcW w:w="1162" w:type="dxa"/>
            <w:vAlign w:val="center"/>
          </w:tcPr>
          <w:p w14:paraId="07FE7D74">
            <w:pPr>
              <w:jc w:val="center"/>
              <w:rPr>
                <w:color w:val="auto"/>
                <w:sz w:val="18"/>
                <w:szCs w:val="18"/>
              </w:rPr>
            </w:pPr>
            <w:r>
              <w:rPr>
                <w:rFonts w:hint="eastAsia"/>
                <w:color w:val="auto"/>
                <w:sz w:val="18"/>
                <w:szCs w:val="18"/>
              </w:rPr>
              <w:t>考试（选设）</w:t>
            </w:r>
          </w:p>
        </w:tc>
      </w:tr>
      <w:tr w14:paraId="200D65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C9359F">
            <w:pPr>
              <w:jc w:val="center"/>
              <w:rPr>
                <w:b/>
                <w:color w:val="auto"/>
                <w:sz w:val="18"/>
                <w:szCs w:val="18"/>
              </w:rPr>
            </w:pPr>
          </w:p>
        </w:tc>
        <w:tc>
          <w:tcPr>
            <w:tcW w:w="1226" w:type="dxa"/>
            <w:vMerge w:val="continue"/>
            <w:vAlign w:val="center"/>
          </w:tcPr>
          <w:p w14:paraId="119C7166">
            <w:pPr>
              <w:jc w:val="center"/>
              <w:rPr>
                <w:b/>
                <w:color w:val="auto"/>
                <w:sz w:val="18"/>
                <w:szCs w:val="18"/>
                <w:highlight w:val="yellow"/>
              </w:rPr>
            </w:pPr>
          </w:p>
        </w:tc>
        <w:tc>
          <w:tcPr>
            <w:tcW w:w="3516" w:type="dxa"/>
          </w:tcPr>
          <w:p w14:paraId="6FD1E9A6">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公共经济学</w:t>
            </w:r>
          </w:p>
        </w:tc>
        <w:tc>
          <w:tcPr>
            <w:tcW w:w="1081" w:type="dxa"/>
            <w:vAlign w:val="center"/>
          </w:tcPr>
          <w:p w14:paraId="5CD9E2E0">
            <w:pPr>
              <w:adjustRightInd w:val="0"/>
              <w:snapToGrid w:val="0"/>
              <w:jc w:val="center"/>
              <w:rPr>
                <w:rFonts w:hint="eastAsia" w:eastAsia="宋体"/>
                <w:i w:val="0"/>
                <w:iCs w:val="0"/>
                <w:color w:val="auto"/>
                <w:sz w:val="18"/>
                <w:szCs w:val="18"/>
                <w:lang w:val="en-US" w:eastAsia="zh-CN"/>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1</w:t>
            </w:r>
          </w:p>
        </w:tc>
        <w:tc>
          <w:tcPr>
            <w:tcW w:w="709" w:type="dxa"/>
            <w:vAlign w:val="center"/>
          </w:tcPr>
          <w:p w14:paraId="4F262A6B">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3</w:t>
            </w:r>
          </w:p>
        </w:tc>
        <w:tc>
          <w:tcPr>
            <w:tcW w:w="709" w:type="dxa"/>
            <w:vAlign w:val="center"/>
          </w:tcPr>
          <w:p w14:paraId="34A74396">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1</w:t>
            </w:r>
          </w:p>
        </w:tc>
        <w:tc>
          <w:tcPr>
            <w:tcW w:w="1162" w:type="dxa"/>
            <w:vAlign w:val="center"/>
          </w:tcPr>
          <w:p w14:paraId="65693468">
            <w:pPr>
              <w:jc w:val="center"/>
              <w:rPr>
                <w:i/>
                <w:color w:val="auto"/>
                <w:sz w:val="18"/>
                <w:szCs w:val="18"/>
              </w:rPr>
            </w:pPr>
            <w:r>
              <w:rPr>
                <w:rFonts w:hint="eastAsia"/>
                <w:color w:val="auto"/>
                <w:sz w:val="18"/>
                <w:szCs w:val="18"/>
              </w:rPr>
              <w:t>考试（选设）</w:t>
            </w:r>
          </w:p>
        </w:tc>
      </w:tr>
      <w:tr w14:paraId="1DFB22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8F9A92C">
            <w:pPr>
              <w:jc w:val="center"/>
              <w:rPr>
                <w:b/>
                <w:color w:val="auto"/>
                <w:sz w:val="18"/>
                <w:szCs w:val="18"/>
              </w:rPr>
            </w:pPr>
          </w:p>
        </w:tc>
        <w:tc>
          <w:tcPr>
            <w:tcW w:w="1226" w:type="dxa"/>
            <w:vMerge w:val="continue"/>
            <w:vAlign w:val="center"/>
          </w:tcPr>
          <w:p w14:paraId="2E6D2874">
            <w:pPr>
              <w:jc w:val="center"/>
              <w:rPr>
                <w:b/>
                <w:color w:val="auto"/>
                <w:sz w:val="18"/>
                <w:szCs w:val="18"/>
                <w:highlight w:val="yellow"/>
              </w:rPr>
            </w:pPr>
          </w:p>
        </w:tc>
        <w:tc>
          <w:tcPr>
            <w:tcW w:w="3516" w:type="dxa"/>
          </w:tcPr>
          <w:p w14:paraId="05DEA661">
            <w:pPr>
              <w:adjustRightInd w:val="0"/>
              <w:snapToGrid w:val="0"/>
              <w:rPr>
                <w:rFonts w:hint="default"/>
                <w:i w:val="0"/>
                <w:iCs w:val="0"/>
                <w:color w:val="auto"/>
                <w:sz w:val="18"/>
                <w:szCs w:val="18"/>
                <w:lang w:val="en-US" w:eastAsia="zh-CN"/>
              </w:rPr>
            </w:pPr>
            <w:r>
              <w:rPr>
                <w:rFonts w:hint="eastAsia"/>
                <w:i w:val="0"/>
                <w:iCs w:val="0"/>
                <w:color w:val="auto"/>
                <w:sz w:val="18"/>
                <w:szCs w:val="18"/>
                <w:lang w:val="en-US" w:eastAsia="zh-CN"/>
              </w:rPr>
              <w:t>宪法与行政法</w:t>
            </w:r>
          </w:p>
        </w:tc>
        <w:tc>
          <w:tcPr>
            <w:tcW w:w="1081" w:type="dxa"/>
            <w:shd w:val="clear" w:color="auto" w:fill="auto"/>
            <w:vAlign w:val="top"/>
          </w:tcPr>
          <w:p w14:paraId="64D1B234">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7</w:t>
            </w:r>
          </w:p>
        </w:tc>
        <w:tc>
          <w:tcPr>
            <w:tcW w:w="709" w:type="dxa"/>
            <w:vAlign w:val="center"/>
          </w:tcPr>
          <w:p w14:paraId="58CD0855">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2B4FD033">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2</w:t>
            </w:r>
          </w:p>
        </w:tc>
        <w:tc>
          <w:tcPr>
            <w:tcW w:w="1162" w:type="dxa"/>
            <w:vAlign w:val="center"/>
          </w:tcPr>
          <w:p w14:paraId="363D4C50">
            <w:pPr>
              <w:jc w:val="center"/>
              <w:rPr>
                <w:i/>
                <w:color w:val="auto"/>
                <w:sz w:val="18"/>
                <w:szCs w:val="18"/>
              </w:rPr>
            </w:pPr>
            <w:r>
              <w:rPr>
                <w:rFonts w:hint="eastAsia"/>
                <w:color w:val="auto"/>
                <w:sz w:val="18"/>
                <w:szCs w:val="18"/>
              </w:rPr>
              <w:t>考试（选设）</w:t>
            </w:r>
          </w:p>
        </w:tc>
      </w:tr>
      <w:tr w14:paraId="12F7F6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A7B75C9">
            <w:pPr>
              <w:jc w:val="center"/>
              <w:rPr>
                <w:b/>
                <w:color w:val="auto"/>
                <w:sz w:val="18"/>
                <w:szCs w:val="18"/>
              </w:rPr>
            </w:pPr>
          </w:p>
        </w:tc>
        <w:tc>
          <w:tcPr>
            <w:tcW w:w="1226" w:type="dxa"/>
            <w:vMerge w:val="continue"/>
            <w:vAlign w:val="center"/>
          </w:tcPr>
          <w:p w14:paraId="493976E3">
            <w:pPr>
              <w:jc w:val="center"/>
              <w:rPr>
                <w:b/>
                <w:color w:val="auto"/>
                <w:sz w:val="18"/>
                <w:szCs w:val="18"/>
                <w:highlight w:val="yellow"/>
              </w:rPr>
            </w:pPr>
          </w:p>
        </w:tc>
        <w:tc>
          <w:tcPr>
            <w:tcW w:w="3516" w:type="dxa"/>
          </w:tcPr>
          <w:p w14:paraId="3CE2EA5C">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社会组织管理</w:t>
            </w:r>
          </w:p>
        </w:tc>
        <w:tc>
          <w:tcPr>
            <w:tcW w:w="1081" w:type="dxa"/>
            <w:shd w:val="clear" w:color="auto" w:fill="auto"/>
            <w:vAlign w:val="top"/>
          </w:tcPr>
          <w:p w14:paraId="7BFD3940">
            <w:pPr>
              <w:jc w:val="center"/>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w:t>
            </w:r>
            <w:r>
              <w:rPr>
                <w:rFonts w:hint="eastAsia"/>
                <w:iCs/>
                <w:color w:val="auto"/>
                <w:sz w:val="18"/>
                <w:szCs w:val="18"/>
                <w:lang w:val="en-US" w:eastAsia="zh-CN"/>
              </w:rPr>
              <w:t>011</w:t>
            </w:r>
            <w:bookmarkStart w:id="0" w:name="_GoBack"/>
            <w:bookmarkEnd w:id="0"/>
          </w:p>
        </w:tc>
        <w:tc>
          <w:tcPr>
            <w:tcW w:w="709" w:type="dxa"/>
            <w:vAlign w:val="center"/>
          </w:tcPr>
          <w:p w14:paraId="3DD53507">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1CE39B51">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2</w:t>
            </w:r>
          </w:p>
        </w:tc>
        <w:tc>
          <w:tcPr>
            <w:tcW w:w="1162" w:type="dxa"/>
            <w:vAlign w:val="center"/>
          </w:tcPr>
          <w:p w14:paraId="5662AF8B">
            <w:pPr>
              <w:jc w:val="center"/>
              <w:rPr>
                <w:i/>
                <w:color w:val="auto"/>
                <w:sz w:val="18"/>
                <w:szCs w:val="18"/>
              </w:rPr>
            </w:pPr>
            <w:r>
              <w:rPr>
                <w:rFonts w:hint="eastAsia"/>
                <w:color w:val="auto"/>
                <w:sz w:val="18"/>
                <w:szCs w:val="18"/>
              </w:rPr>
              <w:t>考试（选设）</w:t>
            </w:r>
          </w:p>
        </w:tc>
      </w:tr>
      <w:tr w14:paraId="05C4B2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9A27A06">
            <w:pPr>
              <w:jc w:val="center"/>
              <w:rPr>
                <w:b/>
                <w:color w:val="auto"/>
                <w:sz w:val="18"/>
                <w:szCs w:val="18"/>
              </w:rPr>
            </w:pPr>
          </w:p>
        </w:tc>
        <w:tc>
          <w:tcPr>
            <w:tcW w:w="1226" w:type="dxa"/>
            <w:vMerge w:val="continue"/>
            <w:vAlign w:val="center"/>
          </w:tcPr>
          <w:p w14:paraId="1ECA0774">
            <w:pPr>
              <w:jc w:val="center"/>
              <w:rPr>
                <w:b/>
                <w:color w:val="auto"/>
                <w:sz w:val="18"/>
                <w:szCs w:val="18"/>
                <w:highlight w:val="yellow"/>
              </w:rPr>
            </w:pPr>
          </w:p>
        </w:tc>
        <w:tc>
          <w:tcPr>
            <w:tcW w:w="3516" w:type="dxa"/>
          </w:tcPr>
          <w:p w14:paraId="594EF752">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公共伦理</w:t>
            </w:r>
          </w:p>
        </w:tc>
        <w:tc>
          <w:tcPr>
            <w:tcW w:w="1081" w:type="dxa"/>
            <w:shd w:val="clear" w:color="auto" w:fill="auto"/>
            <w:vAlign w:val="top"/>
          </w:tcPr>
          <w:p w14:paraId="76958A51">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8</w:t>
            </w:r>
          </w:p>
        </w:tc>
        <w:tc>
          <w:tcPr>
            <w:tcW w:w="709" w:type="dxa"/>
            <w:vAlign w:val="center"/>
          </w:tcPr>
          <w:p w14:paraId="328A9D51">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6B39B37E">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2</w:t>
            </w:r>
          </w:p>
        </w:tc>
        <w:tc>
          <w:tcPr>
            <w:tcW w:w="1162" w:type="dxa"/>
            <w:vAlign w:val="center"/>
          </w:tcPr>
          <w:p w14:paraId="1D217ED7">
            <w:pPr>
              <w:jc w:val="center"/>
              <w:rPr>
                <w:i/>
                <w:color w:val="auto"/>
                <w:sz w:val="18"/>
                <w:szCs w:val="18"/>
              </w:rPr>
            </w:pPr>
            <w:r>
              <w:rPr>
                <w:rFonts w:hint="eastAsia"/>
                <w:color w:val="auto"/>
                <w:sz w:val="18"/>
                <w:szCs w:val="18"/>
              </w:rPr>
              <w:t>考试（选设）</w:t>
            </w:r>
          </w:p>
        </w:tc>
      </w:tr>
      <w:tr w14:paraId="59470A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7BF680B">
            <w:pPr>
              <w:jc w:val="center"/>
              <w:rPr>
                <w:b/>
                <w:color w:val="auto"/>
                <w:sz w:val="18"/>
                <w:szCs w:val="18"/>
              </w:rPr>
            </w:pPr>
          </w:p>
        </w:tc>
        <w:tc>
          <w:tcPr>
            <w:tcW w:w="1226" w:type="dxa"/>
            <w:vMerge w:val="continue"/>
            <w:vAlign w:val="center"/>
          </w:tcPr>
          <w:p w14:paraId="6C489731">
            <w:pPr>
              <w:jc w:val="center"/>
              <w:rPr>
                <w:b/>
                <w:color w:val="auto"/>
                <w:sz w:val="18"/>
                <w:szCs w:val="18"/>
                <w:highlight w:val="yellow"/>
              </w:rPr>
            </w:pPr>
          </w:p>
        </w:tc>
        <w:tc>
          <w:tcPr>
            <w:tcW w:w="3516" w:type="dxa"/>
          </w:tcPr>
          <w:p w14:paraId="7E9E4AFE">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电子政务</w:t>
            </w:r>
          </w:p>
        </w:tc>
        <w:tc>
          <w:tcPr>
            <w:tcW w:w="1081" w:type="dxa"/>
            <w:shd w:val="clear" w:color="auto" w:fill="auto"/>
            <w:vAlign w:val="top"/>
          </w:tcPr>
          <w:p w14:paraId="0E808713">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6</w:t>
            </w:r>
          </w:p>
        </w:tc>
        <w:tc>
          <w:tcPr>
            <w:tcW w:w="709" w:type="dxa"/>
            <w:vAlign w:val="center"/>
          </w:tcPr>
          <w:p w14:paraId="226D0519">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6E3648CA">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2</w:t>
            </w:r>
          </w:p>
        </w:tc>
        <w:tc>
          <w:tcPr>
            <w:tcW w:w="1162" w:type="dxa"/>
            <w:vAlign w:val="center"/>
          </w:tcPr>
          <w:p w14:paraId="6E72C312">
            <w:pPr>
              <w:jc w:val="center"/>
              <w:rPr>
                <w:i/>
                <w:color w:val="auto"/>
                <w:sz w:val="18"/>
                <w:szCs w:val="18"/>
              </w:rPr>
            </w:pPr>
            <w:r>
              <w:rPr>
                <w:rFonts w:hint="eastAsia"/>
                <w:color w:val="auto"/>
                <w:sz w:val="18"/>
                <w:szCs w:val="18"/>
              </w:rPr>
              <w:t>考试（选设）</w:t>
            </w:r>
          </w:p>
        </w:tc>
      </w:tr>
      <w:tr w14:paraId="3842AB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BF01C3">
            <w:pPr>
              <w:jc w:val="center"/>
              <w:rPr>
                <w:b/>
                <w:color w:val="auto"/>
                <w:sz w:val="18"/>
                <w:szCs w:val="18"/>
              </w:rPr>
            </w:pPr>
          </w:p>
        </w:tc>
        <w:tc>
          <w:tcPr>
            <w:tcW w:w="1226" w:type="dxa"/>
            <w:vMerge w:val="continue"/>
            <w:vAlign w:val="center"/>
          </w:tcPr>
          <w:p w14:paraId="11B6EE44">
            <w:pPr>
              <w:jc w:val="center"/>
              <w:rPr>
                <w:b/>
                <w:color w:val="auto"/>
                <w:sz w:val="18"/>
                <w:szCs w:val="18"/>
                <w:highlight w:val="yellow"/>
              </w:rPr>
            </w:pPr>
          </w:p>
        </w:tc>
        <w:tc>
          <w:tcPr>
            <w:tcW w:w="3516" w:type="dxa"/>
          </w:tcPr>
          <w:p w14:paraId="0F0560AE">
            <w:pPr>
              <w:adjustRightInd w:val="0"/>
              <w:snapToGrid w:val="0"/>
              <w:rPr>
                <w:rFonts w:hint="eastAsia"/>
                <w:i w:val="0"/>
                <w:iCs w:val="0"/>
                <w:color w:val="auto"/>
                <w:sz w:val="18"/>
                <w:szCs w:val="18"/>
                <w:lang w:val="en-US" w:eastAsia="zh-CN"/>
              </w:rPr>
            </w:pPr>
            <w:r>
              <w:rPr>
                <w:rFonts w:hint="eastAsia"/>
                <w:i w:val="0"/>
                <w:iCs w:val="0"/>
                <w:color w:val="auto"/>
                <w:sz w:val="18"/>
                <w:szCs w:val="18"/>
                <w:lang w:val="en-US" w:eastAsia="zh-CN"/>
              </w:rPr>
              <w:t>公文写作</w:t>
            </w:r>
          </w:p>
        </w:tc>
        <w:tc>
          <w:tcPr>
            <w:tcW w:w="1081" w:type="dxa"/>
            <w:shd w:val="clear" w:color="auto" w:fill="auto"/>
            <w:vAlign w:val="top"/>
          </w:tcPr>
          <w:p w14:paraId="0202C29A">
            <w:pPr>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FZ</w:t>
            </w:r>
            <w:r>
              <w:rPr>
                <w:iCs/>
                <w:color w:val="auto"/>
                <w:sz w:val="18"/>
                <w:szCs w:val="18"/>
              </w:rPr>
              <w:t>041500</w:t>
            </w:r>
            <w:r>
              <w:rPr>
                <w:rFonts w:hint="eastAsia"/>
                <w:iCs/>
                <w:color w:val="auto"/>
                <w:sz w:val="18"/>
                <w:szCs w:val="18"/>
                <w:lang w:val="en-US" w:eastAsia="zh-CN"/>
              </w:rPr>
              <w:t>9</w:t>
            </w:r>
          </w:p>
        </w:tc>
        <w:tc>
          <w:tcPr>
            <w:tcW w:w="709" w:type="dxa"/>
            <w:vAlign w:val="center"/>
          </w:tcPr>
          <w:p w14:paraId="2BE698F8">
            <w:pPr>
              <w:adjustRightInd w:val="0"/>
              <w:snapToGrid w:val="0"/>
              <w:jc w:val="center"/>
              <w:rPr>
                <w:rFonts w:hint="eastAsia"/>
                <w:i w:val="0"/>
                <w:iCs w:val="0"/>
                <w:color w:val="auto"/>
                <w:sz w:val="18"/>
                <w:szCs w:val="18"/>
                <w:lang w:val="en-US" w:eastAsia="zh-CN"/>
              </w:rPr>
            </w:pPr>
            <w:r>
              <w:rPr>
                <w:rFonts w:hint="eastAsia"/>
                <w:i w:val="0"/>
                <w:iCs w:val="0"/>
                <w:color w:val="auto"/>
                <w:sz w:val="18"/>
                <w:szCs w:val="18"/>
                <w:lang w:val="en-US" w:eastAsia="zh-CN"/>
              </w:rPr>
              <w:t>2</w:t>
            </w:r>
          </w:p>
        </w:tc>
        <w:tc>
          <w:tcPr>
            <w:tcW w:w="709" w:type="dxa"/>
            <w:vAlign w:val="center"/>
          </w:tcPr>
          <w:p w14:paraId="1D089C8F">
            <w:pPr>
              <w:adjustRightInd w:val="0"/>
              <w:snapToGrid w:val="0"/>
              <w:jc w:val="center"/>
              <w:rPr>
                <w:rFonts w:hint="default"/>
                <w:i w:val="0"/>
                <w:iCs w:val="0"/>
                <w:color w:val="auto"/>
                <w:sz w:val="18"/>
                <w:szCs w:val="18"/>
                <w:lang w:val="en-US" w:eastAsia="zh-CN"/>
              </w:rPr>
            </w:pPr>
            <w:r>
              <w:rPr>
                <w:rFonts w:hint="eastAsia"/>
                <w:i w:val="0"/>
                <w:iCs w:val="0"/>
                <w:color w:val="auto"/>
                <w:sz w:val="18"/>
                <w:szCs w:val="18"/>
                <w:lang w:val="en-US" w:eastAsia="zh-CN"/>
              </w:rPr>
              <w:t>3</w:t>
            </w:r>
          </w:p>
        </w:tc>
        <w:tc>
          <w:tcPr>
            <w:tcW w:w="1162" w:type="dxa"/>
            <w:vAlign w:val="center"/>
          </w:tcPr>
          <w:p w14:paraId="6838526F">
            <w:pPr>
              <w:jc w:val="center"/>
              <w:rPr>
                <w:i/>
                <w:color w:val="auto"/>
                <w:sz w:val="18"/>
                <w:szCs w:val="18"/>
              </w:rPr>
            </w:pPr>
            <w:r>
              <w:rPr>
                <w:rFonts w:hint="eastAsia"/>
                <w:color w:val="auto"/>
                <w:sz w:val="18"/>
                <w:szCs w:val="18"/>
              </w:rPr>
              <w:t>考试（选设）</w:t>
            </w:r>
          </w:p>
        </w:tc>
      </w:tr>
      <w:tr w14:paraId="39B78C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tcBorders>
              <w:top w:val="single" w:color="auto" w:sz="4" w:space="0"/>
            </w:tcBorders>
          </w:tcPr>
          <w:p w14:paraId="39ACC5DD">
            <w:pPr>
              <w:jc w:val="center"/>
              <w:rPr>
                <w:b/>
                <w:color w:val="auto"/>
                <w:sz w:val="18"/>
                <w:szCs w:val="18"/>
              </w:rPr>
            </w:pPr>
          </w:p>
          <w:p w14:paraId="56DE93D3">
            <w:pPr>
              <w:jc w:val="center"/>
              <w:rPr>
                <w:b/>
                <w:color w:val="auto"/>
                <w:sz w:val="18"/>
                <w:szCs w:val="18"/>
              </w:rPr>
            </w:pPr>
          </w:p>
          <w:p w14:paraId="14F30983">
            <w:pPr>
              <w:jc w:val="center"/>
              <w:rPr>
                <w:b/>
                <w:color w:val="auto"/>
                <w:sz w:val="18"/>
                <w:szCs w:val="18"/>
              </w:rPr>
            </w:pPr>
          </w:p>
          <w:p w14:paraId="1C37F2E3">
            <w:pPr>
              <w:jc w:val="center"/>
              <w:rPr>
                <w:b/>
                <w:color w:val="auto"/>
                <w:sz w:val="18"/>
                <w:szCs w:val="18"/>
              </w:rPr>
            </w:pPr>
          </w:p>
          <w:p w14:paraId="71790B05">
            <w:pPr>
              <w:jc w:val="center"/>
              <w:rPr>
                <w:b/>
                <w:color w:val="auto"/>
                <w:sz w:val="18"/>
                <w:szCs w:val="18"/>
              </w:rPr>
            </w:pPr>
          </w:p>
          <w:p w14:paraId="35570613">
            <w:pPr>
              <w:jc w:val="center"/>
              <w:rPr>
                <w:b/>
                <w:color w:val="auto"/>
                <w:sz w:val="18"/>
                <w:szCs w:val="18"/>
              </w:rPr>
            </w:pPr>
          </w:p>
          <w:p w14:paraId="56C8BBD5">
            <w:pPr>
              <w:jc w:val="center"/>
              <w:rPr>
                <w:b/>
                <w:color w:val="auto"/>
                <w:sz w:val="18"/>
                <w:szCs w:val="18"/>
              </w:rPr>
            </w:pPr>
          </w:p>
          <w:p w14:paraId="78898F8D">
            <w:pPr>
              <w:jc w:val="center"/>
              <w:rPr>
                <w:b/>
                <w:color w:val="auto"/>
                <w:sz w:val="18"/>
                <w:szCs w:val="18"/>
              </w:rPr>
            </w:pPr>
          </w:p>
          <w:p w14:paraId="1D7F2D97">
            <w:pPr>
              <w:jc w:val="center"/>
              <w:rPr>
                <w:b/>
                <w:color w:val="auto"/>
                <w:sz w:val="18"/>
                <w:szCs w:val="18"/>
              </w:rPr>
            </w:pPr>
          </w:p>
          <w:p w14:paraId="2FB2C0E9">
            <w:pPr>
              <w:jc w:val="center"/>
              <w:rPr>
                <w:b/>
                <w:color w:val="auto"/>
                <w:sz w:val="18"/>
                <w:szCs w:val="18"/>
              </w:rPr>
            </w:pPr>
          </w:p>
          <w:p w14:paraId="5E1AD680">
            <w:pPr>
              <w:jc w:val="center"/>
              <w:rPr>
                <w:b/>
                <w:color w:val="auto"/>
                <w:sz w:val="18"/>
                <w:szCs w:val="18"/>
              </w:rPr>
            </w:pPr>
            <w:r>
              <w:rPr>
                <w:b/>
                <w:color w:val="auto"/>
                <w:sz w:val="18"/>
                <w:szCs w:val="18"/>
              </w:rPr>
              <w:t>非学位课</w:t>
            </w:r>
          </w:p>
        </w:tc>
        <w:tc>
          <w:tcPr>
            <w:tcW w:w="1226" w:type="dxa"/>
            <w:vMerge w:val="restart"/>
            <w:vAlign w:val="center"/>
          </w:tcPr>
          <w:p w14:paraId="5BD0BD6B">
            <w:pPr>
              <w:adjustRightInd w:val="0"/>
              <w:snapToGrid w:val="0"/>
              <w:jc w:val="center"/>
              <w:rPr>
                <w:b/>
                <w:i/>
                <w:color w:val="auto"/>
                <w:sz w:val="18"/>
                <w:szCs w:val="18"/>
              </w:rPr>
            </w:pPr>
            <w:r>
              <w:rPr>
                <w:rFonts w:hint="eastAsia"/>
                <w:b/>
                <w:color w:val="auto"/>
                <w:sz w:val="18"/>
                <w:szCs w:val="18"/>
                <w:lang w:val="en-US" w:eastAsia="zh-CN"/>
              </w:rPr>
              <w:t>地方政府管理</w:t>
            </w:r>
            <w:r>
              <w:rPr>
                <w:b/>
                <w:color w:val="auto"/>
                <w:sz w:val="18"/>
                <w:szCs w:val="18"/>
              </w:rPr>
              <w:t>方向</w:t>
            </w:r>
          </w:p>
          <w:p w14:paraId="11E1F4D2">
            <w:pPr>
              <w:adjustRightInd w:val="0"/>
              <w:snapToGrid w:val="0"/>
              <w:jc w:val="center"/>
              <w:rPr>
                <w:b/>
                <w:color w:val="auto"/>
                <w:sz w:val="18"/>
                <w:szCs w:val="18"/>
              </w:rPr>
            </w:pPr>
            <w:r>
              <w:rPr>
                <w:b/>
                <w:color w:val="auto"/>
                <w:sz w:val="18"/>
                <w:szCs w:val="18"/>
              </w:rPr>
              <w:t>选修课</w:t>
            </w:r>
          </w:p>
        </w:tc>
        <w:tc>
          <w:tcPr>
            <w:tcW w:w="3516" w:type="dxa"/>
            <w:shd w:val="clear" w:color="auto" w:fill="auto"/>
            <w:vAlign w:val="center"/>
          </w:tcPr>
          <w:p w14:paraId="29DDC22C">
            <w:pPr>
              <w:rPr>
                <w:rFonts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sz w:val="18"/>
                <w:szCs w:val="18"/>
              </w:rPr>
              <w:t>管理沟通</w:t>
            </w:r>
          </w:p>
        </w:tc>
        <w:tc>
          <w:tcPr>
            <w:tcW w:w="1081" w:type="dxa"/>
            <w:vAlign w:val="center"/>
          </w:tcPr>
          <w:p w14:paraId="3FDAC33A">
            <w:pPr>
              <w:jc w:val="center"/>
              <w:rPr>
                <w:color w:val="auto"/>
                <w:sz w:val="18"/>
                <w:szCs w:val="18"/>
              </w:rPr>
            </w:pPr>
            <w:r>
              <w:rPr>
                <w:rFonts w:hint="eastAsia"/>
                <w:color w:val="auto"/>
                <w:sz w:val="18"/>
                <w:szCs w:val="18"/>
              </w:rPr>
              <w:t>FZ0415204</w:t>
            </w:r>
          </w:p>
        </w:tc>
        <w:tc>
          <w:tcPr>
            <w:tcW w:w="709" w:type="dxa"/>
            <w:vAlign w:val="center"/>
          </w:tcPr>
          <w:p w14:paraId="4814F3DC">
            <w:pPr>
              <w:jc w:val="center"/>
              <w:rPr>
                <w:rFonts w:hint="eastAsia" w:eastAsia="宋体"/>
                <w:color w:val="auto"/>
                <w:lang w:val="en-US" w:eastAsia="zh-CN"/>
              </w:rPr>
            </w:pPr>
            <w:r>
              <w:rPr>
                <w:rFonts w:hint="eastAsia"/>
                <w:color w:val="auto"/>
                <w:lang w:val="en-US" w:eastAsia="zh-CN"/>
              </w:rPr>
              <w:t>2</w:t>
            </w:r>
          </w:p>
        </w:tc>
        <w:tc>
          <w:tcPr>
            <w:tcW w:w="709" w:type="dxa"/>
            <w:vAlign w:val="center"/>
          </w:tcPr>
          <w:p w14:paraId="4F107683">
            <w:pPr>
              <w:jc w:val="center"/>
              <w:rPr>
                <w:rFonts w:hint="eastAsia" w:eastAsia="宋体"/>
                <w:color w:val="auto"/>
                <w:lang w:val="en-US" w:eastAsia="zh-CN"/>
              </w:rPr>
            </w:pPr>
            <w:r>
              <w:rPr>
                <w:rFonts w:hint="eastAsia"/>
                <w:color w:val="auto"/>
                <w:lang w:val="en-US" w:eastAsia="zh-CN"/>
              </w:rPr>
              <w:t>2</w:t>
            </w:r>
          </w:p>
        </w:tc>
        <w:tc>
          <w:tcPr>
            <w:tcW w:w="1162" w:type="dxa"/>
            <w:vMerge w:val="restart"/>
            <w:vAlign w:val="center"/>
          </w:tcPr>
          <w:p w14:paraId="21C97EFE">
            <w:pPr>
              <w:adjustRightInd w:val="0"/>
              <w:snapToGrid w:val="0"/>
              <w:jc w:val="center"/>
              <w:rPr>
                <w:color w:val="auto"/>
                <w:sz w:val="18"/>
                <w:szCs w:val="18"/>
              </w:rPr>
            </w:pPr>
            <w:r>
              <w:rPr>
                <w:color w:val="auto"/>
                <w:sz w:val="18"/>
                <w:szCs w:val="18"/>
              </w:rPr>
              <w:t>本方向研究生至少选修</w:t>
            </w:r>
          </w:p>
          <w:p w14:paraId="2FD94DC1">
            <w:pPr>
              <w:adjustRightInd w:val="0"/>
              <w:snapToGrid w:val="0"/>
              <w:jc w:val="center"/>
              <w:rPr>
                <w:color w:val="auto"/>
                <w:sz w:val="18"/>
                <w:szCs w:val="18"/>
              </w:rPr>
            </w:pPr>
            <w:r>
              <w:rPr>
                <w:rFonts w:hint="eastAsia"/>
                <w:color w:val="auto"/>
                <w:sz w:val="18"/>
                <w:szCs w:val="18"/>
                <w:lang w:val="en-US" w:eastAsia="zh-CN"/>
              </w:rPr>
              <w:t>8</w:t>
            </w:r>
            <w:r>
              <w:rPr>
                <w:color w:val="auto"/>
                <w:sz w:val="18"/>
                <w:szCs w:val="18"/>
              </w:rPr>
              <w:t>学分</w:t>
            </w:r>
          </w:p>
        </w:tc>
      </w:tr>
      <w:tr w14:paraId="1025B0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EF6A37">
            <w:pPr>
              <w:rPr>
                <w:b/>
                <w:color w:val="auto"/>
                <w:sz w:val="18"/>
                <w:szCs w:val="18"/>
              </w:rPr>
            </w:pPr>
          </w:p>
        </w:tc>
        <w:tc>
          <w:tcPr>
            <w:tcW w:w="1226" w:type="dxa"/>
            <w:vMerge w:val="continue"/>
            <w:vAlign w:val="center"/>
          </w:tcPr>
          <w:p w14:paraId="1B89F6F3">
            <w:pPr>
              <w:adjustRightInd w:val="0"/>
              <w:snapToGrid w:val="0"/>
              <w:jc w:val="center"/>
              <w:rPr>
                <w:b/>
                <w:color w:val="auto"/>
                <w:sz w:val="18"/>
                <w:szCs w:val="18"/>
              </w:rPr>
            </w:pPr>
          </w:p>
        </w:tc>
        <w:tc>
          <w:tcPr>
            <w:tcW w:w="3516" w:type="dxa"/>
            <w:shd w:val="clear" w:color="auto" w:fill="auto"/>
            <w:vAlign w:val="center"/>
          </w:tcPr>
          <w:p w14:paraId="11A8449C">
            <w:pPr>
              <w:rPr>
                <w:rFonts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sz w:val="18"/>
                <w:szCs w:val="18"/>
              </w:rPr>
              <w:t>公共信息安全</w:t>
            </w:r>
          </w:p>
        </w:tc>
        <w:tc>
          <w:tcPr>
            <w:tcW w:w="1081" w:type="dxa"/>
            <w:vAlign w:val="center"/>
          </w:tcPr>
          <w:p w14:paraId="6F1D291B">
            <w:pPr>
              <w:jc w:val="center"/>
              <w:rPr>
                <w:rFonts w:hint="eastAsia" w:eastAsia="宋体"/>
                <w:color w:val="auto"/>
                <w:sz w:val="18"/>
                <w:szCs w:val="18"/>
                <w:lang w:val="en-US" w:eastAsia="zh-CN"/>
              </w:rPr>
            </w:pPr>
            <w:r>
              <w:rPr>
                <w:rFonts w:hint="eastAsia"/>
                <w:color w:val="auto"/>
                <w:sz w:val="18"/>
                <w:szCs w:val="18"/>
              </w:rPr>
              <w:t>FZ041520</w:t>
            </w:r>
            <w:r>
              <w:rPr>
                <w:rFonts w:hint="eastAsia"/>
                <w:color w:val="auto"/>
                <w:sz w:val="18"/>
                <w:szCs w:val="18"/>
                <w:lang w:val="en-US" w:eastAsia="zh-CN"/>
              </w:rPr>
              <w:t>5</w:t>
            </w:r>
          </w:p>
        </w:tc>
        <w:tc>
          <w:tcPr>
            <w:tcW w:w="709" w:type="dxa"/>
            <w:vAlign w:val="center"/>
          </w:tcPr>
          <w:p w14:paraId="4A218CC6">
            <w:pPr>
              <w:jc w:val="center"/>
              <w:rPr>
                <w:color w:val="auto"/>
              </w:rPr>
            </w:pPr>
            <w:r>
              <w:rPr>
                <w:rFonts w:hint="eastAsia"/>
                <w:color w:val="auto"/>
                <w:lang w:val="en-US" w:eastAsia="zh-CN"/>
              </w:rPr>
              <w:t>2</w:t>
            </w:r>
          </w:p>
        </w:tc>
        <w:tc>
          <w:tcPr>
            <w:tcW w:w="709" w:type="dxa"/>
            <w:vAlign w:val="center"/>
          </w:tcPr>
          <w:p w14:paraId="3011D205">
            <w:pPr>
              <w:jc w:val="center"/>
              <w:rPr>
                <w:color w:val="auto"/>
              </w:rPr>
            </w:pPr>
            <w:r>
              <w:rPr>
                <w:rFonts w:hint="eastAsia"/>
                <w:color w:val="auto"/>
                <w:lang w:val="en-US" w:eastAsia="zh-CN"/>
              </w:rPr>
              <w:t>3</w:t>
            </w:r>
          </w:p>
        </w:tc>
        <w:tc>
          <w:tcPr>
            <w:tcW w:w="1162" w:type="dxa"/>
            <w:vMerge w:val="continue"/>
            <w:vAlign w:val="center"/>
          </w:tcPr>
          <w:p w14:paraId="4321DFB7">
            <w:pPr>
              <w:adjustRightInd w:val="0"/>
              <w:snapToGrid w:val="0"/>
              <w:jc w:val="center"/>
              <w:rPr>
                <w:color w:val="auto"/>
                <w:sz w:val="18"/>
                <w:szCs w:val="18"/>
              </w:rPr>
            </w:pPr>
          </w:p>
        </w:tc>
      </w:tr>
      <w:tr w14:paraId="582772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8D6F5D">
            <w:pPr>
              <w:rPr>
                <w:b/>
                <w:color w:val="auto"/>
                <w:sz w:val="18"/>
                <w:szCs w:val="18"/>
              </w:rPr>
            </w:pPr>
          </w:p>
        </w:tc>
        <w:tc>
          <w:tcPr>
            <w:tcW w:w="1226" w:type="dxa"/>
            <w:vMerge w:val="continue"/>
            <w:vAlign w:val="center"/>
          </w:tcPr>
          <w:p w14:paraId="66A76D77">
            <w:pPr>
              <w:adjustRightInd w:val="0"/>
              <w:snapToGrid w:val="0"/>
              <w:jc w:val="center"/>
              <w:rPr>
                <w:b/>
                <w:color w:val="auto"/>
                <w:sz w:val="18"/>
                <w:szCs w:val="18"/>
              </w:rPr>
            </w:pPr>
          </w:p>
        </w:tc>
        <w:tc>
          <w:tcPr>
            <w:tcW w:w="3516" w:type="dxa"/>
            <w:shd w:val="clear" w:color="auto" w:fill="auto"/>
            <w:vAlign w:val="center"/>
          </w:tcPr>
          <w:p w14:paraId="4DC0BDFE">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rPr>
              <w:t>应急管理</w:t>
            </w:r>
            <w:r>
              <w:rPr>
                <w:rFonts w:hint="eastAsia" w:asciiTheme="majorEastAsia" w:hAnsiTheme="majorEastAsia" w:eastAsiaTheme="majorEastAsia" w:cstheme="majorEastAsia"/>
                <w:color w:val="auto"/>
                <w:sz w:val="18"/>
                <w:szCs w:val="18"/>
                <w:lang w:val="en-US" w:eastAsia="zh-CN"/>
              </w:rPr>
              <w:t>理论</w:t>
            </w:r>
            <w:r>
              <w:rPr>
                <w:rFonts w:hint="eastAsia" w:asciiTheme="majorEastAsia" w:hAnsiTheme="majorEastAsia" w:eastAsiaTheme="majorEastAsia" w:cstheme="majorEastAsia"/>
                <w:color w:val="auto"/>
                <w:sz w:val="18"/>
                <w:szCs w:val="18"/>
              </w:rPr>
              <w:t>与政策</w:t>
            </w:r>
          </w:p>
        </w:tc>
        <w:tc>
          <w:tcPr>
            <w:tcW w:w="1081" w:type="dxa"/>
            <w:vAlign w:val="center"/>
          </w:tcPr>
          <w:p w14:paraId="3A20DF52">
            <w:pPr>
              <w:jc w:val="center"/>
              <w:rPr>
                <w:i/>
                <w:color w:val="auto"/>
                <w:sz w:val="18"/>
                <w:szCs w:val="18"/>
              </w:rPr>
            </w:pPr>
            <w:r>
              <w:rPr>
                <w:rFonts w:hint="eastAsia"/>
                <w:color w:val="auto"/>
                <w:sz w:val="18"/>
                <w:szCs w:val="18"/>
              </w:rPr>
              <w:t>FZ0415212</w:t>
            </w:r>
          </w:p>
        </w:tc>
        <w:tc>
          <w:tcPr>
            <w:tcW w:w="709" w:type="dxa"/>
            <w:vAlign w:val="center"/>
          </w:tcPr>
          <w:p w14:paraId="2F997056">
            <w:pPr>
              <w:jc w:val="center"/>
              <w:rPr>
                <w:i/>
                <w:color w:val="auto"/>
                <w:sz w:val="18"/>
                <w:szCs w:val="18"/>
              </w:rPr>
            </w:pPr>
            <w:r>
              <w:rPr>
                <w:rFonts w:hint="eastAsia"/>
                <w:color w:val="auto"/>
                <w:lang w:val="en-US" w:eastAsia="zh-CN"/>
              </w:rPr>
              <w:t>2</w:t>
            </w:r>
          </w:p>
        </w:tc>
        <w:tc>
          <w:tcPr>
            <w:tcW w:w="709" w:type="dxa"/>
            <w:vAlign w:val="center"/>
          </w:tcPr>
          <w:p w14:paraId="324CF2B0">
            <w:pPr>
              <w:jc w:val="center"/>
              <w:rPr>
                <w:i/>
                <w:color w:val="auto"/>
                <w:sz w:val="18"/>
                <w:szCs w:val="18"/>
              </w:rPr>
            </w:pPr>
            <w:r>
              <w:rPr>
                <w:rFonts w:hint="eastAsia"/>
                <w:color w:val="auto"/>
                <w:lang w:val="en-US" w:eastAsia="zh-CN"/>
              </w:rPr>
              <w:t>3</w:t>
            </w:r>
          </w:p>
        </w:tc>
        <w:tc>
          <w:tcPr>
            <w:tcW w:w="1162" w:type="dxa"/>
            <w:vMerge w:val="continue"/>
            <w:vAlign w:val="center"/>
          </w:tcPr>
          <w:p w14:paraId="3BD67E26">
            <w:pPr>
              <w:adjustRightInd w:val="0"/>
              <w:snapToGrid w:val="0"/>
              <w:jc w:val="center"/>
              <w:rPr>
                <w:color w:val="auto"/>
                <w:sz w:val="18"/>
                <w:szCs w:val="18"/>
              </w:rPr>
            </w:pPr>
          </w:p>
        </w:tc>
      </w:tr>
      <w:tr w14:paraId="6C6E26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02A0AF">
            <w:pPr>
              <w:rPr>
                <w:b/>
                <w:color w:val="auto"/>
                <w:sz w:val="18"/>
                <w:szCs w:val="18"/>
              </w:rPr>
            </w:pPr>
          </w:p>
        </w:tc>
        <w:tc>
          <w:tcPr>
            <w:tcW w:w="1226" w:type="dxa"/>
            <w:vMerge w:val="continue"/>
            <w:vAlign w:val="center"/>
          </w:tcPr>
          <w:p w14:paraId="0E6109E4">
            <w:pPr>
              <w:adjustRightInd w:val="0"/>
              <w:snapToGrid w:val="0"/>
              <w:jc w:val="center"/>
              <w:rPr>
                <w:b/>
                <w:color w:val="auto"/>
                <w:sz w:val="18"/>
                <w:szCs w:val="18"/>
              </w:rPr>
            </w:pPr>
          </w:p>
        </w:tc>
        <w:tc>
          <w:tcPr>
            <w:tcW w:w="3516" w:type="dxa"/>
            <w:shd w:val="clear" w:color="auto" w:fill="auto"/>
            <w:vAlign w:val="center"/>
          </w:tcPr>
          <w:p w14:paraId="6867BE69">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社会保障理论与政策</w:t>
            </w:r>
          </w:p>
        </w:tc>
        <w:tc>
          <w:tcPr>
            <w:tcW w:w="1081" w:type="dxa"/>
            <w:vAlign w:val="center"/>
          </w:tcPr>
          <w:p w14:paraId="10FCA3E1">
            <w:pPr>
              <w:jc w:val="center"/>
              <w:rPr>
                <w:i/>
                <w:color w:val="auto"/>
                <w:sz w:val="18"/>
                <w:szCs w:val="18"/>
              </w:rPr>
            </w:pPr>
            <w:r>
              <w:rPr>
                <w:rFonts w:hint="eastAsia"/>
                <w:color w:val="auto"/>
                <w:sz w:val="18"/>
                <w:szCs w:val="18"/>
              </w:rPr>
              <w:t>FZ0415201</w:t>
            </w:r>
          </w:p>
        </w:tc>
        <w:tc>
          <w:tcPr>
            <w:tcW w:w="709" w:type="dxa"/>
            <w:vAlign w:val="center"/>
          </w:tcPr>
          <w:p w14:paraId="2E52052C">
            <w:pPr>
              <w:jc w:val="center"/>
              <w:rPr>
                <w:rFonts w:hint="eastAsia"/>
                <w:color w:val="auto"/>
                <w:lang w:val="en-US" w:eastAsia="zh-CN"/>
              </w:rPr>
            </w:pPr>
            <w:r>
              <w:rPr>
                <w:rFonts w:hint="eastAsia"/>
                <w:color w:val="auto"/>
                <w:lang w:val="en-US" w:eastAsia="zh-CN"/>
              </w:rPr>
              <w:t>2</w:t>
            </w:r>
          </w:p>
        </w:tc>
        <w:tc>
          <w:tcPr>
            <w:tcW w:w="709" w:type="dxa"/>
            <w:vAlign w:val="center"/>
          </w:tcPr>
          <w:p w14:paraId="45858F47">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082F241B">
            <w:pPr>
              <w:adjustRightInd w:val="0"/>
              <w:snapToGrid w:val="0"/>
              <w:jc w:val="center"/>
              <w:rPr>
                <w:color w:val="auto"/>
                <w:sz w:val="18"/>
                <w:szCs w:val="18"/>
              </w:rPr>
            </w:pPr>
          </w:p>
        </w:tc>
      </w:tr>
      <w:tr w14:paraId="0D9236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7BAC2F">
            <w:pPr>
              <w:rPr>
                <w:b/>
                <w:color w:val="auto"/>
                <w:sz w:val="18"/>
                <w:szCs w:val="18"/>
              </w:rPr>
            </w:pPr>
          </w:p>
        </w:tc>
        <w:tc>
          <w:tcPr>
            <w:tcW w:w="1226" w:type="dxa"/>
            <w:vMerge w:val="continue"/>
            <w:vAlign w:val="center"/>
          </w:tcPr>
          <w:p w14:paraId="49C70246">
            <w:pPr>
              <w:adjustRightInd w:val="0"/>
              <w:snapToGrid w:val="0"/>
              <w:jc w:val="center"/>
              <w:rPr>
                <w:b/>
                <w:color w:val="auto"/>
                <w:sz w:val="18"/>
                <w:szCs w:val="18"/>
              </w:rPr>
            </w:pPr>
          </w:p>
        </w:tc>
        <w:tc>
          <w:tcPr>
            <w:tcW w:w="3516" w:type="dxa"/>
            <w:shd w:val="clear" w:color="auto" w:fill="auto"/>
            <w:vAlign w:val="center"/>
          </w:tcPr>
          <w:p w14:paraId="6CF55103">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公共人力资源管理</w:t>
            </w:r>
          </w:p>
        </w:tc>
        <w:tc>
          <w:tcPr>
            <w:tcW w:w="1081" w:type="dxa"/>
            <w:shd w:val="clear" w:color="auto" w:fill="auto"/>
            <w:vAlign w:val="top"/>
          </w:tcPr>
          <w:p w14:paraId="08F3C7F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FZ0415202</w:t>
            </w:r>
          </w:p>
        </w:tc>
        <w:tc>
          <w:tcPr>
            <w:tcW w:w="709" w:type="dxa"/>
            <w:vAlign w:val="center"/>
          </w:tcPr>
          <w:p w14:paraId="101DADD9">
            <w:pPr>
              <w:jc w:val="center"/>
              <w:rPr>
                <w:rFonts w:hint="eastAsia"/>
                <w:color w:val="auto"/>
                <w:lang w:val="en-US" w:eastAsia="zh-CN"/>
              </w:rPr>
            </w:pPr>
            <w:r>
              <w:rPr>
                <w:rFonts w:hint="eastAsia"/>
                <w:color w:val="auto"/>
                <w:lang w:val="en-US" w:eastAsia="zh-CN"/>
              </w:rPr>
              <w:t>2</w:t>
            </w:r>
          </w:p>
        </w:tc>
        <w:tc>
          <w:tcPr>
            <w:tcW w:w="709" w:type="dxa"/>
            <w:vAlign w:val="center"/>
          </w:tcPr>
          <w:p w14:paraId="335A4BA9">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36C81EF5">
            <w:pPr>
              <w:adjustRightInd w:val="0"/>
              <w:snapToGrid w:val="0"/>
              <w:jc w:val="center"/>
              <w:rPr>
                <w:color w:val="auto"/>
                <w:sz w:val="18"/>
                <w:szCs w:val="18"/>
              </w:rPr>
            </w:pPr>
          </w:p>
        </w:tc>
      </w:tr>
      <w:tr w14:paraId="1FC08A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D7863A">
            <w:pPr>
              <w:rPr>
                <w:b/>
                <w:color w:val="auto"/>
                <w:sz w:val="18"/>
                <w:szCs w:val="18"/>
              </w:rPr>
            </w:pPr>
          </w:p>
        </w:tc>
        <w:tc>
          <w:tcPr>
            <w:tcW w:w="1226" w:type="dxa"/>
            <w:vMerge w:val="continue"/>
            <w:vAlign w:val="center"/>
          </w:tcPr>
          <w:p w14:paraId="1E0CF6CB">
            <w:pPr>
              <w:adjustRightInd w:val="0"/>
              <w:snapToGrid w:val="0"/>
              <w:jc w:val="center"/>
              <w:rPr>
                <w:b/>
                <w:color w:val="auto"/>
                <w:sz w:val="18"/>
                <w:szCs w:val="18"/>
              </w:rPr>
            </w:pPr>
          </w:p>
        </w:tc>
        <w:tc>
          <w:tcPr>
            <w:tcW w:w="3516" w:type="dxa"/>
            <w:shd w:val="clear" w:color="auto" w:fill="auto"/>
            <w:vAlign w:val="center"/>
          </w:tcPr>
          <w:p w14:paraId="0458DED6">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劳动就业政策</w:t>
            </w:r>
          </w:p>
        </w:tc>
        <w:tc>
          <w:tcPr>
            <w:tcW w:w="1081" w:type="dxa"/>
            <w:shd w:val="clear" w:color="auto" w:fill="auto"/>
            <w:vAlign w:val="top"/>
          </w:tcPr>
          <w:p w14:paraId="760D169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FZ0415203</w:t>
            </w:r>
          </w:p>
        </w:tc>
        <w:tc>
          <w:tcPr>
            <w:tcW w:w="709" w:type="dxa"/>
            <w:vAlign w:val="center"/>
          </w:tcPr>
          <w:p w14:paraId="71942B38">
            <w:pPr>
              <w:jc w:val="center"/>
              <w:rPr>
                <w:rFonts w:hint="default"/>
                <w:color w:val="auto"/>
                <w:lang w:val="en-US" w:eastAsia="zh-CN"/>
              </w:rPr>
            </w:pPr>
            <w:r>
              <w:rPr>
                <w:rFonts w:hint="eastAsia"/>
                <w:color w:val="auto"/>
                <w:lang w:val="en-US" w:eastAsia="zh-CN"/>
              </w:rPr>
              <w:t>2</w:t>
            </w:r>
          </w:p>
        </w:tc>
        <w:tc>
          <w:tcPr>
            <w:tcW w:w="709" w:type="dxa"/>
            <w:vAlign w:val="center"/>
          </w:tcPr>
          <w:p w14:paraId="65892D12">
            <w:pPr>
              <w:jc w:val="center"/>
              <w:rPr>
                <w:rFonts w:hint="default"/>
                <w:color w:val="auto"/>
                <w:lang w:val="en-US" w:eastAsia="zh-CN"/>
              </w:rPr>
            </w:pPr>
            <w:r>
              <w:rPr>
                <w:rFonts w:hint="eastAsia"/>
                <w:color w:val="auto"/>
                <w:lang w:val="en-US" w:eastAsia="zh-CN"/>
              </w:rPr>
              <w:t>2</w:t>
            </w:r>
          </w:p>
        </w:tc>
        <w:tc>
          <w:tcPr>
            <w:tcW w:w="1162" w:type="dxa"/>
            <w:vMerge w:val="continue"/>
            <w:vAlign w:val="center"/>
          </w:tcPr>
          <w:p w14:paraId="27D413A0">
            <w:pPr>
              <w:adjustRightInd w:val="0"/>
              <w:snapToGrid w:val="0"/>
              <w:jc w:val="center"/>
              <w:rPr>
                <w:color w:val="auto"/>
                <w:sz w:val="18"/>
                <w:szCs w:val="18"/>
              </w:rPr>
            </w:pPr>
          </w:p>
        </w:tc>
      </w:tr>
      <w:tr w14:paraId="093779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70A527">
            <w:pPr>
              <w:rPr>
                <w:b/>
                <w:color w:val="auto"/>
                <w:sz w:val="18"/>
                <w:szCs w:val="18"/>
              </w:rPr>
            </w:pPr>
          </w:p>
        </w:tc>
        <w:tc>
          <w:tcPr>
            <w:tcW w:w="1226" w:type="dxa"/>
            <w:vMerge w:val="continue"/>
            <w:vAlign w:val="center"/>
          </w:tcPr>
          <w:p w14:paraId="3FFBBEAC">
            <w:pPr>
              <w:adjustRightInd w:val="0"/>
              <w:snapToGrid w:val="0"/>
              <w:jc w:val="center"/>
              <w:rPr>
                <w:b/>
                <w:color w:val="auto"/>
                <w:sz w:val="18"/>
                <w:szCs w:val="18"/>
              </w:rPr>
            </w:pPr>
          </w:p>
        </w:tc>
        <w:tc>
          <w:tcPr>
            <w:tcW w:w="3516" w:type="dxa"/>
            <w:shd w:val="clear" w:color="auto" w:fill="auto"/>
            <w:vAlign w:val="center"/>
          </w:tcPr>
          <w:p w14:paraId="0BCCE379">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宏观经济与财税政策</w:t>
            </w:r>
          </w:p>
        </w:tc>
        <w:tc>
          <w:tcPr>
            <w:tcW w:w="1081" w:type="dxa"/>
            <w:shd w:val="clear" w:color="auto" w:fill="auto"/>
            <w:vAlign w:val="top"/>
          </w:tcPr>
          <w:p w14:paraId="454D5AA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9</w:t>
            </w:r>
          </w:p>
        </w:tc>
        <w:tc>
          <w:tcPr>
            <w:tcW w:w="709" w:type="dxa"/>
            <w:vAlign w:val="center"/>
          </w:tcPr>
          <w:p w14:paraId="29F8D79A">
            <w:pPr>
              <w:jc w:val="center"/>
              <w:rPr>
                <w:rFonts w:hint="eastAsia"/>
                <w:color w:val="auto"/>
                <w:lang w:val="en-US" w:eastAsia="zh-CN"/>
              </w:rPr>
            </w:pPr>
            <w:r>
              <w:rPr>
                <w:rFonts w:hint="eastAsia"/>
                <w:color w:val="auto"/>
                <w:lang w:val="en-US" w:eastAsia="zh-CN"/>
              </w:rPr>
              <w:t>2</w:t>
            </w:r>
          </w:p>
        </w:tc>
        <w:tc>
          <w:tcPr>
            <w:tcW w:w="709" w:type="dxa"/>
            <w:vAlign w:val="center"/>
          </w:tcPr>
          <w:p w14:paraId="54D8B6E8">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218A7A8B">
            <w:pPr>
              <w:adjustRightInd w:val="0"/>
              <w:snapToGrid w:val="0"/>
              <w:jc w:val="center"/>
              <w:rPr>
                <w:color w:val="auto"/>
                <w:sz w:val="18"/>
                <w:szCs w:val="18"/>
              </w:rPr>
            </w:pPr>
          </w:p>
        </w:tc>
      </w:tr>
      <w:tr w14:paraId="476DBB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ACC8FD">
            <w:pPr>
              <w:rPr>
                <w:b/>
                <w:color w:val="auto"/>
                <w:sz w:val="18"/>
                <w:szCs w:val="18"/>
              </w:rPr>
            </w:pPr>
          </w:p>
        </w:tc>
        <w:tc>
          <w:tcPr>
            <w:tcW w:w="1226" w:type="dxa"/>
            <w:vMerge w:val="continue"/>
            <w:vAlign w:val="center"/>
          </w:tcPr>
          <w:p w14:paraId="51B8D42F">
            <w:pPr>
              <w:adjustRightInd w:val="0"/>
              <w:snapToGrid w:val="0"/>
              <w:jc w:val="center"/>
              <w:rPr>
                <w:b/>
                <w:color w:val="auto"/>
                <w:sz w:val="18"/>
                <w:szCs w:val="18"/>
              </w:rPr>
            </w:pPr>
          </w:p>
        </w:tc>
        <w:tc>
          <w:tcPr>
            <w:tcW w:w="3516" w:type="dxa"/>
            <w:shd w:val="clear" w:color="auto" w:fill="auto"/>
            <w:vAlign w:val="center"/>
          </w:tcPr>
          <w:p w14:paraId="260F906B">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国际税收</w:t>
            </w:r>
          </w:p>
        </w:tc>
        <w:tc>
          <w:tcPr>
            <w:tcW w:w="1081" w:type="dxa"/>
            <w:shd w:val="clear" w:color="auto" w:fill="auto"/>
            <w:vAlign w:val="top"/>
          </w:tcPr>
          <w:p w14:paraId="49BC9A09">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FZ04152</w:t>
            </w:r>
            <w:r>
              <w:rPr>
                <w:rFonts w:hint="eastAsia"/>
                <w:color w:val="auto"/>
                <w:sz w:val="18"/>
                <w:szCs w:val="18"/>
                <w:lang w:val="en-US" w:eastAsia="zh-CN"/>
              </w:rPr>
              <w:t>10</w:t>
            </w:r>
          </w:p>
        </w:tc>
        <w:tc>
          <w:tcPr>
            <w:tcW w:w="709" w:type="dxa"/>
            <w:vAlign w:val="center"/>
          </w:tcPr>
          <w:p w14:paraId="463F74D9">
            <w:pPr>
              <w:jc w:val="center"/>
              <w:rPr>
                <w:rFonts w:hint="eastAsia"/>
                <w:color w:val="auto"/>
                <w:lang w:val="en-US" w:eastAsia="zh-CN"/>
              </w:rPr>
            </w:pPr>
            <w:r>
              <w:rPr>
                <w:rFonts w:hint="eastAsia"/>
                <w:color w:val="auto"/>
                <w:lang w:val="en-US" w:eastAsia="zh-CN"/>
              </w:rPr>
              <w:t>2</w:t>
            </w:r>
          </w:p>
        </w:tc>
        <w:tc>
          <w:tcPr>
            <w:tcW w:w="709" w:type="dxa"/>
            <w:vAlign w:val="center"/>
          </w:tcPr>
          <w:p w14:paraId="0E60A84C">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16A39ED3">
            <w:pPr>
              <w:adjustRightInd w:val="0"/>
              <w:snapToGrid w:val="0"/>
              <w:jc w:val="center"/>
              <w:rPr>
                <w:color w:val="auto"/>
                <w:sz w:val="18"/>
                <w:szCs w:val="18"/>
              </w:rPr>
            </w:pPr>
          </w:p>
        </w:tc>
      </w:tr>
      <w:tr w14:paraId="550097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54F8CF">
            <w:pPr>
              <w:rPr>
                <w:b/>
                <w:color w:val="auto"/>
                <w:sz w:val="18"/>
                <w:szCs w:val="18"/>
              </w:rPr>
            </w:pPr>
          </w:p>
        </w:tc>
        <w:tc>
          <w:tcPr>
            <w:tcW w:w="1226" w:type="dxa"/>
            <w:vMerge w:val="continue"/>
            <w:vAlign w:val="center"/>
          </w:tcPr>
          <w:p w14:paraId="1959D0F3">
            <w:pPr>
              <w:jc w:val="center"/>
              <w:rPr>
                <w:b/>
                <w:color w:val="auto"/>
                <w:sz w:val="18"/>
                <w:szCs w:val="18"/>
              </w:rPr>
            </w:pPr>
          </w:p>
        </w:tc>
        <w:tc>
          <w:tcPr>
            <w:tcW w:w="3516" w:type="dxa"/>
            <w:vAlign w:val="center"/>
          </w:tcPr>
          <w:p w14:paraId="22E1F78B">
            <w:pPr>
              <w:adjustRightInd w:val="0"/>
              <w:snapToGrid w:val="0"/>
              <w:rPr>
                <w:rFonts w:hint="default" w:eastAsia="宋体"/>
                <w:i/>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公共文化管理</w:t>
            </w:r>
          </w:p>
        </w:tc>
        <w:tc>
          <w:tcPr>
            <w:tcW w:w="1081" w:type="dxa"/>
            <w:vAlign w:val="center"/>
          </w:tcPr>
          <w:p w14:paraId="5CBD88E6">
            <w:pPr>
              <w:jc w:val="center"/>
              <w:rPr>
                <w:rFonts w:hint="eastAsia" w:eastAsia="宋体"/>
                <w:color w:val="auto"/>
                <w:sz w:val="18"/>
                <w:szCs w:val="18"/>
                <w:lang w:val="en-US" w:eastAsia="zh-CN"/>
              </w:rPr>
            </w:pPr>
            <w:r>
              <w:rPr>
                <w:rFonts w:hint="eastAsia"/>
                <w:color w:val="auto"/>
                <w:sz w:val="18"/>
                <w:szCs w:val="18"/>
              </w:rPr>
              <w:t>FZ041520</w:t>
            </w:r>
            <w:r>
              <w:rPr>
                <w:rFonts w:hint="eastAsia"/>
                <w:color w:val="auto"/>
                <w:sz w:val="18"/>
                <w:szCs w:val="18"/>
                <w:lang w:val="en-US" w:eastAsia="zh-CN"/>
              </w:rPr>
              <w:t>7</w:t>
            </w:r>
          </w:p>
        </w:tc>
        <w:tc>
          <w:tcPr>
            <w:tcW w:w="709" w:type="dxa"/>
            <w:vAlign w:val="center"/>
          </w:tcPr>
          <w:p w14:paraId="711C5C6C">
            <w:pPr>
              <w:jc w:val="center"/>
              <w:rPr>
                <w:color w:val="auto"/>
                <w:sz w:val="18"/>
                <w:szCs w:val="18"/>
              </w:rPr>
            </w:pPr>
            <w:r>
              <w:rPr>
                <w:rFonts w:hint="eastAsia"/>
                <w:color w:val="auto"/>
                <w:lang w:val="en-US" w:eastAsia="zh-CN"/>
              </w:rPr>
              <w:t>2</w:t>
            </w:r>
          </w:p>
        </w:tc>
        <w:tc>
          <w:tcPr>
            <w:tcW w:w="709" w:type="dxa"/>
            <w:vAlign w:val="center"/>
          </w:tcPr>
          <w:p w14:paraId="609089CC">
            <w:pPr>
              <w:jc w:val="center"/>
              <w:rPr>
                <w:i/>
                <w:color w:val="auto"/>
                <w:sz w:val="18"/>
                <w:szCs w:val="18"/>
              </w:rPr>
            </w:pPr>
            <w:r>
              <w:rPr>
                <w:rFonts w:hint="eastAsia"/>
                <w:color w:val="auto"/>
                <w:lang w:val="en-US" w:eastAsia="zh-CN"/>
              </w:rPr>
              <w:t>2</w:t>
            </w:r>
          </w:p>
        </w:tc>
        <w:tc>
          <w:tcPr>
            <w:tcW w:w="1162" w:type="dxa"/>
            <w:vMerge w:val="continue"/>
            <w:vAlign w:val="center"/>
          </w:tcPr>
          <w:p w14:paraId="1311BBA1">
            <w:pPr>
              <w:jc w:val="center"/>
              <w:rPr>
                <w:color w:val="auto"/>
                <w:sz w:val="18"/>
                <w:szCs w:val="18"/>
              </w:rPr>
            </w:pPr>
          </w:p>
        </w:tc>
      </w:tr>
      <w:tr w14:paraId="096E61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B829E15">
            <w:pPr>
              <w:rPr>
                <w:b/>
                <w:color w:val="auto"/>
                <w:sz w:val="18"/>
                <w:szCs w:val="18"/>
              </w:rPr>
            </w:pPr>
          </w:p>
        </w:tc>
        <w:tc>
          <w:tcPr>
            <w:tcW w:w="1226" w:type="dxa"/>
            <w:vMerge w:val="restart"/>
            <w:vAlign w:val="center"/>
          </w:tcPr>
          <w:p w14:paraId="0D9F21EB">
            <w:pPr>
              <w:adjustRightInd w:val="0"/>
              <w:snapToGrid w:val="0"/>
              <w:jc w:val="center"/>
              <w:rPr>
                <w:b/>
                <w:i/>
                <w:color w:val="auto"/>
                <w:sz w:val="18"/>
                <w:szCs w:val="18"/>
              </w:rPr>
            </w:pPr>
            <w:r>
              <w:rPr>
                <w:rFonts w:hint="eastAsia"/>
                <w:b/>
                <w:color w:val="auto"/>
                <w:sz w:val="18"/>
                <w:szCs w:val="18"/>
                <w:lang w:val="en-US" w:eastAsia="zh-CN"/>
              </w:rPr>
              <w:t>财税管理</w:t>
            </w:r>
            <w:r>
              <w:rPr>
                <w:b/>
                <w:color w:val="auto"/>
                <w:sz w:val="18"/>
                <w:szCs w:val="18"/>
              </w:rPr>
              <w:t>方向</w:t>
            </w:r>
          </w:p>
          <w:p w14:paraId="5EA8CFA1">
            <w:pPr>
              <w:adjustRightInd w:val="0"/>
              <w:snapToGrid w:val="0"/>
              <w:jc w:val="center"/>
              <w:rPr>
                <w:b/>
                <w:color w:val="auto"/>
                <w:sz w:val="18"/>
                <w:szCs w:val="18"/>
              </w:rPr>
            </w:pPr>
            <w:r>
              <w:rPr>
                <w:b/>
                <w:color w:val="auto"/>
                <w:sz w:val="18"/>
                <w:szCs w:val="18"/>
              </w:rPr>
              <w:t>选修课</w:t>
            </w:r>
          </w:p>
        </w:tc>
        <w:tc>
          <w:tcPr>
            <w:tcW w:w="3516" w:type="dxa"/>
            <w:vAlign w:val="center"/>
          </w:tcPr>
          <w:p w14:paraId="50CCD9B5">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rPr>
              <w:t>管理沟通</w:t>
            </w:r>
          </w:p>
        </w:tc>
        <w:tc>
          <w:tcPr>
            <w:tcW w:w="1081" w:type="dxa"/>
            <w:shd w:val="clear" w:color="auto" w:fill="auto"/>
            <w:vAlign w:val="center"/>
          </w:tcPr>
          <w:p w14:paraId="003E4B6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FZ0415204</w:t>
            </w:r>
          </w:p>
        </w:tc>
        <w:tc>
          <w:tcPr>
            <w:tcW w:w="709" w:type="dxa"/>
            <w:vAlign w:val="center"/>
          </w:tcPr>
          <w:p w14:paraId="2BAF8070">
            <w:pPr>
              <w:jc w:val="center"/>
              <w:rPr>
                <w:color w:val="auto"/>
              </w:rPr>
            </w:pPr>
            <w:r>
              <w:rPr>
                <w:rFonts w:hint="eastAsia"/>
                <w:color w:val="auto"/>
                <w:lang w:val="en-US" w:eastAsia="zh-CN"/>
              </w:rPr>
              <w:t>2</w:t>
            </w:r>
          </w:p>
        </w:tc>
        <w:tc>
          <w:tcPr>
            <w:tcW w:w="709" w:type="dxa"/>
            <w:vAlign w:val="center"/>
          </w:tcPr>
          <w:p w14:paraId="3B5EBFB1">
            <w:pPr>
              <w:jc w:val="center"/>
              <w:rPr>
                <w:color w:val="auto"/>
              </w:rPr>
            </w:pPr>
            <w:r>
              <w:rPr>
                <w:rFonts w:hint="eastAsia"/>
                <w:color w:val="auto"/>
                <w:lang w:val="en-US" w:eastAsia="zh-CN"/>
              </w:rPr>
              <w:t>2</w:t>
            </w:r>
          </w:p>
        </w:tc>
        <w:tc>
          <w:tcPr>
            <w:tcW w:w="1162" w:type="dxa"/>
            <w:vMerge w:val="restart"/>
            <w:vAlign w:val="center"/>
          </w:tcPr>
          <w:p w14:paraId="598375CC">
            <w:pPr>
              <w:adjustRightInd w:val="0"/>
              <w:snapToGrid w:val="0"/>
              <w:jc w:val="center"/>
              <w:rPr>
                <w:color w:val="auto"/>
                <w:sz w:val="18"/>
                <w:szCs w:val="18"/>
              </w:rPr>
            </w:pPr>
            <w:r>
              <w:rPr>
                <w:color w:val="auto"/>
                <w:sz w:val="18"/>
                <w:szCs w:val="18"/>
              </w:rPr>
              <w:t>本方向研究生至少选修</w:t>
            </w:r>
          </w:p>
          <w:p w14:paraId="1BCA08D4">
            <w:pPr>
              <w:adjustRightInd w:val="0"/>
              <w:snapToGrid w:val="0"/>
              <w:jc w:val="center"/>
              <w:rPr>
                <w:color w:val="auto"/>
                <w:sz w:val="18"/>
                <w:szCs w:val="18"/>
              </w:rPr>
            </w:pPr>
            <w:r>
              <w:rPr>
                <w:rFonts w:hint="eastAsia"/>
                <w:color w:val="auto"/>
                <w:sz w:val="18"/>
                <w:szCs w:val="18"/>
                <w:lang w:val="en-US" w:eastAsia="zh-CN"/>
              </w:rPr>
              <w:t>8</w:t>
            </w:r>
            <w:r>
              <w:rPr>
                <w:color w:val="auto"/>
                <w:sz w:val="18"/>
                <w:szCs w:val="18"/>
              </w:rPr>
              <w:t>学分</w:t>
            </w:r>
          </w:p>
        </w:tc>
      </w:tr>
      <w:tr w14:paraId="324EF7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111A34">
            <w:pPr>
              <w:rPr>
                <w:b/>
                <w:color w:val="auto"/>
                <w:sz w:val="18"/>
                <w:szCs w:val="18"/>
              </w:rPr>
            </w:pPr>
          </w:p>
        </w:tc>
        <w:tc>
          <w:tcPr>
            <w:tcW w:w="1226" w:type="dxa"/>
            <w:vMerge w:val="continue"/>
            <w:vAlign w:val="center"/>
          </w:tcPr>
          <w:p w14:paraId="555CAD0A">
            <w:pPr>
              <w:adjustRightInd w:val="0"/>
              <w:snapToGrid w:val="0"/>
              <w:jc w:val="center"/>
              <w:rPr>
                <w:b/>
                <w:color w:val="auto"/>
                <w:sz w:val="18"/>
                <w:szCs w:val="18"/>
              </w:rPr>
            </w:pPr>
          </w:p>
        </w:tc>
        <w:tc>
          <w:tcPr>
            <w:tcW w:w="3516" w:type="dxa"/>
            <w:vAlign w:val="center"/>
          </w:tcPr>
          <w:p w14:paraId="325C1CAD">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rPr>
              <w:t>公共信息安全</w:t>
            </w:r>
          </w:p>
        </w:tc>
        <w:tc>
          <w:tcPr>
            <w:tcW w:w="1081" w:type="dxa"/>
            <w:shd w:val="clear" w:color="auto" w:fill="auto"/>
            <w:vAlign w:val="center"/>
          </w:tcPr>
          <w:p w14:paraId="26EB2171">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5</w:t>
            </w:r>
          </w:p>
        </w:tc>
        <w:tc>
          <w:tcPr>
            <w:tcW w:w="709" w:type="dxa"/>
            <w:vAlign w:val="center"/>
          </w:tcPr>
          <w:p w14:paraId="45EA3F67">
            <w:pPr>
              <w:jc w:val="center"/>
              <w:rPr>
                <w:color w:val="auto"/>
              </w:rPr>
            </w:pPr>
            <w:r>
              <w:rPr>
                <w:rFonts w:hint="eastAsia"/>
                <w:color w:val="auto"/>
                <w:lang w:val="en-US" w:eastAsia="zh-CN"/>
              </w:rPr>
              <w:t>2</w:t>
            </w:r>
          </w:p>
        </w:tc>
        <w:tc>
          <w:tcPr>
            <w:tcW w:w="709" w:type="dxa"/>
            <w:vAlign w:val="center"/>
          </w:tcPr>
          <w:p w14:paraId="6F60B2A2">
            <w:pPr>
              <w:jc w:val="center"/>
              <w:rPr>
                <w:color w:val="auto"/>
              </w:rPr>
            </w:pPr>
            <w:r>
              <w:rPr>
                <w:rFonts w:hint="eastAsia"/>
                <w:color w:val="auto"/>
                <w:lang w:val="en-US" w:eastAsia="zh-CN"/>
              </w:rPr>
              <w:t>3</w:t>
            </w:r>
          </w:p>
        </w:tc>
        <w:tc>
          <w:tcPr>
            <w:tcW w:w="1162" w:type="dxa"/>
            <w:vMerge w:val="continue"/>
            <w:vAlign w:val="center"/>
          </w:tcPr>
          <w:p w14:paraId="24C381AB">
            <w:pPr>
              <w:adjustRightInd w:val="0"/>
              <w:snapToGrid w:val="0"/>
              <w:jc w:val="center"/>
              <w:rPr>
                <w:color w:val="auto"/>
                <w:sz w:val="18"/>
                <w:szCs w:val="18"/>
              </w:rPr>
            </w:pPr>
          </w:p>
        </w:tc>
      </w:tr>
      <w:tr w14:paraId="1B06C5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BC1CDA">
            <w:pPr>
              <w:rPr>
                <w:b/>
                <w:color w:val="auto"/>
                <w:sz w:val="18"/>
                <w:szCs w:val="18"/>
              </w:rPr>
            </w:pPr>
          </w:p>
        </w:tc>
        <w:tc>
          <w:tcPr>
            <w:tcW w:w="1226" w:type="dxa"/>
            <w:vMerge w:val="continue"/>
            <w:vAlign w:val="center"/>
          </w:tcPr>
          <w:p w14:paraId="333B589E">
            <w:pPr>
              <w:adjustRightInd w:val="0"/>
              <w:snapToGrid w:val="0"/>
              <w:jc w:val="center"/>
              <w:rPr>
                <w:b/>
                <w:color w:val="auto"/>
                <w:sz w:val="18"/>
                <w:szCs w:val="18"/>
              </w:rPr>
            </w:pPr>
          </w:p>
        </w:tc>
        <w:tc>
          <w:tcPr>
            <w:tcW w:w="3516" w:type="dxa"/>
            <w:shd w:val="clear" w:color="auto" w:fill="auto"/>
            <w:vAlign w:val="center"/>
          </w:tcPr>
          <w:p w14:paraId="542E534E">
            <w:pP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sz w:val="18"/>
                <w:szCs w:val="18"/>
              </w:rPr>
              <w:t>应急管理</w:t>
            </w:r>
            <w:r>
              <w:rPr>
                <w:rFonts w:hint="eastAsia" w:asciiTheme="majorEastAsia" w:hAnsiTheme="majorEastAsia" w:eastAsiaTheme="majorEastAsia" w:cstheme="majorEastAsia"/>
                <w:color w:val="auto"/>
                <w:sz w:val="18"/>
                <w:szCs w:val="18"/>
                <w:lang w:val="en-US" w:eastAsia="zh-CN"/>
              </w:rPr>
              <w:t>理论</w:t>
            </w:r>
            <w:r>
              <w:rPr>
                <w:rFonts w:hint="eastAsia" w:asciiTheme="majorEastAsia" w:hAnsiTheme="majorEastAsia" w:eastAsiaTheme="majorEastAsia" w:cstheme="majorEastAsia"/>
                <w:color w:val="auto"/>
                <w:sz w:val="18"/>
                <w:szCs w:val="18"/>
              </w:rPr>
              <w:t>与政策</w:t>
            </w:r>
          </w:p>
        </w:tc>
        <w:tc>
          <w:tcPr>
            <w:tcW w:w="1081" w:type="dxa"/>
            <w:shd w:val="clear" w:color="auto" w:fill="auto"/>
            <w:vAlign w:val="center"/>
          </w:tcPr>
          <w:p w14:paraId="0CA62161">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FZ0415212</w:t>
            </w:r>
          </w:p>
        </w:tc>
        <w:tc>
          <w:tcPr>
            <w:tcW w:w="709" w:type="dxa"/>
            <w:vAlign w:val="center"/>
          </w:tcPr>
          <w:p w14:paraId="3DE62D9F">
            <w:pPr>
              <w:jc w:val="center"/>
              <w:rPr>
                <w:rFonts w:hint="default"/>
                <w:color w:val="auto"/>
                <w:lang w:val="en-US" w:eastAsia="zh-CN"/>
              </w:rPr>
            </w:pPr>
            <w:r>
              <w:rPr>
                <w:rFonts w:hint="eastAsia"/>
                <w:color w:val="auto"/>
                <w:lang w:val="en-US" w:eastAsia="zh-CN"/>
              </w:rPr>
              <w:t>2</w:t>
            </w:r>
          </w:p>
        </w:tc>
        <w:tc>
          <w:tcPr>
            <w:tcW w:w="709" w:type="dxa"/>
            <w:vAlign w:val="center"/>
          </w:tcPr>
          <w:p w14:paraId="416C363C">
            <w:pPr>
              <w:jc w:val="center"/>
              <w:rPr>
                <w:rFonts w:hint="default"/>
                <w:color w:val="auto"/>
                <w:lang w:val="en-US" w:eastAsia="zh-CN"/>
              </w:rPr>
            </w:pPr>
            <w:r>
              <w:rPr>
                <w:rFonts w:hint="eastAsia"/>
                <w:color w:val="auto"/>
                <w:lang w:val="en-US" w:eastAsia="zh-CN"/>
              </w:rPr>
              <w:t>3</w:t>
            </w:r>
          </w:p>
        </w:tc>
        <w:tc>
          <w:tcPr>
            <w:tcW w:w="1162" w:type="dxa"/>
            <w:vMerge w:val="continue"/>
            <w:vAlign w:val="center"/>
          </w:tcPr>
          <w:p w14:paraId="4592201C">
            <w:pPr>
              <w:adjustRightInd w:val="0"/>
              <w:snapToGrid w:val="0"/>
              <w:jc w:val="center"/>
              <w:rPr>
                <w:color w:val="auto"/>
                <w:sz w:val="18"/>
                <w:szCs w:val="18"/>
              </w:rPr>
            </w:pPr>
          </w:p>
        </w:tc>
      </w:tr>
      <w:tr w14:paraId="55B55C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8FC7D8">
            <w:pPr>
              <w:rPr>
                <w:b/>
                <w:color w:val="auto"/>
                <w:sz w:val="18"/>
                <w:szCs w:val="18"/>
              </w:rPr>
            </w:pPr>
          </w:p>
        </w:tc>
        <w:tc>
          <w:tcPr>
            <w:tcW w:w="1226" w:type="dxa"/>
            <w:vMerge w:val="continue"/>
            <w:vAlign w:val="center"/>
          </w:tcPr>
          <w:p w14:paraId="12DCC576">
            <w:pPr>
              <w:adjustRightInd w:val="0"/>
              <w:snapToGrid w:val="0"/>
              <w:jc w:val="center"/>
              <w:rPr>
                <w:b/>
                <w:color w:val="auto"/>
                <w:sz w:val="18"/>
                <w:szCs w:val="18"/>
              </w:rPr>
            </w:pPr>
          </w:p>
        </w:tc>
        <w:tc>
          <w:tcPr>
            <w:tcW w:w="3516" w:type="dxa"/>
            <w:shd w:val="clear" w:color="auto" w:fill="auto"/>
            <w:vAlign w:val="center"/>
          </w:tcPr>
          <w:p w14:paraId="47F03D7E">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社会保障理论与政策</w:t>
            </w:r>
          </w:p>
        </w:tc>
        <w:tc>
          <w:tcPr>
            <w:tcW w:w="1081" w:type="dxa"/>
            <w:shd w:val="clear" w:color="auto" w:fill="auto"/>
            <w:vAlign w:val="center"/>
          </w:tcPr>
          <w:p w14:paraId="1B2149C4">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FZ0415201</w:t>
            </w:r>
          </w:p>
        </w:tc>
        <w:tc>
          <w:tcPr>
            <w:tcW w:w="709" w:type="dxa"/>
            <w:vAlign w:val="center"/>
          </w:tcPr>
          <w:p w14:paraId="68AB4D08">
            <w:pPr>
              <w:jc w:val="center"/>
              <w:rPr>
                <w:rFonts w:hint="eastAsia"/>
                <w:color w:val="auto"/>
                <w:lang w:val="en-US" w:eastAsia="zh-CN"/>
              </w:rPr>
            </w:pPr>
            <w:r>
              <w:rPr>
                <w:rFonts w:hint="eastAsia"/>
                <w:color w:val="auto"/>
                <w:lang w:val="en-US" w:eastAsia="zh-CN"/>
              </w:rPr>
              <w:t>2</w:t>
            </w:r>
          </w:p>
        </w:tc>
        <w:tc>
          <w:tcPr>
            <w:tcW w:w="709" w:type="dxa"/>
            <w:vAlign w:val="center"/>
          </w:tcPr>
          <w:p w14:paraId="6D8B206B">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60EA70A2">
            <w:pPr>
              <w:adjustRightInd w:val="0"/>
              <w:snapToGrid w:val="0"/>
              <w:jc w:val="center"/>
              <w:rPr>
                <w:color w:val="auto"/>
                <w:sz w:val="18"/>
                <w:szCs w:val="18"/>
              </w:rPr>
            </w:pPr>
          </w:p>
        </w:tc>
      </w:tr>
      <w:tr w14:paraId="3F96D4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E05BD8">
            <w:pPr>
              <w:rPr>
                <w:b/>
                <w:color w:val="auto"/>
                <w:sz w:val="18"/>
                <w:szCs w:val="18"/>
              </w:rPr>
            </w:pPr>
          </w:p>
        </w:tc>
        <w:tc>
          <w:tcPr>
            <w:tcW w:w="1226" w:type="dxa"/>
            <w:vMerge w:val="continue"/>
            <w:vAlign w:val="center"/>
          </w:tcPr>
          <w:p w14:paraId="7005EDAB">
            <w:pPr>
              <w:adjustRightInd w:val="0"/>
              <w:snapToGrid w:val="0"/>
              <w:jc w:val="center"/>
              <w:rPr>
                <w:b/>
                <w:color w:val="auto"/>
                <w:sz w:val="18"/>
                <w:szCs w:val="18"/>
              </w:rPr>
            </w:pPr>
          </w:p>
        </w:tc>
        <w:tc>
          <w:tcPr>
            <w:tcW w:w="3516" w:type="dxa"/>
            <w:shd w:val="clear" w:color="auto" w:fill="auto"/>
            <w:vAlign w:val="center"/>
          </w:tcPr>
          <w:p w14:paraId="46C23EC9">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公共人力资源管理</w:t>
            </w:r>
          </w:p>
        </w:tc>
        <w:tc>
          <w:tcPr>
            <w:tcW w:w="1081" w:type="dxa"/>
            <w:shd w:val="clear" w:color="auto" w:fill="auto"/>
            <w:vAlign w:val="top"/>
          </w:tcPr>
          <w:p w14:paraId="215BFA7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FZ0415202</w:t>
            </w:r>
          </w:p>
        </w:tc>
        <w:tc>
          <w:tcPr>
            <w:tcW w:w="709" w:type="dxa"/>
            <w:vAlign w:val="center"/>
          </w:tcPr>
          <w:p w14:paraId="7D4B69DD">
            <w:pPr>
              <w:jc w:val="center"/>
              <w:rPr>
                <w:rFonts w:hint="eastAsia"/>
                <w:color w:val="auto"/>
                <w:lang w:val="en-US" w:eastAsia="zh-CN"/>
              </w:rPr>
            </w:pPr>
            <w:r>
              <w:rPr>
                <w:rFonts w:hint="eastAsia"/>
                <w:color w:val="auto"/>
                <w:lang w:val="en-US" w:eastAsia="zh-CN"/>
              </w:rPr>
              <w:t>2</w:t>
            </w:r>
          </w:p>
        </w:tc>
        <w:tc>
          <w:tcPr>
            <w:tcW w:w="709" w:type="dxa"/>
            <w:vAlign w:val="center"/>
          </w:tcPr>
          <w:p w14:paraId="19266123">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44AD351A">
            <w:pPr>
              <w:adjustRightInd w:val="0"/>
              <w:snapToGrid w:val="0"/>
              <w:jc w:val="center"/>
              <w:rPr>
                <w:color w:val="auto"/>
                <w:sz w:val="18"/>
                <w:szCs w:val="18"/>
              </w:rPr>
            </w:pPr>
          </w:p>
        </w:tc>
      </w:tr>
      <w:tr w14:paraId="5C85A8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A37E3B">
            <w:pPr>
              <w:rPr>
                <w:b/>
                <w:color w:val="auto"/>
                <w:sz w:val="18"/>
                <w:szCs w:val="18"/>
              </w:rPr>
            </w:pPr>
          </w:p>
        </w:tc>
        <w:tc>
          <w:tcPr>
            <w:tcW w:w="1226" w:type="dxa"/>
            <w:vMerge w:val="continue"/>
            <w:vAlign w:val="center"/>
          </w:tcPr>
          <w:p w14:paraId="2D016EA9">
            <w:pPr>
              <w:adjustRightInd w:val="0"/>
              <w:snapToGrid w:val="0"/>
              <w:jc w:val="center"/>
              <w:rPr>
                <w:b/>
                <w:color w:val="auto"/>
                <w:sz w:val="18"/>
                <w:szCs w:val="18"/>
              </w:rPr>
            </w:pPr>
          </w:p>
        </w:tc>
        <w:tc>
          <w:tcPr>
            <w:tcW w:w="3516" w:type="dxa"/>
            <w:shd w:val="clear" w:color="auto" w:fill="auto"/>
            <w:vAlign w:val="center"/>
          </w:tcPr>
          <w:p w14:paraId="5D4A2187">
            <w:pP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sz w:val="18"/>
                <w:szCs w:val="18"/>
                <w:lang w:val="en-US" w:eastAsia="zh-CN"/>
              </w:rPr>
              <w:t>劳动就业政策</w:t>
            </w:r>
          </w:p>
        </w:tc>
        <w:tc>
          <w:tcPr>
            <w:tcW w:w="1081" w:type="dxa"/>
            <w:shd w:val="clear" w:color="auto" w:fill="auto"/>
            <w:vAlign w:val="top"/>
          </w:tcPr>
          <w:p w14:paraId="27F3899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FZ0415203</w:t>
            </w:r>
          </w:p>
        </w:tc>
        <w:tc>
          <w:tcPr>
            <w:tcW w:w="709" w:type="dxa"/>
            <w:vAlign w:val="center"/>
          </w:tcPr>
          <w:p w14:paraId="7252F93A">
            <w:pPr>
              <w:jc w:val="center"/>
              <w:rPr>
                <w:rFonts w:hint="default"/>
                <w:color w:val="auto"/>
                <w:lang w:val="en-US" w:eastAsia="zh-CN"/>
              </w:rPr>
            </w:pPr>
            <w:r>
              <w:rPr>
                <w:rFonts w:hint="eastAsia"/>
                <w:color w:val="auto"/>
                <w:lang w:val="en-US" w:eastAsia="zh-CN"/>
              </w:rPr>
              <w:t>2</w:t>
            </w:r>
          </w:p>
        </w:tc>
        <w:tc>
          <w:tcPr>
            <w:tcW w:w="709" w:type="dxa"/>
            <w:vAlign w:val="center"/>
          </w:tcPr>
          <w:p w14:paraId="5D2E9CE4">
            <w:pPr>
              <w:jc w:val="center"/>
              <w:rPr>
                <w:rFonts w:hint="default"/>
                <w:color w:val="auto"/>
                <w:lang w:val="en-US" w:eastAsia="zh-CN"/>
              </w:rPr>
            </w:pPr>
            <w:r>
              <w:rPr>
                <w:rFonts w:hint="eastAsia"/>
                <w:color w:val="auto"/>
                <w:lang w:val="en-US" w:eastAsia="zh-CN"/>
              </w:rPr>
              <w:t>2</w:t>
            </w:r>
          </w:p>
        </w:tc>
        <w:tc>
          <w:tcPr>
            <w:tcW w:w="1162" w:type="dxa"/>
            <w:vMerge w:val="continue"/>
            <w:vAlign w:val="center"/>
          </w:tcPr>
          <w:p w14:paraId="3341C130">
            <w:pPr>
              <w:adjustRightInd w:val="0"/>
              <w:snapToGrid w:val="0"/>
              <w:jc w:val="center"/>
              <w:rPr>
                <w:color w:val="auto"/>
                <w:sz w:val="18"/>
                <w:szCs w:val="18"/>
              </w:rPr>
            </w:pPr>
          </w:p>
        </w:tc>
      </w:tr>
      <w:tr w14:paraId="6646D3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392D5F">
            <w:pPr>
              <w:rPr>
                <w:b/>
                <w:color w:val="auto"/>
                <w:sz w:val="18"/>
                <w:szCs w:val="18"/>
              </w:rPr>
            </w:pPr>
          </w:p>
        </w:tc>
        <w:tc>
          <w:tcPr>
            <w:tcW w:w="1226" w:type="dxa"/>
            <w:vMerge w:val="continue"/>
            <w:vAlign w:val="center"/>
          </w:tcPr>
          <w:p w14:paraId="61948829">
            <w:pPr>
              <w:adjustRightInd w:val="0"/>
              <w:snapToGrid w:val="0"/>
              <w:jc w:val="center"/>
              <w:rPr>
                <w:b/>
                <w:color w:val="auto"/>
                <w:sz w:val="18"/>
                <w:szCs w:val="18"/>
              </w:rPr>
            </w:pPr>
          </w:p>
        </w:tc>
        <w:tc>
          <w:tcPr>
            <w:tcW w:w="3516" w:type="dxa"/>
            <w:shd w:val="clear" w:color="auto" w:fill="auto"/>
            <w:vAlign w:val="center"/>
          </w:tcPr>
          <w:p w14:paraId="78C72636">
            <w:pPr>
              <w:rPr>
                <w:rFonts w:hint="eastAsia" w:asciiTheme="majorEastAsia" w:hAnsiTheme="majorEastAsia" w:eastAsiaTheme="majorEastAsia" w:cstheme="majorEastAsia"/>
                <w:color w:val="auto"/>
                <w:kern w:val="2"/>
                <w:sz w:val="18"/>
                <w:szCs w:val="18"/>
                <w:lang w:val="en-US" w:eastAsia="zh-CN" w:bidi="ar-SA"/>
              </w:rPr>
            </w:pPr>
            <w:r>
              <w:rPr>
                <w:rFonts w:hint="eastAsia" w:asciiTheme="majorEastAsia" w:hAnsiTheme="majorEastAsia" w:eastAsiaTheme="majorEastAsia" w:cstheme="majorEastAsia"/>
                <w:color w:val="auto"/>
                <w:sz w:val="18"/>
                <w:szCs w:val="18"/>
                <w:lang w:val="en-US" w:eastAsia="zh-CN"/>
              </w:rPr>
              <w:t>宏观经济与财税政策</w:t>
            </w:r>
          </w:p>
        </w:tc>
        <w:tc>
          <w:tcPr>
            <w:tcW w:w="1081" w:type="dxa"/>
            <w:shd w:val="clear" w:color="auto" w:fill="auto"/>
            <w:vAlign w:val="top"/>
          </w:tcPr>
          <w:p w14:paraId="0C7E054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9</w:t>
            </w:r>
          </w:p>
        </w:tc>
        <w:tc>
          <w:tcPr>
            <w:tcW w:w="709" w:type="dxa"/>
            <w:vAlign w:val="center"/>
          </w:tcPr>
          <w:p w14:paraId="3D7451B8">
            <w:pPr>
              <w:jc w:val="center"/>
              <w:rPr>
                <w:rFonts w:hint="default"/>
                <w:color w:val="auto"/>
                <w:lang w:val="en-US" w:eastAsia="zh-CN"/>
              </w:rPr>
            </w:pPr>
            <w:r>
              <w:rPr>
                <w:rFonts w:hint="eastAsia"/>
                <w:color w:val="auto"/>
                <w:lang w:val="en-US" w:eastAsia="zh-CN"/>
              </w:rPr>
              <w:t>2</w:t>
            </w:r>
          </w:p>
        </w:tc>
        <w:tc>
          <w:tcPr>
            <w:tcW w:w="709" w:type="dxa"/>
            <w:vAlign w:val="center"/>
          </w:tcPr>
          <w:p w14:paraId="6D723BD5">
            <w:pPr>
              <w:jc w:val="center"/>
              <w:rPr>
                <w:rFonts w:hint="default"/>
                <w:color w:val="auto"/>
                <w:lang w:val="en-US" w:eastAsia="zh-CN"/>
              </w:rPr>
            </w:pPr>
            <w:r>
              <w:rPr>
                <w:rFonts w:hint="eastAsia"/>
                <w:color w:val="auto"/>
                <w:lang w:val="en-US" w:eastAsia="zh-CN"/>
              </w:rPr>
              <w:t>2</w:t>
            </w:r>
          </w:p>
        </w:tc>
        <w:tc>
          <w:tcPr>
            <w:tcW w:w="1162" w:type="dxa"/>
            <w:vMerge w:val="continue"/>
            <w:vAlign w:val="center"/>
          </w:tcPr>
          <w:p w14:paraId="2CA5C279">
            <w:pPr>
              <w:adjustRightInd w:val="0"/>
              <w:snapToGrid w:val="0"/>
              <w:jc w:val="center"/>
              <w:rPr>
                <w:color w:val="auto"/>
                <w:sz w:val="18"/>
                <w:szCs w:val="18"/>
              </w:rPr>
            </w:pPr>
          </w:p>
        </w:tc>
      </w:tr>
      <w:tr w14:paraId="48ACF7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AC1CCC">
            <w:pPr>
              <w:rPr>
                <w:b/>
                <w:color w:val="auto"/>
                <w:sz w:val="18"/>
                <w:szCs w:val="18"/>
              </w:rPr>
            </w:pPr>
          </w:p>
        </w:tc>
        <w:tc>
          <w:tcPr>
            <w:tcW w:w="1226" w:type="dxa"/>
            <w:vMerge w:val="continue"/>
            <w:vAlign w:val="center"/>
          </w:tcPr>
          <w:p w14:paraId="0AFF9AE6">
            <w:pPr>
              <w:adjustRightInd w:val="0"/>
              <w:snapToGrid w:val="0"/>
              <w:jc w:val="center"/>
              <w:rPr>
                <w:b/>
                <w:color w:val="auto"/>
                <w:sz w:val="18"/>
                <w:szCs w:val="18"/>
              </w:rPr>
            </w:pPr>
          </w:p>
        </w:tc>
        <w:tc>
          <w:tcPr>
            <w:tcW w:w="3516" w:type="dxa"/>
            <w:shd w:val="clear" w:color="auto" w:fill="auto"/>
            <w:vAlign w:val="center"/>
          </w:tcPr>
          <w:p w14:paraId="6451E9BB">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国际税收</w:t>
            </w:r>
          </w:p>
        </w:tc>
        <w:tc>
          <w:tcPr>
            <w:tcW w:w="1081" w:type="dxa"/>
            <w:shd w:val="clear" w:color="auto" w:fill="auto"/>
            <w:vAlign w:val="top"/>
          </w:tcPr>
          <w:p w14:paraId="48FD0EB4">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FZ04152</w:t>
            </w:r>
            <w:r>
              <w:rPr>
                <w:rFonts w:hint="eastAsia"/>
                <w:color w:val="auto"/>
                <w:sz w:val="18"/>
                <w:szCs w:val="18"/>
                <w:lang w:val="en-US" w:eastAsia="zh-CN"/>
              </w:rPr>
              <w:t>10</w:t>
            </w:r>
          </w:p>
        </w:tc>
        <w:tc>
          <w:tcPr>
            <w:tcW w:w="709" w:type="dxa"/>
            <w:vAlign w:val="center"/>
          </w:tcPr>
          <w:p w14:paraId="2D99922E">
            <w:pPr>
              <w:jc w:val="center"/>
              <w:rPr>
                <w:rFonts w:hint="eastAsia"/>
                <w:color w:val="auto"/>
                <w:lang w:val="en-US" w:eastAsia="zh-CN"/>
              </w:rPr>
            </w:pPr>
            <w:r>
              <w:rPr>
                <w:rFonts w:hint="eastAsia"/>
                <w:color w:val="auto"/>
                <w:lang w:val="en-US" w:eastAsia="zh-CN"/>
              </w:rPr>
              <w:t>2</w:t>
            </w:r>
          </w:p>
        </w:tc>
        <w:tc>
          <w:tcPr>
            <w:tcW w:w="709" w:type="dxa"/>
            <w:vAlign w:val="center"/>
          </w:tcPr>
          <w:p w14:paraId="582C9859">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3AA578CE">
            <w:pPr>
              <w:adjustRightInd w:val="0"/>
              <w:snapToGrid w:val="0"/>
              <w:jc w:val="center"/>
              <w:rPr>
                <w:color w:val="auto"/>
                <w:sz w:val="18"/>
                <w:szCs w:val="18"/>
              </w:rPr>
            </w:pPr>
          </w:p>
        </w:tc>
      </w:tr>
      <w:tr w14:paraId="725F76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893F02">
            <w:pPr>
              <w:rPr>
                <w:b/>
                <w:color w:val="auto"/>
                <w:sz w:val="18"/>
                <w:szCs w:val="18"/>
              </w:rPr>
            </w:pPr>
          </w:p>
        </w:tc>
        <w:tc>
          <w:tcPr>
            <w:tcW w:w="1226" w:type="dxa"/>
            <w:vMerge w:val="continue"/>
          </w:tcPr>
          <w:p w14:paraId="3F0356DA">
            <w:pPr>
              <w:jc w:val="center"/>
              <w:rPr>
                <w:b/>
                <w:color w:val="auto"/>
                <w:sz w:val="18"/>
                <w:szCs w:val="18"/>
              </w:rPr>
            </w:pPr>
          </w:p>
        </w:tc>
        <w:tc>
          <w:tcPr>
            <w:tcW w:w="3516" w:type="dxa"/>
            <w:vAlign w:val="center"/>
          </w:tcPr>
          <w:p w14:paraId="3AE01EE8">
            <w:pPr>
              <w:adjustRightInd w:val="0"/>
              <w:snapToGrid w:val="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公共文化管理</w:t>
            </w:r>
          </w:p>
        </w:tc>
        <w:tc>
          <w:tcPr>
            <w:tcW w:w="1081" w:type="dxa"/>
            <w:shd w:val="clear" w:color="auto" w:fill="auto"/>
            <w:vAlign w:val="center"/>
          </w:tcPr>
          <w:p w14:paraId="14BB134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7</w:t>
            </w:r>
          </w:p>
        </w:tc>
        <w:tc>
          <w:tcPr>
            <w:tcW w:w="709" w:type="dxa"/>
            <w:vAlign w:val="center"/>
          </w:tcPr>
          <w:p w14:paraId="0847C222">
            <w:pPr>
              <w:jc w:val="center"/>
              <w:rPr>
                <w:color w:val="auto"/>
                <w:sz w:val="18"/>
                <w:szCs w:val="18"/>
              </w:rPr>
            </w:pPr>
            <w:r>
              <w:rPr>
                <w:rFonts w:hint="eastAsia"/>
                <w:color w:val="auto"/>
                <w:lang w:val="en-US" w:eastAsia="zh-CN"/>
              </w:rPr>
              <w:t>2</w:t>
            </w:r>
          </w:p>
        </w:tc>
        <w:tc>
          <w:tcPr>
            <w:tcW w:w="709" w:type="dxa"/>
            <w:vAlign w:val="center"/>
          </w:tcPr>
          <w:p w14:paraId="192E0642">
            <w:pPr>
              <w:jc w:val="center"/>
              <w:rPr>
                <w:color w:val="auto"/>
                <w:sz w:val="18"/>
                <w:szCs w:val="18"/>
              </w:rPr>
            </w:pPr>
            <w:r>
              <w:rPr>
                <w:rFonts w:hint="eastAsia"/>
                <w:color w:val="auto"/>
                <w:lang w:val="en-US" w:eastAsia="zh-CN"/>
              </w:rPr>
              <w:t>2</w:t>
            </w:r>
          </w:p>
        </w:tc>
        <w:tc>
          <w:tcPr>
            <w:tcW w:w="1162" w:type="dxa"/>
            <w:vMerge w:val="continue"/>
            <w:vAlign w:val="center"/>
          </w:tcPr>
          <w:p w14:paraId="15175BB8">
            <w:pPr>
              <w:jc w:val="center"/>
              <w:rPr>
                <w:color w:val="auto"/>
                <w:sz w:val="18"/>
                <w:szCs w:val="18"/>
              </w:rPr>
            </w:pPr>
          </w:p>
        </w:tc>
      </w:tr>
      <w:tr w14:paraId="6EC814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0DEE97">
            <w:pPr>
              <w:rPr>
                <w:b/>
                <w:color w:val="auto"/>
                <w:sz w:val="18"/>
                <w:szCs w:val="18"/>
              </w:rPr>
            </w:pPr>
          </w:p>
        </w:tc>
        <w:tc>
          <w:tcPr>
            <w:tcW w:w="1226" w:type="dxa"/>
            <w:vMerge w:val="restart"/>
          </w:tcPr>
          <w:p w14:paraId="47F1C951">
            <w:pPr>
              <w:jc w:val="center"/>
              <w:rPr>
                <w:rFonts w:hint="eastAsia"/>
                <w:b/>
                <w:color w:val="auto"/>
                <w:sz w:val="18"/>
                <w:szCs w:val="18"/>
                <w:lang w:val="en-US" w:eastAsia="zh-CN"/>
              </w:rPr>
            </w:pPr>
            <w:r>
              <w:rPr>
                <w:rFonts w:hint="eastAsia"/>
                <w:b/>
                <w:color w:val="auto"/>
                <w:sz w:val="18"/>
                <w:szCs w:val="18"/>
                <w:lang w:val="en-US" w:eastAsia="zh-CN"/>
              </w:rPr>
              <w:t>社会保障与公共人力资源管理方向</w:t>
            </w:r>
          </w:p>
          <w:p w14:paraId="75859FCA">
            <w:pPr>
              <w:jc w:val="center"/>
              <w:rPr>
                <w:rFonts w:hint="default"/>
                <w:b/>
                <w:color w:val="auto"/>
                <w:sz w:val="18"/>
                <w:szCs w:val="18"/>
                <w:lang w:val="en-US" w:eastAsia="zh-CN"/>
              </w:rPr>
            </w:pPr>
            <w:r>
              <w:rPr>
                <w:rFonts w:hint="eastAsia"/>
                <w:b/>
                <w:color w:val="auto"/>
                <w:sz w:val="18"/>
                <w:szCs w:val="18"/>
                <w:lang w:val="en-US" w:eastAsia="zh-CN"/>
              </w:rPr>
              <w:t>选修课</w:t>
            </w:r>
          </w:p>
        </w:tc>
        <w:tc>
          <w:tcPr>
            <w:tcW w:w="3516" w:type="dxa"/>
            <w:vAlign w:val="center"/>
          </w:tcPr>
          <w:p w14:paraId="54A623EF">
            <w:pPr>
              <w:rPr>
                <w:rFonts w:hint="default"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rPr>
              <w:t>管理沟通</w:t>
            </w:r>
          </w:p>
        </w:tc>
        <w:tc>
          <w:tcPr>
            <w:tcW w:w="1081" w:type="dxa"/>
            <w:shd w:val="clear" w:color="auto" w:fill="auto"/>
            <w:vAlign w:val="center"/>
          </w:tcPr>
          <w:p w14:paraId="6289295E">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FZ0415204</w:t>
            </w:r>
          </w:p>
        </w:tc>
        <w:tc>
          <w:tcPr>
            <w:tcW w:w="709" w:type="dxa"/>
            <w:vAlign w:val="center"/>
          </w:tcPr>
          <w:p w14:paraId="189DA2AB">
            <w:pPr>
              <w:jc w:val="center"/>
              <w:rPr>
                <w:i/>
                <w:color w:val="auto"/>
                <w:sz w:val="18"/>
                <w:szCs w:val="18"/>
              </w:rPr>
            </w:pPr>
            <w:r>
              <w:rPr>
                <w:rFonts w:hint="eastAsia"/>
                <w:color w:val="auto"/>
                <w:lang w:val="en-US" w:eastAsia="zh-CN"/>
              </w:rPr>
              <w:t>2</w:t>
            </w:r>
          </w:p>
        </w:tc>
        <w:tc>
          <w:tcPr>
            <w:tcW w:w="709" w:type="dxa"/>
            <w:vAlign w:val="center"/>
          </w:tcPr>
          <w:p w14:paraId="04A2D2F7">
            <w:pPr>
              <w:jc w:val="center"/>
              <w:rPr>
                <w:i/>
                <w:color w:val="auto"/>
                <w:sz w:val="18"/>
                <w:szCs w:val="18"/>
              </w:rPr>
            </w:pPr>
            <w:r>
              <w:rPr>
                <w:rFonts w:hint="eastAsia"/>
                <w:color w:val="auto"/>
                <w:lang w:val="en-US" w:eastAsia="zh-CN"/>
              </w:rPr>
              <w:t>2</w:t>
            </w:r>
          </w:p>
        </w:tc>
        <w:tc>
          <w:tcPr>
            <w:tcW w:w="1162" w:type="dxa"/>
            <w:vMerge w:val="restart"/>
            <w:vAlign w:val="center"/>
          </w:tcPr>
          <w:p w14:paraId="0631B4A0">
            <w:pPr>
              <w:adjustRightInd w:val="0"/>
              <w:snapToGrid w:val="0"/>
              <w:jc w:val="center"/>
              <w:rPr>
                <w:color w:val="auto"/>
                <w:sz w:val="18"/>
                <w:szCs w:val="18"/>
              </w:rPr>
            </w:pPr>
            <w:r>
              <w:rPr>
                <w:color w:val="auto"/>
                <w:sz w:val="18"/>
                <w:szCs w:val="18"/>
              </w:rPr>
              <w:t>本方向研究生至少选修</w:t>
            </w:r>
          </w:p>
          <w:p w14:paraId="44EE7A2B">
            <w:pPr>
              <w:jc w:val="center"/>
              <w:rPr>
                <w:color w:val="auto"/>
                <w:sz w:val="18"/>
                <w:szCs w:val="18"/>
              </w:rPr>
            </w:pPr>
            <w:r>
              <w:rPr>
                <w:rFonts w:hint="eastAsia"/>
                <w:color w:val="auto"/>
                <w:sz w:val="18"/>
                <w:szCs w:val="18"/>
                <w:lang w:val="en-US" w:eastAsia="zh-CN"/>
              </w:rPr>
              <w:t>8</w:t>
            </w:r>
            <w:r>
              <w:rPr>
                <w:color w:val="auto"/>
                <w:sz w:val="18"/>
                <w:szCs w:val="18"/>
              </w:rPr>
              <w:t>学分</w:t>
            </w:r>
          </w:p>
        </w:tc>
      </w:tr>
      <w:tr w14:paraId="7F5F79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A4E5595">
            <w:pPr>
              <w:rPr>
                <w:b/>
                <w:color w:val="auto"/>
                <w:sz w:val="18"/>
                <w:szCs w:val="18"/>
              </w:rPr>
            </w:pPr>
          </w:p>
        </w:tc>
        <w:tc>
          <w:tcPr>
            <w:tcW w:w="1226" w:type="dxa"/>
            <w:vMerge w:val="continue"/>
          </w:tcPr>
          <w:p w14:paraId="3007F812">
            <w:pPr>
              <w:jc w:val="center"/>
              <w:rPr>
                <w:b/>
                <w:color w:val="auto"/>
                <w:sz w:val="18"/>
                <w:szCs w:val="18"/>
              </w:rPr>
            </w:pPr>
          </w:p>
        </w:tc>
        <w:tc>
          <w:tcPr>
            <w:tcW w:w="3516" w:type="dxa"/>
            <w:vAlign w:val="center"/>
          </w:tcPr>
          <w:p w14:paraId="1936E7DF">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rPr>
              <w:t>公共信息安全</w:t>
            </w:r>
          </w:p>
        </w:tc>
        <w:tc>
          <w:tcPr>
            <w:tcW w:w="1081" w:type="dxa"/>
            <w:shd w:val="clear" w:color="auto" w:fill="auto"/>
            <w:vAlign w:val="center"/>
          </w:tcPr>
          <w:p w14:paraId="7ABEC81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5</w:t>
            </w:r>
          </w:p>
        </w:tc>
        <w:tc>
          <w:tcPr>
            <w:tcW w:w="709" w:type="dxa"/>
            <w:vAlign w:val="center"/>
          </w:tcPr>
          <w:p w14:paraId="7AB72231">
            <w:pPr>
              <w:jc w:val="center"/>
              <w:rPr>
                <w:i/>
                <w:color w:val="auto"/>
                <w:sz w:val="18"/>
                <w:szCs w:val="18"/>
              </w:rPr>
            </w:pPr>
            <w:r>
              <w:rPr>
                <w:rFonts w:hint="eastAsia"/>
                <w:color w:val="auto"/>
                <w:lang w:val="en-US" w:eastAsia="zh-CN"/>
              </w:rPr>
              <w:t>2</w:t>
            </w:r>
          </w:p>
        </w:tc>
        <w:tc>
          <w:tcPr>
            <w:tcW w:w="709" w:type="dxa"/>
            <w:vAlign w:val="center"/>
          </w:tcPr>
          <w:p w14:paraId="70E55CCE">
            <w:pPr>
              <w:jc w:val="center"/>
              <w:rPr>
                <w:i/>
                <w:color w:val="auto"/>
                <w:sz w:val="18"/>
                <w:szCs w:val="18"/>
              </w:rPr>
            </w:pPr>
            <w:r>
              <w:rPr>
                <w:rFonts w:hint="eastAsia"/>
                <w:color w:val="auto"/>
                <w:lang w:val="en-US" w:eastAsia="zh-CN"/>
              </w:rPr>
              <w:t>3</w:t>
            </w:r>
          </w:p>
        </w:tc>
        <w:tc>
          <w:tcPr>
            <w:tcW w:w="1162" w:type="dxa"/>
            <w:vMerge w:val="continue"/>
            <w:vAlign w:val="center"/>
          </w:tcPr>
          <w:p w14:paraId="34226787">
            <w:pPr>
              <w:jc w:val="center"/>
              <w:rPr>
                <w:color w:val="auto"/>
                <w:sz w:val="18"/>
                <w:szCs w:val="18"/>
              </w:rPr>
            </w:pPr>
          </w:p>
        </w:tc>
      </w:tr>
      <w:tr w14:paraId="7838D0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F843BB">
            <w:pPr>
              <w:rPr>
                <w:b/>
                <w:color w:val="auto"/>
                <w:sz w:val="18"/>
                <w:szCs w:val="18"/>
              </w:rPr>
            </w:pPr>
          </w:p>
        </w:tc>
        <w:tc>
          <w:tcPr>
            <w:tcW w:w="1226" w:type="dxa"/>
            <w:vMerge w:val="continue"/>
          </w:tcPr>
          <w:p w14:paraId="5C0EDD4C">
            <w:pPr>
              <w:jc w:val="center"/>
              <w:rPr>
                <w:b/>
                <w:color w:val="auto"/>
                <w:sz w:val="18"/>
                <w:szCs w:val="18"/>
              </w:rPr>
            </w:pPr>
          </w:p>
        </w:tc>
        <w:tc>
          <w:tcPr>
            <w:tcW w:w="3516" w:type="dxa"/>
            <w:vAlign w:val="center"/>
          </w:tcPr>
          <w:p w14:paraId="50451178">
            <w:pPr>
              <w:rPr>
                <w:rFonts w:hint="eastAsia"/>
                <w:i/>
                <w:color w:val="auto"/>
                <w:sz w:val="18"/>
                <w:szCs w:val="18"/>
                <w:lang w:val="en-US" w:eastAsia="zh-CN"/>
              </w:rPr>
            </w:pPr>
            <w:r>
              <w:rPr>
                <w:rFonts w:hint="eastAsia" w:asciiTheme="majorEastAsia" w:hAnsiTheme="majorEastAsia" w:eastAsiaTheme="majorEastAsia" w:cstheme="majorEastAsia"/>
                <w:color w:val="auto"/>
                <w:sz w:val="18"/>
                <w:szCs w:val="18"/>
              </w:rPr>
              <w:t>应急管理</w:t>
            </w:r>
            <w:r>
              <w:rPr>
                <w:rFonts w:hint="eastAsia" w:asciiTheme="majorEastAsia" w:hAnsiTheme="majorEastAsia" w:eastAsiaTheme="majorEastAsia" w:cstheme="majorEastAsia"/>
                <w:color w:val="auto"/>
                <w:sz w:val="18"/>
                <w:szCs w:val="18"/>
                <w:lang w:val="en-US" w:eastAsia="zh-CN"/>
              </w:rPr>
              <w:t>理论</w:t>
            </w:r>
            <w:r>
              <w:rPr>
                <w:rFonts w:hint="eastAsia" w:asciiTheme="majorEastAsia" w:hAnsiTheme="majorEastAsia" w:eastAsiaTheme="majorEastAsia" w:cstheme="majorEastAsia"/>
                <w:color w:val="auto"/>
                <w:sz w:val="18"/>
                <w:szCs w:val="18"/>
              </w:rPr>
              <w:t>与政策</w:t>
            </w:r>
          </w:p>
        </w:tc>
        <w:tc>
          <w:tcPr>
            <w:tcW w:w="1081" w:type="dxa"/>
            <w:shd w:val="clear" w:color="auto" w:fill="auto"/>
            <w:vAlign w:val="center"/>
          </w:tcPr>
          <w:p w14:paraId="0AB1E578">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FZ0415212</w:t>
            </w:r>
          </w:p>
        </w:tc>
        <w:tc>
          <w:tcPr>
            <w:tcW w:w="709" w:type="dxa"/>
            <w:vAlign w:val="center"/>
          </w:tcPr>
          <w:p w14:paraId="241659BA">
            <w:pPr>
              <w:jc w:val="center"/>
              <w:rPr>
                <w:rFonts w:hint="eastAsia"/>
                <w:color w:val="auto"/>
                <w:lang w:val="en-US" w:eastAsia="zh-CN"/>
              </w:rPr>
            </w:pPr>
            <w:r>
              <w:rPr>
                <w:rFonts w:hint="eastAsia"/>
                <w:color w:val="auto"/>
                <w:lang w:val="en-US" w:eastAsia="zh-CN"/>
              </w:rPr>
              <w:t>2</w:t>
            </w:r>
          </w:p>
        </w:tc>
        <w:tc>
          <w:tcPr>
            <w:tcW w:w="709" w:type="dxa"/>
            <w:vAlign w:val="center"/>
          </w:tcPr>
          <w:p w14:paraId="67689236">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4F024498">
            <w:pPr>
              <w:jc w:val="center"/>
              <w:rPr>
                <w:color w:val="auto"/>
                <w:sz w:val="18"/>
                <w:szCs w:val="18"/>
              </w:rPr>
            </w:pPr>
          </w:p>
        </w:tc>
      </w:tr>
      <w:tr w14:paraId="061D00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C610C9">
            <w:pPr>
              <w:rPr>
                <w:b/>
                <w:color w:val="auto"/>
                <w:sz w:val="18"/>
                <w:szCs w:val="18"/>
              </w:rPr>
            </w:pPr>
          </w:p>
        </w:tc>
        <w:tc>
          <w:tcPr>
            <w:tcW w:w="1226" w:type="dxa"/>
            <w:vMerge w:val="continue"/>
          </w:tcPr>
          <w:p w14:paraId="76E3E978">
            <w:pPr>
              <w:jc w:val="center"/>
              <w:rPr>
                <w:b/>
                <w:color w:val="auto"/>
                <w:sz w:val="18"/>
                <w:szCs w:val="18"/>
              </w:rPr>
            </w:pPr>
          </w:p>
        </w:tc>
        <w:tc>
          <w:tcPr>
            <w:tcW w:w="3516" w:type="dxa"/>
            <w:vAlign w:val="center"/>
          </w:tcPr>
          <w:p w14:paraId="2C34AAD3">
            <w:pPr>
              <w:rPr>
                <w:rFonts w:hint="default"/>
                <w:i/>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社会保障理论与政策</w:t>
            </w:r>
          </w:p>
        </w:tc>
        <w:tc>
          <w:tcPr>
            <w:tcW w:w="1081" w:type="dxa"/>
            <w:shd w:val="clear" w:color="auto" w:fill="auto"/>
            <w:vAlign w:val="center"/>
          </w:tcPr>
          <w:p w14:paraId="2955E696">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FZ0415201</w:t>
            </w:r>
          </w:p>
        </w:tc>
        <w:tc>
          <w:tcPr>
            <w:tcW w:w="709" w:type="dxa"/>
            <w:vAlign w:val="center"/>
          </w:tcPr>
          <w:p w14:paraId="638A39EC">
            <w:pPr>
              <w:jc w:val="center"/>
              <w:rPr>
                <w:rFonts w:hint="eastAsia"/>
                <w:color w:val="auto"/>
                <w:lang w:val="en-US" w:eastAsia="zh-CN"/>
              </w:rPr>
            </w:pPr>
            <w:r>
              <w:rPr>
                <w:rFonts w:hint="eastAsia"/>
                <w:color w:val="auto"/>
                <w:lang w:val="en-US" w:eastAsia="zh-CN"/>
              </w:rPr>
              <w:t>2</w:t>
            </w:r>
          </w:p>
        </w:tc>
        <w:tc>
          <w:tcPr>
            <w:tcW w:w="709" w:type="dxa"/>
            <w:vAlign w:val="center"/>
          </w:tcPr>
          <w:p w14:paraId="37D9DC4E">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2DFD71E4">
            <w:pPr>
              <w:jc w:val="center"/>
              <w:rPr>
                <w:color w:val="auto"/>
                <w:sz w:val="18"/>
                <w:szCs w:val="18"/>
              </w:rPr>
            </w:pPr>
          </w:p>
        </w:tc>
      </w:tr>
      <w:tr w14:paraId="27524B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C06057">
            <w:pPr>
              <w:rPr>
                <w:b/>
                <w:color w:val="auto"/>
                <w:sz w:val="18"/>
                <w:szCs w:val="18"/>
              </w:rPr>
            </w:pPr>
          </w:p>
        </w:tc>
        <w:tc>
          <w:tcPr>
            <w:tcW w:w="1226" w:type="dxa"/>
            <w:vMerge w:val="continue"/>
          </w:tcPr>
          <w:p w14:paraId="7B812349">
            <w:pPr>
              <w:jc w:val="center"/>
              <w:rPr>
                <w:b/>
                <w:color w:val="auto"/>
                <w:sz w:val="18"/>
                <w:szCs w:val="18"/>
              </w:rPr>
            </w:pPr>
          </w:p>
        </w:tc>
        <w:tc>
          <w:tcPr>
            <w:tcW w:w="3516" w:type="dxa"/>
            <w:vAlign w:val="center"/>
          </w:tcPr>
          <w:p w14:paraId="2ACA6E03">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公共人力资源管理</w:t>
            </w:r>
          </w:p>
        </w:tc>
        <w:tc>
          <w:tcPr>
            <w:tcW w:w="1081" w:type="dxa"/>
            <w:shd w:val="clear" w:color="auto" w:fill="auto"/>
            <w:vAlign w:val="top"/>
          </w:tcPr>
          <w:p w14:paraId="05C2412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FZ0415202</w:t>
            </w:r>
          </w:p>
        </w:tc>
        <w:tc>
          <w:tcPr>
            <w:tcW w:w="709" w:type="dxa"/>
            <w:vAlign w:val="center"/>
          </w:tcPr>
          <w:p w14:paraId="35DB42C0">
            <w:pPr>
              <w:jc w:val="center"/>
              <w:rPr>
                <w:rFonts w:hint="eastAsia"/>
                <w:color w:val="auto"/>
                <w:lang w:val="en-US" w:eastAsia="zh-CN"/>
              </w:rPr>
            </w:pPr>
            <w:r>
              <w:rPr>
                <w:rFonts w:hint="eastAsia"/>
                <w:color w:val="auto"/>
                <w:lang w:val="en-US" w:eastAsia="zh-CN"/>
              </w:rPr>
              <w:t>2</w:t>
            </w:r>
          </w:p>
        </w:tc>
        <w:tc>
          <w:tcPr>
            <w:tcW w:w="709" w:type="dxa"/>
            <w:vAlign w:val="center"/>
          </w:tcPr>
          <w:p w14:paraId="010BB66F">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12121985">
            <w:pPr>
              <w:jc w:val="center"/>
              <w:rPr>
                <w:color w:val="auto"/>
                <w:sz w:val="18"/>
                <w:szCs w:val="18"/>
              </w:rPr>
            </w:pPr>
          </w:p>
        </w:tc>
      </w:tr>
      <w:tr w14:paraId="7345D7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7D613E">
            <w:pPr>
              <w:rPr>
                <w:b/>
                <w:color w:val="auto"/>
                <w:sz w:val="18"/>
                <w:szCs w:val="18"/>
              </w:rPr>
            </w:pPr>
          </w:p>
        </w:tc>
        <w:tc>
          <w:tcPr>
            <w:tcW w:w="1226" w:type="dxa"/>
            <w:vMerge w:val="continue"/>
          </w:tcPr>
          <w:p w14:paraId="48EF20C4">
            <w:pPr>
              <w:jc w:val="center"/>
              <w:rPr>
                <w:b/>
                <w:color w:val="auto"/>
                <w:sz w:val="18"/>
                <w:szCs w:val="18"/>
              </w:rPr>
            </w:pPr>
          </w:p>
        </w:tc>
        <w:tc>
          <w:tcPr>
            <w:tcW w:w="3516" w:type="dxa"/>
            <w:vAlign w:val="center"/>
          </w:tcPr>
          <w:p w14:paraId="58EF963F">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劳动就业政策</w:t>
            </w:r>
          </w:p>
        </w:tc>
        <w:tc>
          <w:tcPr>
            <w:tcW w:w="1081" w:type="dxa"/>
            <w:shd w:val="clear" w:color="auto" w:fill="auto"/>
            <w:vAlign w:val="top"/>
          </w:tcPr>
          <w:p w14:paraId="5162048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FZ0415203</w:t>
            </w:r>
          </w:p>
        </w:tc>
        <w:tc>
          <w:tcPr>
            <w:tcW w:w="709" w:type="dxa"/>
            <w:vAlign w:val="center"/>
          </w:tcPr>
          <w:p w14:paraId="52B28222">
            <w:pPr>
              <w:jc w:val="center"/>
              <w:rPr>
                <w:rFonts w:hint="eastAsia"/>
                <w:color w:val="auto"/>
                <w:lang w:val="en-US" w:eastAsia="zh-CN"/>
              </w:rPr>
            </w:pPr>
            <w:r>
              <w:rPr>
                <w:rFonts w:hint="eastAsia"/>
                <w:color w:val="auto"/>
                <w:lang w:val="en-US" w:eastAsia="zh-CN"/>
              </w:rPr>
              <w:t>2</w:t>
            </w:r>
          </w:p>
        </w:tc>
        <w:tc>
          <w:tcPr>
            <w:tcW w:w="709" w:type="dxa"/>
            <w:vAlign w:val="center"/>
          </w:tcPr>
          <w:p w14:paraId="47822FDD">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14520598">
            <w:pPr>
              <w:jc w:val="center"/>
              <w:rPr>
                <w:color w:val="auto"/>
                <w:sz w:val="18"/>
                <w:szCs w:val="18"/>
              </w:rPr>
            </w:pPr>
          </w:p>
        </w:tc>
      </w:tr>
      <w:tr w14:paraId="1A86B4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39EF66">
            <w:pPr>
              <w:rPr>
                <w:b/>
                <w:color w:val="auto"/>
                <w:sz w:val="18"/>
                <w:szCs w:val="18"/>
              </w:rPr>
            </w:pPr>
          </w:p>
        </w:tc>
        <w:tc>
          <w:tcPr>
            <w:tcW w:w="1226" w:type="dxa"/>
            <w:vMerge w:val="continue"/>
          </w:tcPr>
          <w:p w14:paraId="6F4F6F1F">
            <w:pPr>
              <w:jc w:val="center"/>
              <w:rPr>
                <w:b/>
                <w:color w:val="auto"/>
                <w:sz w:val="18"/>
                <w:szCs w:val="18"/>
              </w:rPr>
            </w:pPr>
          </w:p>
        </w:tc>
        <w:tc>
          <w:tcPr>
            <w:tcW w:w="3516" w:type="dxa"/>
            <w:vAlign w:val="center"/>
          </w:tcPr>
          <w:p w14:paraId="3891C751">
            <w:pPr>
              <w:rPr>
                <w:rFonts w:hint="eastAsia"/>
                <w:i/>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宏观经济与财税政策</w:t>
            </w:r>
          </w:p>
        </w:tc>
        <w:tc>
          <w:tcPr>
            <w:tcW w:w="1081" w:type="dxa"/>
            <w:shd w:val="clear" w:color="auto" w:fill="auto"/>
            <w:vAlign w:val="top"/>
          </w:tcPr>
          <w:p w14:paraId="4D645CA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9</w:t>
            </w:r>
          </w:p>
        </w:tc>
        <w:tc>
          <w:tcPr>
            <w:tcW w:w="709" w:type="dxa"/>
            <w:vAlign w:val="center"/>
          </w:tcPr>
          <w:p w14:paraId="4C5E5BD0">
            <w:pPr>
              <w:jc w:val="center"/>
              <w:rPr>
                <w:rFonts w:hint="eastAsia"/>
                <w:color w:val="auto"/>
                <w:lang w:val="en-US" w:eastAsia="zh-CN"/>
              </w:rPr>
            </w:pPr>
            <w:r>
              <w:rPr>
                <w:rFonts w:hint="eastAsia"/>
                <w:color w:val="auto"/>
                <w:lang w:val="en-US" w:eastAsia="zh-CN"/>
              </w:rPr>
              <w:t>2</w:t>
            </w:r>
          </w:p>
        </w:tc>
        <w:tc>
          <w:tcPr>
            <w:tcW w:w="709" w:type="dxa"/>
            <w:vAlign w:val="center"/>
          </w:tcPr>
          <w:p w14:paraId="6ACED3E9">
            <w:pPr>
              <w:jc w:val="center"/>
              <w:rPr>
                <w:rFonts w:hint="eastAsia"/>
                <w:color w:val="auto"/>
                <w:lang w:val="en-US" w:eastAsia="zh-CN"/>
              </w:rPr>
            </w:pPr>
            <w:r>
              <w:rPr>
                <w:rFonts w:hint="eastAsia"/>
                <w:color w:val="auto"/>
                <w:lang w:val="en-US" w:eastAsia="zh-CN"/>
              </w:rPr>
              <w:t>2</w:t>
            </w:r>
          </w:p>
        </w:tc>
        <w:tc>
          <w:tcPr>
            <w:tcW w:w="1162" w:type="dxa"/>
            <w:vMerge w:val="continue"/>
            <w:vAlign w:val="center"/>
          </w:tcPr>
          <w:p w14:paraId="30253678">
            <w:pPr>
              <w:jc w:val="center"/>
              <w:rPr>
                <w:color w:val="auto"/>
                <w:sz w:val="18"/>
                <w:szCs w:val="18"/>
              </w:rPr>
            </w:pPr>
          </w:p>
        </w:tc>
      </w:tr>
      <w:tr w14:paraId="0CD34E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237FE9">
            <w:pPr>
              <w:rPr>
                <w:b/>
                <w:color w:val="auto"/>
                <w:sz w:val="18"/>
                <w:szCs w:val="18"/>
              </w:rPr>
            </w:pPr>
          </w:p>
        </w:tc>
        <w:tc>
          <w:tcPr>
            <w:tcW w:w="1226" w:type="dxa"/>
            <w:vMerge w:val="continue"/>
          </w:tcPr>
          <w:p w14:paraId="74FE0EB8">
            <w:pPr>
              <w:jc w:val="center"/>
              <w:rPr>
                <w:b/>
                <w:color w:val="auto"/>
                <w:sz w:val="18"/>
                <w:szCs w:val="18"/>
              </w:rPr>
            </w:pPr>
          </w:p>
        </w:tc>
        <w:tc>
          <w:tcPr>
            <w:tcW w:w="3516" w:type="dxa"/>
            <w:vAlign w:val="center"/>
          </w:tcPr>
          <w:p w14:paraId="05449B25">
            <w:pPr>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18"/>
                <w:szCs w:val="18"/>
                <w:lang w:val="en-US" w:eastAsia="zh-CN"/>
              </w:rPr>
              <w:t>国际税收</w:t>
            </w:r>
          </w:p>
        </w:tc>
        <w:tc>
          <w:tcPr>
            <w:tcW w:w="1081" w:type="dxa"/>
            <w:shd w:val="clear" w:color="auto" w:fill="auto"/>
            <w:vAlign w:val="top"/>
          </w:tcPr>
          <w:p w14:paraId="3AF67895">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FZ04152</w:t>
            </w:r>
            <w:r>
              <w:rPr>
                <w:rFonts w:hint="eastAsia"/>
                <w:color w:val="auto"/>
                <w:sz w:val="18"/>
                <w:szCs w:val="18"/>
                <w:lang w:val="en-US" w:eastAsia="zh-CN"/>
              </w:rPr>
              <w:t>10</w:t>
            </w:r>
          </w:p>
        </w:tc>
        <w:tc>
          <w:tcPr>
            <w:tcW w:w="709" w:type="dxa"/>
            <w:vAlign w:val="center"/>
          </w:tcPr>
          <w:p w14:paraId="13866555">
            <w:pPr>
              <w:jc w:val="center"/>
              <w:rPr>
                <w:rFonts w:hint="eastAsia"/>
                <w:color w:val="auto"/>
                <w:lang w:val="en-US" w:eastAsia="zh-CN"/>
              </w:rPr>
            </w:pPr>
            <w:r>
              <w:rPr>
                <w:rFonts w:hint="eastAsia"/>
                <w:color w:val="auto"/>
                <w:lang w:val="en-US" w:eastAsia="zh-CN"/>
              </w:rPr>
              <w:t>2</w:t>
            </w:r>
          </w:p>
        </w:tc>
        <w:tc>
          <w:tcPr>
            <w:tcW w:w="709" w:type="dxa"/>
            <w:vAlign w:val="center"/>
          </w:tcPr>
          <w:p w14:paraId="7297AE4B">
            <w:pPr>
              <w:jc w:val="center"/>
              <w:rPr>
                <w:rFonts w:hint="eastAsia"/>
                <w:color w:val="auto"/>
                <w:lang w:val="en-US" w:eastAsia="zh-CN"/>
              </w:rPr>
            </w:pPr>
            <w:r>
              <w:rPr>
                <w:rFonts w:hint="eastAsia"/>
                <w:color w:val="auto"/>
                <w:lang w:val="en-US" w:eastAsia="zh-CN"/>
              </w:rPr>
              <w:t>3</w:t>
            </w:r>
          </w:p>
        </w:tc>
        <w:tc>
          <w:tcPr>
            <w:tcW w:w="1162" w:type="dxa"/>
            <w:vMerge w:val="continue"/>
            <w:vAlign w:val="center"/>
          </w:tcPr>
          <w:p w14:paraId="55416B46">
            <w:pPr>
              <w:jc w:val="center"/>
              <w:rPr>
                <w:color w:val="auto"/>
                <w:sz w:val="18"/>
                <w:szCs w:val="18"/>
              </w:rPr>
            </w:pPr>
          </w:p>
        </w:tc>
      </w:tr>
      <w:tr w14:paraId="5FF5E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CCE16B">
            <w:pPr>
              <w:rPr>
                <w:b/>
                <w:color w:val="auto"/>
                <w:sz w:val="18"/>
                <w:szCs w:val="18"/>
              </w:rPr>
            </w:pPr>
          </w:p>
        </w:tc>
        <w:tc>
          <w:tcPr>
            <w:tcW w:w="1226" w:type="dxa"/>
            <w:vMerge w:val="continue"/>
          </w:tcPr>
          <w:p w14:paraId="28827077">
            <w:pPr>
              <w:jc w:val="center"/>
              <w:rPr>
                <w:b/>
                <w:color w:val="auto"/>
                <w:sz w:val="18"/>
                <w:szCs w:val="18"/>
              </w:rPr>
            </w:pPr>
          </w:p>
        </w:tc>
        <w:tc>
          <w:tcPr>
            <w:tcW w:w="3516" w:type="dxa"/>
            <w:vAlign w:val="center"/>
          </w:tcPr>
          <w:p w14:paraId="2D333289">
            <w:pPr>
              <w:adjustRightInd w:val="0"/>
              <w:snapToGrid w:val="0"/>
              <w:rPr>
                <w:i/>
                <w:color w:val="auto"/>
                <w:sz w:val="18"/>
                <w:szCs w:val="18"/>
              </w:rPr>
            </w:pPr>
            <w:r>
              <w:rPr>
                <w:rFonts w:hint="eastAsia" w:asciiTheme="majorEastAsia" w:hAnsiTheme="majorEastAsia" w:eastAsiaTheme="majorEastAsia" w:cstheme="majorEastAsia"/>
                <w:color w:val="auto"/>
                <w:sz w:val="18"/>
                <w:szCs w:val="18"/>
                <w:lang w:val="en-US" w:eastAsia="zh-CN"/>
              </w:rPr>
              <w:t>公共文化管理</w:t>
            </w:r>
          </w:p>
        </w:tc>
        <w:tc>
          <w:tcPr>
            <w:tcW w:w="1081" w:type="dxa"/>
            <w:shd w:val="clear" w:color="auto" w:fill="auto"/>
            <w:vAlign w:val="center"/>
          </w:tcPr>
          <w:p w14:paraId="14F1204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FZ041520</w:t>
            </w:r>
            <w:r>
              <w:rPr>
                <w:rFonts w:hint="eastAsia"/>
                <w:color w:val="auto"/>
                <w:sz w:val="18"/>
                <w:szCs w:val="18"/>
                <w:lang w:val="en-US" w:eastAsia="zh-CN"/>
              </w:rPr>
              <w:t>7</w:t>
            </w:r>
          </w:p>
        </w:tc>
        <w:tc>
          <w:tcPr>
            <w:tcW w:w="709" w:type="dxa"/>
            <w:vAlign w:val="center"/>
          </w:tcPr>
          <w:p w14:paraId="53776733">
            <w:pPr>
              <w:jc w:val="center"/>
              <w:rPr>
                <w:i/>
                <w:color w:val="auto"/>
                <w:sz w:val="18"/>
                <w:szCs w:val="18"/>
              </w:rPr>
            </w:pPr>
            <w:r>
              <w:rPr>
                <w:rFonts w:hint="eastAsia"/>
                <w:color w:val="auto"/>
                <w:lang w:val="en-US" w:eastAsia="zh-CN"/>
              </w:rPr>
              <w:t>2</w:t>
            </w:r>
          </w:p>
        </w:tc>
        <w:tc>
          <w:tcPr>
            <w:tcW w:w="709" w:type="dxa"/>
            <w:vAlign w:val="center"/>
          </w:tcPr>
          <w:p w14:paraId="00AF1ACA">
            <w:pPr>
              <w:jc w:val="center"/>
              <w:rPr>
                <w:i/>
                <w:color w:val="auto"/>
                <w:sz w:val="18"/>
                <w:szCs w:val="18"/>
              </w:rPr>
            </w:pPr>
            <w:r>
              <w:rPr>
                <w:rFonts w:hint="eastAsia"/>
                <w:color w:val="auto"/>
                <w:lang w:val="en-US" w:eastAsia="zh-CN"/>
              </w:rPr>
              <w:t>2</w:t>
            </w:r>
          </w:p>
        </w:tc>
        <w:tc>
          <w:tcPr>
            <w:tcW w:w="1162" w:type="dxa"/>
            <w:vMerge w:val="continue"/>
            <w:vAlign w:val="center"/>
          </w:tcPr>
          <w:p w14:paraId="526D61AB">
            <w:pPr>
              <w:jc w:val="center"/>
              <w:rPr>
                <w:color w:val="auto"/>
                <w:sz w:val="18"/>
                <w:szCs w:val="18"/>
              </w:rPr>
            </w:pPr>
          </w:p>
        </w:tc>
      </w:tr>
      <w:tr w14:paraId="0B6692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283B2DE">
            <w:pPr>
              <w:jc w:val="center"/>
              <w:rPr>
                <w:b/>
                <w:color w:val="auto"/>
                <w:sz w:val="18"/>
                <w:szCs w:val="18"/>
              </w:rPr>
            </w:pPr>
            <w:r>
              <w:rPr>
                <w:b/>
                <w:color w:val="auto"/>
                <w:sz w:val="18"/>
                <w:szCs w:val="18"/>
              </w:rPr>
              <w:t>必修环节</w:t>
            </w:r>
          </w:p>
          <w:p w14:paraId="0C083AEC">
            <w:pPr>
              <w:jc w:val="center"/>
              <w:rPr>
                <w:b/>
                <w:color w:val="auto"/>
                <w:sz w:val="18"/>
                <w:szCs w:val="18"/>
              </w:rPr>
            </w:pPr>
          </w:p>
        </w:tc>
        <w:tc>
          <w:tcPr>
            <w:tcW w:w="1226" w:type="dxa"/>
            <w:vMerge w:val="restart"/>
            <w:vAlign w:val="center"/>
          </w:tcPr>
          <w:p w14:paraId="0C2F919A">
            <w:pPr>
              <w:jc w:val="center"/>
              <w:rPr>
                <w:b/>
                <w:color w:val="auto"/>
                <w:sz w:val="18"/>
                <w:szCs w:val="18"/>
              </w:rPr>
            </w:pPr>
            <w:r>
              <w:rPr>
                <w:b/>
                <w:color w:val="auto"/>
                <w:sz w:val="18"/>
                <w:szCs w:val="18"/>
              </w:rPr>
              <w:t>素质拓展</w:t>
            </w:r>
          </w:p>
        </w:tc>
        <w:tc>
          <w:tcPr>
            <w:tcW w:w="3516" w:type="dxa"/>
            <w:vAlign w:val="center"/>
          </w:tcPr>
          <w:p w14:paraId="42A50515">
            <w:pPr>
              <w:rPr>
                <w:color w:val="auto"/>
                <w:sz w:val="18"/>
                <w:szCs w:val="18"/>
              </w:rPr>
            </w:pPr>
            <w:r>
              <w:rPr>
                <w:color w:val="auto"/>
                <w:sz w:val="18"/>
                <w:szCs w:val="18"/>
              </w:rPr>
              <w:t>入学教育</w:t>
            </w:r>
          </w:p>
        </w:tc>
        <w:tc>
          <w:tcPr>
            <w:tcW w:w="1081" w:type="dxa"/>
            <w:vAlign w:val="center"/>
          </w:tcPr>
          <w:p w14:paraId="66B7F35A">
            <w:pPr>
              <w:jc w:val="center"/>
              <w:rPr>
                <w:color w:val="auto"/>
                <w:sz w:val="18"/>
                <w:szCs w:val="18"/>
              </w:rPr>
            </w:pPr>
          </w:p>
        </w:tc>
        <w:tc>
          <w:tcPr>
            <w:tcW w:w="709" w:type="dxa"/>
            <w:vAlign w:val="center"/>
          </w:tcPr>
          <w:p w14:paraId="7E01A308">
            <w:pPr>
              <w:jc w:val="center"/>
              <w:rPr>
                <w:rFonts w:hint="eastAsia" w:eastAsia="宋体"/>
                <w:color w:val="auto"/>
                <w:sz w:val="18"/>
                <w:szCs w:val="18"/>
                <w:lang w:eastAsia="zh-CN"/>
              </w:rPr>
            </w:pPr>
            <w:r>
              <w:rPr>
                <w:rFonts w:hint="eastAsia"/>
                <w:i w:val="0"/>
                <w:iCs/>
                <w:color w:val="auto"/>
                <w:sz w:val="18"/>
                <w:szCs w:val="18"/>
                <w:lang w:val="en-US" w:eastAsia="zh-CN"/>
              </w:rPr>
              <w:t>1</w:t>
            </w:r>
          </w:p>
        </w:tc>
        <w:tc>
          <w:tcPr>
            <w:tcW w:w="709" w:type="dxa"/>
            <w:vAlign w:val="center"/>
          </w:tcPr>
          <w:p w14:paraId="7A4C3540">
            <w:pPr>
              <w:jc w:val="center"/>
              <w:rPr>
                <w:color w:val="auto"/>
                <w:sz w:val="18"/>
                <w:szCs w:val="18"/>
              </w:rPr>
            </w:pPr>
            <w:r>
              <w:rPr>
                <w:color w:val="auto"/>
                <w:sz w:val="18"/>
                <w:szCs w:val="18"/>
              </w:rPr>
              <w:t>1</w:t>
            </w:r>
          </w:p>
        </w:tc>
        <w:tc>
          <w:tcPr>
            <w:tcW w:w="1162" w:type="dxa"/>
            <w:vMerge w:val="restart"/>
            <w:vAlign w:val="center"/>
          </w:tcPr>
          <w:p w14:paraId="7527F5B7">
            <w:pPr>
              <w:jc w:val="center"/>
              <w:rPr>
                <w:i/>
                <w:color w:val="auto"/>
                <w:sz w:val="18"/>
                <w:szCs w:val="18"/>
              </w:rPr>
            </w:pPr>
          </w:p>
        </w:tc>
      </w:tr>
      <w:tr w14:paraId="63E923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1D0C6AAB">
            <w:pPr>
              <w:jc w:val="center"/>
              <w:rPr>
                <w:b/>
                <w:color w:val="auto"/>
                <w:sz w:val="18"/>
                <w:szCs w:val="18"/>
              </w:rPr>
            </w:pPr>
          </w:p>
        </w:tc>
        <w:tc>
          <w:tcPr>
            <w:tcW w:w="1226" w:type="dxa"/>
            <w:vMerge w:val="continue"/>
            <w:vAlign w:val="center"/>
          </w:tcPr>
          <w:p w14:paraId="5435393F">
            <w:pPr>
              <w:jc w:val="center"/>
              <w:rPr>
                <w:b/>
                <w:color w:val="auto"/>
                <w:sz w:val="18"/>
                <w:szCs w:val="18"/>
              </w:rPr>
            </w:pPr>
          </w:p>
        </w:tc>
        <w:tc>
          <w:tcPr>
            <w:tcW w:w="3516" w:type="dxa"/>
            <w:vAlign w:val="center"/>
          </w:tcPr>
          <w:p w14:paraId="1DB6D770">
            <w:pPr>
              <w:rPr>
                <w:color w:val="auto"/>
                <w:sz w:val="18"/>
                <w:szCs w:val="18"/>
              </w:rPr>
            </w:pPr>
            <w:r>
              <w:rPr>
                <w:color w:val="auto"/>
                <w:sz w:val="18"/>
                <w:szCs w:val="18"/>
              </w:rPr>
              <w:t>学术/实践活动</w:t>
            </w:r>
          </w:p>
        </w:tc>
        <w:tc>
          <w:tcPr>
            <w:tcW w:w="1081" w:type="dxa"/>
            <w:vAlign w:val="center"/>
          </w:tcPr>
          <w:p w14:paraId="704054F9">
            <w:pPr>
              <w:jc w:val="center"/>
              <w:rPr>
                <w:color w:val="auto"/>
                <w:sz w:val="18"/>
                <w:szCs w:val="18"/>
              </w:rPr>
            </w:pPr>
          </w:p>
        </w:tc>
        <w:tc>
          <w:tcPr>
            <w:tcW w:w="709" w:type="dxa"/>
            <w:vAlign w:val="center"/>
          </w:tcPr>
          <w:p w14:paraId="1671C110">
            <w:pPr>
              <w:jc w:val="center"/>
              <w:rPr>
                <w:rFonts w:hint="default" w:eastAsia="宋体"/>
                <w:color w:val="auto"/>
                <w:sz w:val="18"/>
                <w:szCs w:val="18"/>
                <w:lang w:val="en-US" w:eastAsia="zh-CN"/>
              </w:rPr>
            </w:pPr>
            <w:r>
              <w:rPr>
                <w:rFonts w:hint="eastAsia"/>
                <w:color w:val="auto"/>
                <w:sz w:val="18"/>
                <w:szCs w:val="18"/>
                <w:lang w:val="en-US" w:eastAsia="zh-CN"/>
              </w:rPr>
              <w:t>2</w:t>
            </w:r>
          </w:p>
        </w:tc>
        <w:tc>
          <w:tcPr>
            <w:tcW w:w="709" w:type="dxa"/>
            <w:vAlign w:val="center"/>
          </w:tcPr>
          <w:p w14:paraId="19F54EF3">
            <w:pPr>
              <w:jc w:val="center"/>
              <w:rPr>
                <w:rFonts w:hint="default" w:eastAsia="宋体"/>
                <w:color w:val="auto"/>
                <w:sz w:val="18"/>
                <w:szCs w:val="18"/>
                <w:lang w:val="en-US" w:eastAsia="zh-CN"/>
              </w:rPr>
            </w:pPr>
            <w:r>
              <w:rPr>
                <w:rFonts w:hint="eastAsia"/>
                <w:color w:val="auto"/>
                <w:sz w:val="18"/>
                <w:szCs w:val="18"/>
                <w:lang w:val="en-US" w:eastAsia="zh-CN"/>
              </w:rPr>
              <w:t>3-6</w:t>
            </w:r>
          </w:p>
        </w:tc>
        <w:tc>
          <w:tcPr>
            <w:tcW w:w="1162" w:type="dxa"/>
            <w:vMerge w:val="continue"/>
            <w:vAlign w:val="center"/>
          </w:tcPr>
          <w:p w14:paraId="20CC72CB">
            <w:pPr>
              <w:jc w:val="center"/>
              <w:rPr>
                <w:color w:val="auto"/>
                <w:sz w:val="18"/>
                <w:szCs w:val="18"/>
              </w:rPr>
            </w:pPr>
          </w:p>
        </w:tc>
      </w:tr>
      <w:tr w14:paraId="3BB18F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 w:hRule="atLeast"/>
          <w:jc w:val="center"/>
        </w:trPr>
        <w:tc>
          <w:tcPr>
            <w:tcW w:w="571" w:type="dxa"/>
            <w:vMerge w:val="continue"/>
            <w:vAlign w:val="center"/>
          </w:tcPr>
          <w:p w14:paraId="3A658CD3">
            <w:pPr>
              <w:jc w:val="center"/>
              <w:rPr>
                <w:b/>
                <w:color w:val="auto"/>
                <w:sz w:val="18"/>
                <w:szCs w:val="18"/>
              </w:rPr>
            </w:pPr>
          </w:p>
        </w:tc>
        <w:tc>
          <w:tcPr>
            <w:tcW w:w="1226" w:type="dxa"/>
            <w:vMerge w:val="continue"/>
            <w:vAlign w:val="center"/>
          </w:tcPr>
          <w:p w14:paraId="2E42E0DE">
            <w:pPr>
              <w:jc w:val="center"/>
              <w:rPr>
                <w:b/>
                <w:color w:val="auto"/>
                <w:sz w:val="18"/>
                <w:szCs w:val="18"/>
              </w:rPr>
            </w:pPr>
          </w:p>
        </w:tc>
        <w:tc>
          <w:tcPr>
            <w:tcW w:w="3516" w:type="dxa"/>
            <w:vAlign w:val="center"/>
          </w:tcPr>
          <w:p w14:paraId="63A5137B">
            <w:pPr>
              <w:adjustRightInd w:val="0"/>
              <w:snapToGrid w:val="0"/>
              <w:rPr>
                <w:color w:val="auto"/>
                <w:sz w:val="18"/>
                <w:szCs w:val="18"/>
              </w:rPr>
            </w:pPr>
            <w:r>
              <w:rPr>
                <w:color w:val="auto"/>
                <w:sz w:val="18"/>
                <w:szCs w:val="18"/>
              </w:rPr>
              <w:t>竞赛活动</w:t>
            </w:r>
          </w:p>
        </w:tc>
        <w:tc>
          <w:tcPr>
            <w:tcW w:w="1081" w:type="dxa"/>
            <w:vAlign w:val="center"/>
          </w:tcPr>
          <w:p w14:paraId="25E83139">
            <w:pPr>
              <w:jc w:val="center"/>
              <w:rPr>
                <w:color w:val="auto"/>
                <w:sz w:val="18"/>
                <w:szCs w:val="18"/>
              </w:rPr>
            </w:pPr>
          </w:p>
        </w:tc>
        <w:tc>
          <w:tcPr>
            <w:tcW w:w="709" w:type="dxa"/>
            <w:vAlign w:val="center"/>
          </w:tcPr>
          <w:p w14:paraId="6EF3C917">
            <w:pPr>
              <w:jc w:val="center"/>
              <w:rPr>
                <w:rFonts w:hint="eastAsia" w:eastAsia="宋体"/>
                <w:color w:val="auto"/>
                <w:sz w:val="18"/>
                <w:szCs w:val="18"/>
                <w:lang w:val="en-US" w:eastAsia="zh-CN"/>
              </w:rPr>
            </w:pPr>
            <w:r>
              <w:rPr>
                <w:rFonts w:hint="eastAsia"/>
                <w:color w:val="auto"/>
                <w:sz w:val="18"/>
                <w:szCs w:val="18"/>
                <w:lang w:val="en-US" w:eastAsia="zh-CN"/>
              </w:rPr>
              <w:t>0</w:t>
            </w:r>
          </w:p>
        </w:tc>
        <w:tc>
          <w:tcPr>
            <w:tcW w:w="709" w:type="dxa"/>
            <w:vAlign w:val="center"/>
          </w:tcPr>
          <w:p w14:paraId="39713C69">
            <w:pPr>
              <w:jc w:val="center"/>
              <w:rPr>
                <w:rFonts w:hint="default" w:eastAsia="宋体"/>
                <w:color w:val="auto"/>
                <w:sz w:val="18"/>
                <w:szCs w:val="18"/>
                <w:lang w:val="en-US" w:eastAsia="zh-CN"/>
              </w:rPr>
            </w:pPr>
            <w:r>
              <w:rPr>
                <w:rFonts w:hint="eastAsia"/>
                <w:color w:val="auto"/>
                <w:sz w:val="18"/>
                <w:szCs w:val="18"/>
                <w:lang w:val="en-US" w:eastAsia="zh-CN"/>
              </w:rPr>
              <w:t>1-6</w:t>
            </w:r>
          </w:p>
        </w:tc>
        <w:tc>
          <w:tcPr>
            <w:tcW w:w="1162" w:type="dxa"/>
            <w:vMerge w:val="continue"/>
            <w:vAlign w:val="center"/>
          </w:tcPr>
          <w:p w14:paraId="6F5C8434">
            <w:pPr>
              <w:jc w:val="center"/>
              <w:rPr>
                <w:color w:val="auto"/>
                <w:sz w:val="18"/>
                <w:szCs w:val="18"/>
              </w:rPr>
            </w:pPr>
          </w:p>
        </w:tc>
      </w:tr>
      <w:tr w14:paraId="3FA5E7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5DF76F">
            <w:pPr>
              <w:rPr>
                <w:b/>
                <w:color w:val="auto"/>
                <w:sz w:val="18"/>
                <w:szCs w:val="18"/>
              </w:rPr>
            </w:pPr>
          </w:p>
        </w:tc>
        <w:tc>
          <w:tcPr>
            <w:tcW w:w="1226" w:type="dxa"/>
            <w:vMerge w:val="restart"/>
            <w:vAlign w:val="center"/>
          </w:tcPr>
          <w:p w14:paraId="37EC50CC">
            <w:pPr>
              <w:jc w:val="center"/>
              <w:rPr>
                <w:b/>
                <w:color w:val="auto"/>
                <w:sz w:val="18"/>
                <w:szCs w:val="18"/>
              </w:rPr>
            </w:pPr>
            <w:r>
              <w:rPr>
                <w:b/>
                <w:color w:val="auto"/>
                <w:sz w:val="18"/>
                <w:szCs w:val="18"/>
              </w:rPr>
              <w:t>学术训练</w:t>
            </w:r>
          </w:p>
        </w:tc>
        <w:tc>
          <w:tcPr>
            <w:tcW w:w="3516" w:type="dxa"/>
            <w:vAlign w:val="center"/>
          </w:tcPr>
          <w:p w14:paraId="67BE56FF">
            <w:pPr>
              <w:rPr>
                <w:color w:val="auto"/>
                <w:sz w:val="18"/>
                <w:szCs w:val="18"/>
              </w:rPr>
            </w:pPr>
            <w:r>
              <w:rPr>
                <w:color w:val="auto"/>
                <w:sz w:val="18"/>
                <w:szCs w:val="18"/>
              </w:rPr>
              <w:t>中期筛选</w:t>
            </w:r>
          </w:p>
        </w:tc>
        <w:tc>
          <w:tcPr>
            <w:tcW w:w="1081" w:type="dxa"/>
            <w:vAlign w:val="center"/>
          </w:tcPr>
          <w:p w14:paraId="35D3619F">
            <w:pPr>
              <w:jc w:val="center"/>
              <w:rPr>
                <w:color w:val="auto"/>
                <w:sz w:val="18"/>
                <w:szCs w:val="18"/>
              </w:rPr>
            </w:pPr>
          </w:p>
        </w:tc>
        <w:tc>
          <w:tcPr>
            <w:tcW w:w="709" w:type="dxa"/>
            <w:vAlign w:val="center"/>
          </w:tcPr>
          <w:p w14:paraId="4694D182">
            <w:pPr>
              <w:jc w:val="center"/>
              <w:rPr>
                <w:color w:val="auto"/>
                <w:sz w:val="18"/>
                <w:szCs w:val="18"/>
              </w:rPr>
            </w:pPr>
          </w:p>
        </w:tc>
        <w:tc>
          <w:tcPr>
            <w:tcW w:w="709" w:type="dxa"/>
            <w:vAlign w:val="center"/>
          </w:tcPr>
          <w:p w14:paraId="79F83F22">
            <w:pPr>
              <w:jc w:val="center"/>
              <w:rPr>
                <w:rFonts w:hint="eastAsia" w:eastAsia="宋体"/>
                <w:i w:val="0"/>
                <w:iCs/>
                <w:color w:val="auto"/>
                <w:sz w:val="18"/>
                <w:szCs w:val="18"/>
                <w:lang w:eastAsia="zh-CN"/>
              </w:rPr>
            </w:pPr>
            <w:r>
              <w:rPr>
                <w:rFonts w:hint="eastAsia"/>
                <w:i w:val="0"/>
                <w:iCs/>
                <w:color w:val="auto"/>
                <w:sz w:val="18"/>
                <w:szCs w:val="18"/>
                <w:lang w:val="en-US" w:eastAsia="zh-CN"/>
              </w:rPr>
              <w:t>4</w:t>
            </w:r>
          </w:p>
        </w:tc>
        <w:tc>
          <w:tcPr>
            <w:tcW w:w="1162" w:type="dxa"/>
            <w:vMerge w:val="restart"/>
            <w:vAlign w:val="center"/>
          </w:tcPr>
          <w:p w14:paraId="162050CC">
            <w:pPr>
              <w:jc w:val="center"/>
              <w:rPr>
                <w:color w:val="auto"/>
                <w:sz w:val="18"/>
                <w:szCs w:val="18"/>
              </w:rPr>
            </w:pPr>
            <w:r>
              <w:rPr>
                <w:color w:val="auto"/>
                <w:sz w:val="18"/>
                <w:szCs w:val="18"/>
              </w:rPr>
              <w:t>过程管理</w:t>
            </w:r>
          </w:p>
          <w:p w14:paraId="42987E8A">
            <w:pPr>
              <w:jc w:val="center"/>
              <w:rPr>
                <w:color w:val="auto"/>
                <w:sz w:val="18"/>
                <w:szCs w:val="18"/>
              </w:rPr>
            </w:pPr>
            <w:r>
              <w:rPr>
                <w:color w:val="auto"/>
                <w:sz w:val="18"/>
                <w:szCs w:val="18"/>
              </w:rPr>
              <w:t>无学分</w:t>
            </w:r>
          </w:p>
        </w:tc>
      </w:tr>
      <w:tr w14:paraId="6C8FC0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1BCA10">
            <w:pPr>
              <w:rPr>
                <w:b/>
                <w:color w:val="auto"/>
                <w:sz w:val="18"/>
                <w:szCs w:val="18"/>
              </w:rPr>
            </w:pPr>
          </w:p>
        </w:tc>
        <w:tc>
          <w:tcPr>
            <w:tcW w:w="1226" w:type="dxa"/>
            <w:vMerge w:val="continue"/>
            <w:vAlign w:val="center"/>
          </w:tcPr>
          <w:p w14:paraId="04AE2041">
            <w:pPr>
              <w:jc w:val="center"/>
              <w:rPr>
                <w:b/>
                <w:color w:val="auto"/>
                <w:sz w:val="18"/>
                <w:szCs w:val="18"/>
              </w:rPr>
            </w:pPr>
          </w:p>
        </w:tc>
        <w:tc>
          <w:tcPr>
            <w:tcW w:w="3516" w:type="dxa"/>
            <w:vAlign w:val="center"/>
          </w:tcPr>
          <w:p w14:paraId="3CE2137C">
            <w:pPr>
              <w:rPr>
                <w:color w:val="auto"/>
                <w:sz w:val="18"/>
                <w:szCs w:val="18"/>
              </w:rPr>
            </w:pPr>
            <w:r>
              <w:rPr>
                <w:color w:val="auto"/>
                <w:sz w:val="18"/>
                <w:szCs w:val="18"/>
              </w:rPr>
              <w:t>论文开题</w:t>
            </w:r>
          </w:p>
        </w:tc>
        <w:tc>
          <w:tcPr>
            <w:tcW w:w="1081" w:type="dxa"/>
            <w:vAlign w:val="center"/>
          </w:tcPr>
          <w:p w14:paraId="2E3626B0">
            <w:pPr>
              <w:jc w:val="center"/>
              <w:rPr>
                <w:color w:val="auto"/>
                <w:sz w:val="18"/>
                <w:szCs w:val="18"/>
              </w:rPr>
            </w:pPr>
          </w:p>
        </w:tc>
        <w:tc>
          <w:tcPr>
            <w:tcW w:w="709" w:type="dxa"/>
            <w:vAlign w:val="center"/>
          </w:tcPr>
          <w:p w14:paraId="51E2795A">
            <w:pPr>
              <w:jc w:val="center"/>
              <w:rPr>
                <w:color w:val="auto"/>
                <w:sz w:val="18"/>
                <w:szCs w:val="18"/>
              </w:rPr>
            </w:pPr>
          </w:p>
        </w:tc>
        <w:tc>
          <w:tcPr>
            <w:tcW w:w="709" w:type="dxa"/>
            <w:vAlign w:val="center"/>
          </w:tcPr>
          <w:p w14:paraId="444D9729">
            <w:pPr>
              <w:jc w:val="center"/>
              <w:rPr>
                <w:rFonts w:hint="eastAsia" w:eastAsia="宋体"/>
                <w:i w:val="0"/>
                <w:iCs/>
                <w:color w:val="auto"/>
                <w:sz w:val="18"/>
                <w:szCs w:val="18"/>
                <w:lang w:eastAsia="zh-CN"/>
              </w:rPr>
            </w:pPr>
            <w:r>
              <w:rPr>
                <w:rFonts w:hint="eastAsia"/>
                <w:i w:val="0"/>
                <w:iCs/>
                <w:color w:val="auto"/>
                <w:sz w:val="18"/>
                <w:szCs w:val="18"/>
                <w:lang w:val="en-US" w:eastAsia="zh-CN"/>
              </w:rPr>
              <w:t>4</w:t>
            </w:r>
          </w:p>
        </w:tc>
        <w:tc>
          <w:tcPr>
            <w:tcW w:w="1162" w:type="dxa"/>
            <w:vMerge w:val="continue"/>
            <w:vAlign w:val="center"/>
          </w:tcPr>
          <w:p w14:paraId="41FF98AD">
            <w:pPr>
              <w:jc w:val="center"/>
              <w:rPr>
                <w:color w:val="auto"/>
                <w:sz w:val="18"/>
                <w:szCs w:val="18"/>
              </w:rPr>
            </w:pPr>
          </w:p>
        </w:tc>
      </w:tr>
      <w:tr w14:paraId="3BA0F6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C6C6B3">
            <w:pPr>
              <w:rPr>
                <w:b/>
                <w:color w:val="auto"/>
                <w:sz w:val="18"/>
                <w:szCs w:val="18"/>
              </w:rPr>
            </w:pPr>
          </w:p>
        </w:tc>
        <w:tc>
          <w:tcPr>
            <w:tcW w:w="1226" w:type="dxa"/>
            <w:vMerge w:val="continue"/>
            <w:vAlign w:val="center"/>
          </w:tcPr>
          <w:p w14:paraId="0B23EB6E">
            <w:pPr>
              <w:jc w:val="center"/>
              <w:rPr>
                <w:b/>
                <w:color w:val="auto"/>
                <w:sz w:val="18"/>
                <w:szCs w:val="18"/>
              </w:rPr>
            </w:pPr>
          </w:p>
        </w:tc>
        <w:tc>
          <w:tcPr>
            <w:tcW w:w="3516" w:type="dxa"/>
            <w:vAlign w:val="center"/>
          </w:tcPr>
          <w:p w14:paraId="780618EA">
            <w:pPr>
              <w:rPr>
                <w:color w:val="auto"/>
                <w:sz w:val="18"/>
                <w:szCs w:val="18"/>
              </w:rPr>
            </w:pPr>
            <w:r>
              <w:rPr>
                <w:color w:val="auto"/>
                <w:sz w:val="18"/>
                <w:szCs w:val="18"/>
              </w:rPr>
              <w:t>论文中期进展报告</w:t>
            </w:r>
          </w:p>
        </w:tc>
        <w:tc>
          <w:tcPr>
            <w:tcW w:w="1081" w:type="dxa"/>
            <w:vAlign w:val="center"/>
          </w:tcPr>
          <w:p w14:paraId="53AFAA74">
            <w:pPr>
              <w:jc w:val="center"/>
              <w:rPr>
                <w:color w:val="auto"/>
                <w:sz w:val="18"/>
                <w:szCs w:val="18"/>
              </w:rPr>
            </w:pPr>
          </w:p>
        </w:tc>
        <w:tc>
          <w:tcPr>
            <w:tcW w:w="709" w:type="dxa"/>
            <w:vAlign w:val="center"/>
          </w:tcPr>
          <w:p w14:paraId="026C0A9F">
            <w:pPr>
              <w:jc w:val="center"/>
              <w:rPr>
                <w:color w:val="auto"/>
                <w:sz w:val="18"/>
                <w:szCs w:val="18"/>
              </w:rPr>
            </w:pPr>
          </w:p>
        </w:tc>
        <w:tc>
          <w:tcPr>
            <w:tcW w:w="709" w:type="dxa"/>
            <w:vAlign w:val="center"/>
          </w:tcPr>
          <w:p w14:paraId="1791766C">
            <w:pPr>
              <w:jc w:val="center"/>
              <w:rPr>
                <w:rFonts w:hint="eastAsia" w:eastAsia="宋体"/>
                <w:i w:val="0"/>
                <w:iCs/>
                <w:color w:val="auto"/>
                <w:sz w:val="18"/>
                <w:szCs w:val="18"/>
                <w:lang w:eastAsia="zh-CN"/>
              </w:rPr>
            </w:pPr>
            <w:r>
              <w:rPr>
                <w:rFonts w:hint="eastAsia"/>
                <w:i w:val="0"/>
                <w:iCs/>
                <w:color w:val="auto"/>
                <w:sz w:val="18"/>
                <w:szCs w:val="18"/>
                <w:lang w:val="en-US" w:eastAsia="zh-CN"/>
              </w:rPr>
              <w:t>5</w:t>
            </w:r>
          </w:p>
        </w:tc>
        <w:tc>
          <w:tcPr>
            <w:tcW w:w="1162" w:type="dxa"/>
            <w:vMerge w:val="continue"/>
          </w:tcPr>
          <w:p w14:paraId="6DA4C9F1">
            <w:pPr>
              <w:jc w:val="center"/>
              <w:rPr>
                <w:color w:val="auto"/>
                <w:sz w:val="18"/>
                <w:szCs w:val="18"/>
              </w:rPr>
            </w:pPr>
          </w:p>
        </w:tc>
      </w:tr>
      <w:tr w14:paraId="3ECAD8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27E8C8">
            <w:pPr>
              <w:rPr>
                <w:b/>
                <w:color w:val="auto"/>
                <w:sz w:val="18"/>
                <w:szCs w:val="18"/>
              </w:rPr>
            </w:pPr>
          </w:p>
        </w:tc>
        <w:tc>
          <w:tcPr>
            <w:tcW w:w="1226" w:type="dxa"/>
            <w:vMerge w:val="continue"/>
            <w:vAlign w:val="center"/>
          </w:tcPr>
          <w:p w14:paraId="5AF2FFA3">
            <w:pPr>
              <w:jc w:val="center"/>
              <w:rPr>
                <w:b/>
                <w:color w:val="auto"/>
                <w:sz w:val="18"/>
                <w:szCs w:val="18"/>
              </w:rPr>
            </w:pPr>
          </w:p>
        </w:tc>
        <w:tc>
          <w:tcPr>
            <w:tcW w:w="3516" w:type="dxa"/>
            <w:vAlign w:val="center"/>
          </w:tcPr>
          <w:p w14:paraId="445E9B4D">
            <w:pPr>
              <w:rPr>
                <w:color w:val="auto"/>
                <w:sz w:val="18"/>
                <w:szCs w:val="18"/>
              </w:rPr>
            </w:pPr>
            <w:r>
              <w:rPr>
                <w:color w:val="auto"/>
                <w:sz w:val="18"/>
                <w:szCs w:val="18"/>
              </w:rPr>
              <w:t>论文预答辩</w:t>
            </w:r>
          </w:p>
        </w:tc>
        <w:tc>
          <w:tcPr>
            <w:tcW w:w="1081" w:type="dxa"/>
            <w:vAlign w:val="center"/>
          </w:tcPr>
          <w:p w14:paraId="773378B7">
            <w:pPr>
              <w:jc w:val="center"/>
              <w:rPr>
                <w:color w:val="auto"/>
                <w:sz w:val="18"/>
                <w:szCs w:val="18"/>
              </w:rPr>
            </w:pPr>
          </w:p>
        </w:tc>
        <w:tc>
          <w:tcPr>
            <w:tcW w:w="709" w:type="dxa"/>
            <w:vAlign w:val="center"/>
          </w:tcPr>
          <w:p w14:paraId="0745107F">
            <w:pPr>
              <w:jc w:val="center"/>
              <w:rPr>
                <w:color w:val="auto"/>
                <w:sz w:val="18"/>
                <w:szCs w:val="18"/>
              </w:rPr>
            </w:pPr>
          </w:p>
        </w:tc>
        <w:tc>
          <w:tcPr>
            <w:tcW w:w="709" w:type="dxa"/>
            <w:vAlign w:val="center"/>
          </w:tcPr>
          <w:p w14:paraId="4C7B06BD">
            <w:pPr>
              <w:jc w:val="center"/>
              <w:rPr>
                <w:rFonts w:hint="eastAsia" w:eastAsia="宋体"/>
                <w:color w:val="auto"/>
                <w:sz w:val="18"/>
                <w:szCs w:val="18"/>
                <w:lang w:eastAsia="zh-CN"/>
              </w:rPr>
            </w:pPr>
            <w:r>
              <w:rPr>
                <w:rFonts w:hint="eastAsia"/>
                <w:i/>
                <w:color w:val="auto"/>
                <w:sz w:val="18"/>
                <w:szCs w:val="18"/>
                <w:lang w:val="en-US" w:eastAsia="zh-CN"/>
              </w:rPr>
              <w:t>6</w:t>
            </w:r>
          </w:p>
        </w:tc>
        <w:tc>
          <w:tcPr>
            <w:tcW w:w="1162" w:type="dxa"/>
            <w:vMerge w:val="continue"/>
          </w:tcPr>
          <w:p w14:paraId="1D007F30">
            <w:pPr>
              <w:jc w:val="center"/>
              <w:rPr>
                <w:color w:val="auto"/>
                <w:sz w:val="18"/>
                <w:szCs w:val="18"/>
              </w:rPr>
            </w:pPr>
          </w:p>
        </w:tc>
      </w:tr>
      <w:tr w14:paraId="142297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6AF75E">
            <w:pPr>
              <w:rPr>
                <w:color w:val="auto"/>
                <w:sz w:val="18"/>
                <w:szCs w:val="18"/>
              </w:rPr>
            </w:pPr>
          </w:p>
        </w:tc>
        <w:tc>
          <w:tcPr>
            <w:tcW w:w="1226" w:type="dxa"/>
            <w:vMerge w:val="continue"/>
          </w:tcPr>
          <w:p w14:paraId="49FB09AD">
            <w:pPr>
              <w:jc w:val="center"/>
              <w:rPr>
                <w:color w:val="auto"/>
                <w:sz w:val="18"/>
                <w:szCs w:val="18"/>
              </w:rPr>
            </w:pPr>
          </w:p>
        </w:tc>
        <w:tc>
          <w:tcPr>
            <w:tcW w:w="3516" w:type="dxa"/>
            <w:vAlign w:val="center"/>
          </w:tcPr>
          <w:p w14:paraId="70CAE2FC">
            <w:pPr>
              <w:rPr>
                <w:color w:val="auto"/>
                <w:sz w:val="18"/>
                <w:szCs w:val="18"/>
              </w:rPr>
            </w:pPr>
            <w:r>
              <w:rPr>
                <w:color w:val="auto"/>
                <w:sz w:val="18"/>
                <w:szCs w:val="18"/>
              </w:rPr>
              <w:t>论文评审</w:t>
            </w:r>
          </w:p>
        </w:tc>
        <w:tc>
          <w:tcPr>
            <w:tcW w:w="1081" w:type="dxa"/>
            <w:vAlign w:val="center"/>
          </w:tcPr>
          <w:p w14:paraId="6A895C67">
            <w:pPr>
              <w:jc w:val="center"/>
              <w:rPr>
                <w:color w:val="auto"/>
                <w:sz w:val="18"/>
                <w:szCs w:val="18"/>
              </w:rPr>
            </w:pPr>
          </w:p>
        </w:tc>
        <w:tc>
          <w:tcPr>
            <w:tcW w:w="709" w:type="dxa"/>
            <w:vAlign w:val="center"/>
          </w:tcPr>
          <w:p w14:paraId="33BC1A39">
            <w:pPr>
              <w:jc w:val="center"/>
              <w:rPr>
                <w:color w:val="auto"/>
                <w:sz w:val="18"/>
                <w:szCs w:val="18"/>
              </w:rPr>
            </w:pPr>
          </w:p>
        </w:tc>
        <w:tc>
          <w:tcPr>
            <w:tcW w:w="709" w:type="dxa"/>
            <w:vAlign w:val="center"/>
          </w:tcPr>
          <w:p w14:paraId="55501A89">
            <w:pPr>
              <w:jc w:val="center"/>
              <w:rPr>
                <w:color w:val="auto"/>
                <w:sz w:val="18"/>
                <w:szCs w:val="18"/>
              </w:rPr>
            </w:pPr>
            <w:r>
              <w:rPr>
                <w:color w:val="auto"/>
                <w:sz w:val="18"/>
                <w:szCs w:val="18"/>
              </w:rPr>
              <w:t>6</w:t>
            </w:r>
          </w:p>
        </w:tc>
        <w:tc>
          <w:tcPr>
            <w:tcW w:w="1162" w:type="dxa"/>
            <w:vMerge w:val="continue"/>
          </w:tcPr>
          <w:p w14:paraId="55D9E714">
            <w:pPr>
              <w:jc w:val="center"/>
              <w:rPr>
                <w:color w:val="auto"/>
                <w:sz w:val="18"/>
                <w:szCs w:val="18"/>
              </w:rPr>
            </w:pPr>
          </w:p>
        </w:tc>
      </w:tr>
      <w:tr w14:paraId="0832FE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C1C95E">
            <w:pPr>
              <w:rPr>
                <w:color w:val="auto"/>
                <w:sz w:val="18"/>
                <w:szCs w:val="18"/>
              </w:rPr>
            </w:pPr>
          </w:p>
        </w:tc>
        <w:tc>
          <w:tcPr>
            <w:tcW w:w="1226" w:type="dxa"/>
            <w:vMerge w:val="continue"/>
          </w:tcPr>
          <w:p w14:paraId="28FB390D">
            <w:pPr>
              <w:jc w:val="center"/>
              <w:rPr>
                <w:color w:val="auto"/>
                <w:sz w:val="18"/>
                <w:szCs w:val="18"/>
              </w:rPr>
            </w:pPr>
          </w:p>
        </w:tc>
        <w:tc>
          <w:tcPr>
            <w:tcW w:w="3516" w:type="dxa"/>
            <w:vAlign w:val="center"/>
          </w:tcPr>
          <w:p w14:paraId="06ED3901">
            <w:pPr>
              <w:rPr>
                <w:color w:val="auto"/>
                <w:sz w:val="18"/>
                <w:szCs w:val="18"/>
              </w:rPr>
            </w:pPr>
            <w:r>
              <w:rPr>
                <w:color w:val="auto"/>
                <w:sz w:val="18"/>
                <w:szCs w:val="18"/>
              </w:rPr>
              <w:t>论文答辩</w:t>
            </w:r>
          </w:p>
        </w:tc>
        <w:tc>
          <w:tcPr>
            <w:tcW w:w="1081" w:type="dxa"/>
            <w:vAlign w:val="center"/>
          </w:tcPr>
          <w:p w14:paraId="32FFE8DC">
            <w:pPr>
              <w:jc w:val="center"/>
              <w:rPr>
                <w:color w:val="auto"/>
                <w:sz w:val="18"/>
                <w:szCs w:val="18"/>
              </w:rPr>
            </w:pPr>
          </w:p>
        </w:tc>
        <w:tc>
          <w:tcPr>
            <w:tcW w:w="709" w:type="dxa"/>
            <w:vAlign w:val="center"/>
          </w:tcPr>
          <w:p w14:paraId="663B44A4">
            <w:pPr>
              <w:jc w:val="center"/>
              <w:rPr>
                <w:color w:val="auto"/>
                <w:sz w:val="18"/>
                <w:szCs w:val="18"/>
              </w:rPr>
            </w:pPr>
          </w:p>
        </w:tc>
        <w:tc>
          <w:tcPr>
            <w:tcW w:w="709" w:type="dxa"/>
            <w:vAlign w:val="center"/>
          </w:tcPr>
          <w:p w14:paraId="10900736">
            <w:pPr>
              <w:jc w:val="center"/>
              <w:rPr>
                <w:color w:val="auto"/>
                <w:sz w:val="18"/>
                <w:szCs w:val="18"/>
              </w:rPr>
            </w:pPr>
            <w:r>
              <w:rPr>
                <w:color w:val="auto"/>
                <w:sz w:val="18"/>
                <w:szCs w:val="18"/>
              </w:rPr>
              <w:t>6</w:t>
            </w:r>
          </w:p>
        </w:tc>
        <w:tc>
          <w:tcPr>
            <w:tcW w:w="1162" w:type="dxa"/>
            <w:vMerge w:val="continue"/>
          </w:tcPr>
          <w:p w14:paraId="180349B5">
            <w:pPr>
              <w:jc w:val="center"/>
              <w:rPr>
                <w:color w:val="auto"/>
                <w:sz w:val="18"/>
                <w:szCs w:val="18"/>
              </w:rPr>
            </w:pPr>
          </w:p>
        </w:tc>
      </w:tr>
    </w:tbl>
    <w:p w14:paraId="3FEEF963">
      <w:pPr>
        <w:spacing w:line="440" w:lineRule="exact"/>
        <w:ind w:firstLine="480" w:firstLineChars="200"/>
        <w:rPr>
          <w:rFonts w:eastAsiaTheme="minorEastAsia"/>
          <w:bCs/>
          <w:color w:val="auto"/>
          <w:sz w:val="24"/>
        </w:rPr>
      </w:pPr>
      <w:r>
        <w:rPr>
          <w:rFonts w:eastAsiaTheme="minorEastAsia"/>
          <w:bCs/>
          <w:color w:val="auto"/>
          <w:sz w:val="24"/>
        </w:rPr>
        <w:t>*公共外语课程按入学时的外国语考试科目修读相关语种。</w:t>
      </w:r>
    </w:p>
    <w:p w14:paraId="5A1C36C8">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、其他需要说明事项</w:t>
      </w:r>
    </w:p>
    <w:p w14:paraId="33D6EB15">
      <w:pPr>
        <w:spacing w:line="440" w:lineRule="exact"/>
        <w:ind w:firstLine="480" w:firstLineChars="200"/>
        <w:rPr>
          <w:rFonts w:eastAsiaTheme="minorEastAsia"/>
          <w:bCs/>
          <w:color w:val="auto"/>
          <w:sz w:val="24"/>
        </w:rPr>
      </w:pPr>
      <w:r>
        <w:rPr>
          <w:rFonts w:eastAsiaTheme="minorEastAsia"/>
          <w:bCs/>
          <w:color w:val="auto"/>
          <w:sz w:val="24"/>
        </w:rPr>
        <w:t>1. 非学位课中的方向选修课模块由各培养单位自行设置，并给出具体选修学分要求。</w:t>
      </w:r>
    </w:p>
    <w:p w14:paraId="484137C5">
      <w:pPr>
        <w:spacing w:line="440" w:lineRule="exact"/>
        <w:ind w:firstLine="480" w:firstLineChars="200"/>
        <w:rPr>
          <w:rFonts w:eastAsia="黑体"/>
          <w:bCs/>
          <w:color w:val="auto"/>
          <w:sz w:val="24"/>
        </w:rPr>
      </w:pPr>
      <w:r>
        <w:rPr>
          <w:rFonts w:eastAsiaTheme="minorEastAsia"/>
          <w:bCs/>
          <w:color w:val="auto"/>
          <w:sz w:val="24"/>
        </w:rPr>
        <w:t>2. 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p w14:paraId="5C135911">
      <w:pPr>
        <w:rPr>
          <w:color w:val="auto"/>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86218"/>
    <w:rsid w:val="3D074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3462</Words>
  <Characters>3858</Characters>
  <Lines>0</Lines>
  <Paragraphs>0</Paragraphs>
  <TotalTime>0</TotalTime>
  <ScaleCrop>false</ScaleCrop>
  <LinksUpToDate>false</LinksUpToDate>
  <CharactersWithSpaces>3860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2025-06-12T11:15:00Z</dcterms:created>
  <dc:creator>Dell</dc:creator>
  <cp:lastModifiedBy>送送</cp:lastModifiedBy>
  <dcterms:modified xsi:type="dcterms:W3CDTF">2025-07-11T10:48:18Z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1F1877BE64FB4523AF7B4286005B9C0B_12</vt:lpwstr>
  </property>
</Properties>
</file>