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EEF85">
      <w:pPr>
        <w:ind w:left="321" w:leftChars="153" w:right="227"/>
        <w:jc w:val="center"/>
        <w:rPr>
          <w:rFonts w:eastAsia="黑体"/>
          <w:b/>
          <w:bCs/>
          <w:i/>
          <w:color w:val="FF0000"/>
          <w:sz w:val="36"/>
          <w:szCs w:val="36"/>
          <w:u w:val="single"/>
        </w:rPr>
      </w:pPr>
    </w:p>
    <w:p w14:paraId="1670EA2F">
      <w:pPr>
        <w:ind w:left="321" w:leftChars="153" w:right="227"/>
        <w:jc w:val="center"/>
        <w:rPr>
          <w:rFonts w:eastAsia="黑体"/>
          <w:b/>
          <w:bCs/>
          <w:sz w:val="36"/>
          <w:szCs w:val="36"/>
        </w:rPr>
      </w:pPr>
      <w:r>
        <w:rPr>
          <w:rFonts w:hint="eastAsia" w:eastAsia="黑体"/>
          <w:b/>
          <w:bCs/>
          <w:i w:val="0"/>
          <w:iCs/>
          <w:color w:val="auto"/>
          <w:sz w:val="36"/>
          <w:szCs w:val="36"/>
          <w:u w:val="single"/>
          <w:lang w:val="en-US" w:eastAsia="zh-CN"/>
        </w:rPr>
        <w:t>图书馆学</w:t>
      </w:r>
      <w:r>
        <w:rPr>
          <w:rFonts w:eastAsia="黑体"/>
          <w:b/>
          <w:bCs/>
          <w:sz w:val="36"/>
          <w:szCs w:val="36"/>
        </w:rPr>
        <w:t>专业学术学位硕士研究生培养方案</w:t>
      </w:r>
    </w:p>
    <w:p w14:paraId="63091034">
      <w:pPr>
        <w:ind w:left="321" w:leftChars="153" w:right="227"/>
        <w:jc w:val="center"/>
        <w:rPr>
          <w:rFonts w:eastAsia="黑体"/>
          <w:b/>
          <w:bCs/>
          <w:sz w:val="28"/>
          <w:szCs w:val="28"/>
        </w:rPr>
      </w:pPr>
      <w:r>
        <w:rPr>
          <w:rFonts w:eastAsia="黑体"/>
          <w:b/>
          <w:bCs/>
          <w:sz w:val="28"/>
          <w:szCs w:val="28"/>
        </w:rPr>
        <w:t>（</w:t>
      </w:r>
      <w:r>
        <w:rPr>
          <w:rFonts w:hint="eastAsia" w:eastAsia="黑体"/>
          <w:b/>
          <w:bCs/>
          <w:color w:val="auto"/>
          <w:sz w:val="28"/>
          <w:szCs w:val="28"/>
          <w:lang w:val="en-US" w:eastAsia="zh-CN"/>
        </w:rPr>
        <w:t>管理</w:t>
      </w:r>
      <w:r>
        <w:rPr>
          <w:rFonts w:eastAsia="黑体"/>
          <w:b/>
          <w:bCs/>
          <w:sz w:val="28"/>
          <w:szCs w:val="28"/>
        </w:rPr>
        <w:t>学院)</w:t>
      </w:r>
    </w:p>
    <w:p w14:paraId="6863342F">
      <w:pPr>
        <w:spacing w:line="440" w:lineRule="exact"/>
        <w:ind w:firstLine="560"/>
        <w:rPr>
          <w:rFonts w:eastAsia="黑体"/>
          <w:bCs/>
          <w:sz w:val="28"/>
          <w:szCs w:val="28"/>
        </w:rPr>
      </w:pPr>
      <w:r>
        <w:rPr>
          <w:rFonts w:eastAsia="黑体"/>
          <w:bCs/>
          <w:sz w:val="28"/>
          <w:szCs w:val="28"/>
        </w:rPr>
        <w:t>一、专业名称、代码</w:t>
      </w:r>
    </w:p>
    <w:p w14:paraId="60520E0A">
      <w:pPr>
        <w:widowControl/>
        <w:spacing w:before="100" w:beforeAutospacing="1" w:after="100" w:afterAutospacing="1" w:line="270" w:lineRule="atLeast"/>
        <w:ind w:firstLine="960" w:firstLineChars="400"/>
        <w:jc w:val="left"/>
        <w:rPr>
          <w:rFonts w:hint="default" w:eastAsia="宋体"/>
          <w:color w:val="222222"/>
          <w:kern w:val="0"/>
          <w:sz w:val="18"/>
          <w:szCs w:val="18"/>
          <w:lang w:val="en-US" w:eastAsia="zh-CN"/>
        </w:rPr>
      </w:pPr>
      <w:r>
        <w:rPr>
          <w:color w:val="222222"/>
          <w:kern w:val="0"/>
          <w:sz w:val="24"/>
        </w:rPr>
        <w:t>专业名称：</w:t>
      </w:r>
      <w:r>
        <w:rPr>
          <w:rFonts w:hint="eastAsia"/>
          <w:color w:val="222222"/>
          <w:kern w:val="0"/>
          <w:sz w:val="24"/>
          <w:lang w:val="en-US" w:eastAsia="zh-CN"/>
        </w:rPr>
        <w:t>图书馆学</w:t>
      </w:r>
    </w:p>
    <w:p w14:paraId="6C3AF7D7">
      <w:pPr>
        <w:widowControl/>
        <w:spacing w:before="100" w:beforeAutospacing="1" w:after="100" w:afterAutospacing="1" w:line="270" w:lineRule="atLeast"/>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120501</w:t>
      </w:r>
    </w:p>
    <w:p w14:paraId="3B353293">
      <w:pPr>
        <w:spacing w:line="440" w:lineRule="exact"/>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30BC480A">
      <w:pPr>
        <w:spacing w:line="440" w:lineRule="exact"/>
        <w:ind w:firstLine="480" w:firstLineChars="200"/>
        <w:rPr>
          <w:rFonts w:eastAsiaTheme="minorEastAsia"/>
          <w:i/>
          <w:color w:val="FF0000"/>
          <w:sz w:val="24"/>
        </w:rPr>
      </w:pPr>
      <w:r>
        <w:rPr>
          <w:rFonts w:hint="eastAsia" w:eastAsiaTheme="minorEastAsia"/>
          <w:i w:val="0"/>
          <w:iCs/>
          <w:color w:val="auto"/>
          <w:sz w:val="24"/>
          <w:lang w:val="en-US" w:eastAsia="zh-CN"/>
        </w:rPr>
        <w:t>图书馆学是研究图书馆的起源、发展、组织管理以及图书馆工作规律的科学，也是对图书馆事业及其相关因素进行研究的一门学科，主要包括普通图书馆学（图书馆学基础理论、图书馆学史、图书馆事业建设原理与组织管理体制、图书馆工作流程与机制、图书馆哲学、图书馆学教育等）、专门图书馆学（公共图书馆、高等学校图书馆、科研院所图书馆、中小学图书馆等）、应用图书馆学（图书馆文献资源建设、文献信息组织、图书馆服务与用户研究、阅读推广、图书馆管理、图书馆新技术研究等）以及比较图书馆学等研究内容。本专业经过多年积累，在图书馆服务、图书馆管理、公共文化服务方面形成了比较多的学术成果，在学界业界产生了一定的影响力。</w:t>
      </w:r>
    </w:p>
    <w:p w14:paraId="3FEE4DF0">
      <w:pPr>
        <w:spacing w:line="440" w:lineRule="exact"/>
        <w:ind w:firstLine="560" w:firstLineChars="200"/>
        <w:rPr>
          <w:rFonts w:eastAsia="黑体"/>
          <w:bCs/>
          <w:sz w:val="28"/>
          <w:szCs w:val="28"/>
        </w:rPr>
      </w:pPr>
      <w:r>
        <w:rPr>
          <w:rFonts w:eastAsia="黑体"/>
          <w:bCs/>
          <w:sz w:val="28"/>
          <w:szCs w:val="28"/>
        </w:rPr>
        <w:t>三、研究方向</w:t>
      </w:r>
    </w:p>
    <w:p w14:paraId="641C8401">
      <w:pPr>
        <w:spacing w:line="440" w:lineRule="exact"/>
        <w:ind w:firstLine="480" w:firstLineChars="200"/>
        <w:rPr>
          <w:rFonts w:hint="eastAsia" w:ascii="宋体" w:hAnsi="宋体"/>
          <w:sz w:val="24"/>
        </w:rPr>
      </w:pPr>
      <w:r>
        <w:rPr>
          <w:rFonts w:hint="eastAsia" w:ascii="宋体" w:hAnsi="宋体"/>
          <w:sz w:val="24"/>
        </w:rPr>
        <w:t>本</w:t>
      </w:r>
      <w:r>
        <w:rPr>
          <w:rFonts w:hint="eastAsia" w:ascii="宋体" w:hAnsi="宋体"/>
          <w:sz w:val="24"/>
          <w:lang w:val="en-US" w:eastAsia="zh-CN"/>
        </w:rPr>
        <w:t>专业</w:t>
      </w:r>
      <w:r>
        <w:rPr>
          <w:rFonts w:hint="eastAsia" w:ascii="宋体" w:hAnsi="宋体"/>
          <w:sz w:val="24"/>
        </w:rPr>
        <w:t>基于图书馆学专业的学科特点和我校图书馆学专业的优势，在研究方向的设置上密切关注信息资源管理领域和图书馆事业发展中具有重大或深远意义的问题，努力把握本学科专业的发展趋势，提倡学科之间相互渗透和交叉，共设置了</w:t>
      </w:r>
      <w:r>
        <w:rPr>
          <w:rFonts w:hint="eastAsia" w:ascii="宋体" w:hAnsi="宋体"/>
          <w:sz w:val="24"/>
          <w:lang w:val="en-US" w:eastAsia="zh-CN"/>
        </w:rPr>
        <w:t>三</w:t>
      </w:r>
      <w:r>
        <w:rPr>
          <w:rFonts w:hint="eastAsia" w:ascii="宋体" w:hAnsi="宋体"/>
          <w:sz w:val="24"/>
        </w:rPr>
        <w:t>个研究方向</w:t>
      </w:r>
      <w:r>
        <w:rPr>
          <w:rFonts w:hint="eastAsia" w:ascii="宋体" w:hAnsi="宋体"/>
          <w:sz w:val="24"/>
          <w:lang w:eastAsia="zh-CN"/>
        </w:rPr>
        <w:t>：</w:t>
      </w:r>
      <w:r>
        <w:rPr>
          <w:rFonts w:hint="eastAsia" w:ascii="宋体" w:hAnsi="宋体"/>
          <w:sz w:val="24"/>
          <w:lang w:val="en-US" w:eastAsia="zh-CN"/>
        </w:rPr>
        <w:t>图书馆服务、图书馆管理以及公共文化服务</w:t>
      </w:r>
      <w:r>
        <w:rPr>
          <w:rFonts w:hint="eastAsia" w:ascii="宋体" w:hAnsi="宋体"/>
          <w:sz w:val="24"/>
        </w:rPr>
        <w:t>这</w:t>
      </w:r>
      <w:r>
        <w:rPr>
          <w:rFonts w:hint="eastAsia" w:ascii="宋体" w:hAnsi="宋体"/>
          <w:sz w:val="24"/>
          <w:lang w:val="en-US" w:eastAsia="zh-CN"/>
        </w:rPr>
        <w:t>几</w:t>
      </w:r>
      <w:r>
        <w:rPr>
          <w:rFonts w:hint="eastAsia" w:ascii="宋体" w:hAnsi="宋体"/>
          <w:sz w:val="24"/>
        </w:rPr>
        <w:t>个研究方向在内容和方法上既相互独立，又相互交叉和补充。</w:t>
      </w:r>
    </w:p>
    <w:p w14:paraId="11E91E2E">
      <w:pPr>
        <w:numPr>
          <w:ilvl w:val="0"/>
          <w:numId w:val="1"/>
        </w:numPr>
        <w:spacing w:line="440" w:lineRule="exact"/>
        <w:ind w:firstLine="480" w:firstLineChars="200"/>
        <w:rPr>
          <w:rFonts w:hint="eastAsia" w:ascii="宋体" w:hAnsi="宋体"/>
          <w:sz w:val="24"/>
          <w:lang w:val="en-US" w:eastAsia="zh-CN"/>
        </w:rPr>
      </w:pPr>
      <w:r>
        <w:rPr>
          <w:rFonts w:hint="eastAsia" w:ascii="宋体" w:hAnsi="宋体"/>
          <w:sz w:val="24"/>
          <w:lang w:val="en-US" w:eastAsia="zh-CN"/>
        </w:rPr>
        <w:t>图书馆服务：主要研究新时代图书馆服务的发展。培养用户的阅读素养和信息素养是图书馆的基本任务，本方向侧重阅读推广、信息素养教育这两个图书馆基础服务项目的研究。阅读推广主要包括阅读推广基础理论、阅读行为、阅读推广方式方法、阅读推广效果评估、全民阅读政策等方面的研究内容。信息素养教育包括信息素养教育模型、不同人群的信息素养教育、AI素养教育、信息素养标准等研究内容。除了对基础服务项目的研究，同时包括开放获取时代图书馆的出版服务等新型服务项目的研究。在图书馆服务效果评估方面和图书馆管理方向有所交叉，相互补充。</w:t>
      </w:r>
    </w:p>
    <w:p w14:paraId="160A77CD">
      <w:pPr>
        <w:numPr>
          <w:ilvl w:val="0"/>
          <w:numId w:val="1"/>
        </w:numPr>
        <w:spacing w:line="440" w:lineRule="exact"/>
        <w:ind w:firstLine="480" w:firstLineChars="200"/>
        <w:rPr>
          <w:rFonts w:hint="default" w:ascii="宋体" w:hAnsi="宋体"/>
          <w:sz w:val="24"/>
          <w:lang w:val="en-US" w:eastAsia="zh-CN"/>
        </w:rPr>
      </w:pPr>
      <w:r>
        <w:rPr>
          <w:rFonts w:hint="eastAsia" w:ascii="宋体" w:hAnsi="宋体"/>
          <w:sz w:val="24"/>
          <w:lang w:val="en-US" w:eastAsia="zh-CN"/>
        </w:rPr>
        <w:t>图书馆管理：图书馆管理主要研究新时代图书馆管理模式和方法的变化与发展。本方向侧重图书馆统计与评价，主要研究数智时代图书馆统计与评价的新思路、新模式、新方法。具体包括数智时代图书馆统计与评价理论的变革、数智时代图书馆统计与评价标准的发展、数智时代图书馆统计与评价数据模型研究、数智时代图书馆统计与评价的实施、数智时代图书馆统计与评价的治理与风险管理。除此之外，还包括图书馆管理基础理论的研究。</w:t>
      </w:r>
    </w:p>
    <w:p w14:paraId="2C591E3B">
      <w:pPr>
        <w:numPr>
          <w:ilvl w:val="0"/>
          <w:numId w:val="0"/>
        </w:numPr>
        <w:spacing w:line="440" w:lineRule="exact"/>
        <w:ind w:firstLine="480" w:firstLineChars="200"/>
        <w:rPr>
          <w:rFonts w:eastAsiaTheme="minorEastAsia"/>
          <w:i/>
          <w:color w:val="FF0000"/>
          <w:sz w:val="24"/>
        </w:rPr>
      </w:pPr>
      <w:r>
        <w:rPr>
          <w:rFonts w:hint="eastAsia" w:ascii="宋体" w:hAnsi="宋体"/>
          <w:sz w:val="24"/>
          <w:lang w:val="en-US" w:eastAsia="zh-CN"/>
        </w:rPr>
        <w:t>(3)公共文化服务：公共文化服务方向聚焦现代公共文化服务体系中的资源配置、空间运营与社会功能实现，以图书馆、文化馆等公共文化机构及其服务网络为核心研究对象，重点探索公共文化服务的创新性发展路径。研究内容主要围绕两大维度展开：一是公共文化空间的建设与运营机制，包括实体场馆功能重构、智慧服务场景设计及社区文化生态培育；二是文化遗产与地方文献资源的活化利用，涉及古籍保护、文化遗产管理、数字人文应用以及地方文化记忆的当代转化路径。该方向立足图书馆学与社会学、文化遗产学的交叉视角，强调理论研究与政策实践的深度衔接，注重培育掌握理论与实践知识、具备学术视野、解决现实问题、推动文化服务创新的专业型、复合型人才。</w:t>
      </w:r>
    </w:p>
    <w:p w14:paraId="2D5F68BA">
      <w:pPr>
        <w:spacing w:line="440" w:lineRule="exact"/>
        <w:ind w:firstLine="560" w:firstLineChars="200"/>
        <w:rPr>
          <w:rFonts w:eastAsia="黑体"/>
          <w:bCs/>
          <w:sz w:val="28"/>
          <w:szCs w:val="28"/>
        </w:rPr>
      </w:pPr>
      <w:r>
        <w:rPr>
          <w:rFonts w:eastAsia="黑体"/>
          <w:bCs/>
          <w:sz w:val="28"/>
          <w:szCs w:val="28"/>
        </w:rPr>
        <w:t>四、学制及学习年限</w:t>
      </w:r>
    </w:p>
    <w:p w14:paraId="22E11898">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1D416B6">
      <w:pPr>
        <w:spacing w:line="440" w:lineRule="exact"/>
        <w:ind w:firstLine="560" w:firstLineChars="200"/>
        <w:rPr>
          <w:rFonts w:eastAsia="黑体"/>
          <w:bCs/>
          <w:sz w:val="28"/>
          <w:szCs w:val="28"/>
        </w:rPr>
      </w:pPr>
      <w:r>
        <w:rPr>
          <w:rFonts w:eastAsia="黑体"/>
          <w:bCs/>
          <w:sz w:val="28"/>
          <w:szCs w:val="28"/>
        </w:rPr>
        <w:t>五、培养目标</w:t>
      </w:r>
    </w:p>
    <w:p w14:paraId="4CE7F914">
      <w:pPr>
        <w:spacing w:line="420" w:lineRule="exact"/>
        <w:ind w:firstLine="480"/>
        <w:rPr>
          <w:rFonts w:hint="default" w:eastAsiaTheme="minorEastAsia"/>
          <w:i w:val="0"/>
          <w:iCs/>
          <w:color w:val="auto"/>
          <w:sz w:val="24"/>
          <w:lang w:val="en-US" w:eastAsia="zh-CN"/>
        </w:rPr>
      </w:pPr>
      <w:r>
        <w:rPr>
          <w:rFonts w:eastAsiaTheme="minorEastAsia"/>
          <w:i w:val="0"/>
          <w:iCs/>
          <w:color w:val="auto"/>
          <w:sz w:val="24"/>
        </w:rPr>
        <w:t>1. 树立正确的中国特色社会主义核心价值观，具有坚定的理想信念，高尚的道德情操，优良的学术作风，高度的社会责任感。</w:t>
      </w:r>
      <w:r>
        <w:rPr>
          <w:rFonts w:hint="eastAsia" w:eastAsiaTheme="minorEastAsia"/>
          <w:i w:val="0"/>
          <w:iCs/>
          <w:color w:val="auto"/>
          <w:sz w:val="24"/>
          <w:lang w:val="en-US" w:eastAsia="zh-CN"/>
        </w:rPr>
        <w:t>具备良好的图书馆职业精神和职业道德。</w:t>
      </w:r>
    </w:p>
    <w:p w14:paraId="27FCF556">
      <w:pPr>
        <w:spacing w:line="360" w:lineRule="auto"/>
        <w:ind w:firstLine="480" w:firstLineChars="200"/>
        <w:rPr>
          <w:rFonts w:eastAsiaTheme="minorEastAsia"/>
          <w:i w:val="0"/>
          <w:iCs/>
          <w:color w:val="auto"/>
          <w:sz w:val="24"/>
        </w:rPr>
      </w:pPr>
      <w:r>
        <w:rPr>
          <w:rFonts w:hint="eastAsia" w:ascii="宋体" w:hAnsi="宋体" w:cs="宋体"/>
          <w:i w:val="0"/>
          <w:iCs/>
          <w:color w:val="auto"/>
          <w:sz w:val="24"/>
        </w:rPr>
        <w:t>2. 掌握</w:t>
      </w:r>
      <w:r>
        <w:rPr>
          <w:rFonts w:hint="eastAsia" w:ascii="宋体" w:hAnsi="宋体" w:cs="宋体"/>
          <w:i w:val="0"/>
          <w:iCs/>
          <w:color w:val="auto"/>
          <w:sz w:val="24"/>
          <w:lang w:val="en-US" w:eastAsia="zh-CN"/>
        </w:rPr>
        <w:t>信息资源管理学科以及图书馆学的</w:t>
      </w:r>
      <w:r>
        <w:rPr>
          <w:rFonts w:hint="eastAsia" w:ascii="宋体" w:hAnsi="宋体" w:cs="宋体"/>
          <w:i w:val="0"/>
          <w:iCs/>
          <w:color w:val="auto"/>
          <w:sz w:val="24"/>
        </w:rPr>
        <w:t>基础理论和系统深入的专门知识，掌握</w:t>
      </w:r>
      <w:r>
        <w:rPr>
          <w:rFonts w:hint="eastAsia" w:ascii="宋体" w:hAnsi="宋体" w:cs="宋体"/>
          <w:i w:val="0"/>
          <w:iCs/>
          <w:color w:val="auto"/>
          <w:sz w:val="24"/>
          <w:lang w:val="en-US" w:eastAsia="zh-CN"/>
        </w:rPr>
        <w:t>常用的研究方法和研究工具</w:t>
      </w:r>
      <w:r>
        <w:rPr>
          <w:rFonts w:hint="eastAsia" w:ascii="宋体" w:hAnsi="宋体" w:cs="宋体"/>
          <w:i w:val="0"/>
          <w:iCs/>
          <w:color w:val="auto"/>
          <w:sz w:val="24"/>
        </w:rPr>
        <w:t>，熟悉本学科的前沿研究领域，具有独立从事科学研究和解决实际问题的能力。</w:t>
      </w:r>
      <w:r>
        <w:rPr>
          <w:rFonts w:hint="eastAsia" w:ascii="宋体" w:hAnsi="宋体" w:cs="宋体"/>
          <w:i w:val="0"/>
          <w:iCs/>
          <w:color w:val="auto"/>
          <w:sz w:val="24"/>
          <w:lang w:val="en-US" w:eastAsia="zh-CN"/>
        </w:rPr>
        <w:t>能够</w:t>
      </w:r>
      <w:r>
        <w:rPr>
          <w:rFonts w:hint="eastAsia" w:ascii="宋体" w:hAnsi="宋体" w:cs="宋体"/>
          <w:i w:val="0"/>
          <w:iCs/>
          <w:color w:val="auto"/>
          <w:sz w:val="24"/>
        </w:rPr>
        <w:t>运用专业知识和研究能力从事</w:t>
      </w:r>
      <w:r>
        <w:rPr>
          <w:rFonts w:hint="eastAsia" w:ascii="宋体" w:hAnsi="宋体" w:cs="宋体"/>
          <w:i w:val="0"/>
          <w:iCs/>
          <w:color w:val="auto"/>
          <w:sz w:val="24"/>
          <w:lang w:val="en-US" w:eastAsia="zh-CN"/>
        </w:rPr>
        <w:t>图书馆及相关领域的</w:t>
      </w:r>
      <w:r>
        <w:rPr>
          <w:rFonts w:hint="eastAsia" w:ascii="宋体" w:hAnsi="宋体" w:cs="宋体"/>
          <w:i w:val="0"/>
          <w:iCs/>
          <w:color w:val="auto"/>
          <w:sz w:val="24"/>
        </w:rPr>
        <w:t>工作。学位论文要求具有重要的学术意义或应用价值，并具有较高的创新性。</w:t>
      </w:r>
    </w:p>
    <w:p w14:paraId="1D0EF96A">
      <w:pPr>
        <w:spacing w:line="420" w:lineRule="exact"/>
        <w:ind w:firstLine="480"/>
        <w:rPr>
          <w:rFonts w:eastAsiaTheme="minorEastAsia"/>
          <w:i w:val="0"/>
          <w:iCs/>
          <w:color w:val="auto"/>
          <w:sz w:val="24"/>
        </w:rPr>
      </w:pPr>
      <w:r>
        <w:rPr>
          <w:rFonts w:eastAsiaTheme="minorEastAsia"/>
          <w:i w:val="0"/>
          <w:iCs/>
          <w:color w:val="auto"/>
          <w:sz w:val="24"/>
        </w:rPr>
        <w:t>3. 至少掌握一门外国语，能熟练阅读本专业的外文资料，具有撰写学术论文和进行国际学术交流的能力。</w:t>
      </w:r>
    </w:p>
    <w:p w14:paraId="06C41CD3">
      <w:pPr>
        <w:spacing w:line="420" w:lineRule="exact"/>
        <w:ind w:firstLine="480"/>
        <w:rPr>
          <w:rFonts w:eastAsiaTheme="minorEastAsia"/>
          <w:i w:val="0"/>
          <w:iCs/>
          <w:color w:val="auto"/>
          <w:sz w:val="24"/>
        </w:rPr>
      </w:pPr>
      <w:r>
        <w:rPr>
          <w:rFonts w:eastAsiaTheme="minorEastAsia"/>
          <w:i w:val="0"/>
          <w:iCs/>
          <w:color w:val="auto"/>
          <w:sz w:val="24"/>
        </w:rPr>
        <w:t>4. 具有良好的团队意识和团队合作精神。</w:t>
      </w:r>
    </w:p>
    <w:p w14:paraId="4A06A7BF">
      <w:pPr>
        <w:spacing w:line="420" w:lineRule="exact"/>
        <w:ind w:firstLine="480"/>
        <w:rPr>
          <w:rFonts w:eastAsiaTheme="minorEastAsia"/>
          <w:i w:val="0"/>
          <w:iCs/>
          <w:color w:val="auto"/>
          <w:sz w:val="24"/>
        </w:rPr>
      </w:pPr>
      <w:r>
        <w:rPr>
          <w:rFonts w:eastAsiaTheme="minorEastAsia"/>
          <w:i w:val="0"/>
          <w:iCs/>
          <w:color w:val="auto"/>
          <w:sz w:val="24"/>
        </w:rPr>
        <w:t>5. 具有良好的心理素养。</w:t>
      </w:r>
    </w:p>
    <w:p w14:paraId="5293A89A">
      <w:pPr>
        <w:spacing w:line="420" w:lineRule="exact"/>
        <w:ind w:firstLine="480"/>
        <w:rPr>
          <w:rFonts w:eastAsiaTheme="minorEastAsia"/>
          <w:i w:val="0"/>
          <w:iCs/>
          <w:color w:val="auto"/>
          <w:sz w:val="24"/>
        </w:rPr>
      </w:pPr>
      <w:r>
        <w:rPr>
          <w:rFonts w:eastAsiaTheme="minorEastAsia"/>
          <w:i w:val="0"/>
          <w:iCs/>
          <w:color w:val="auto"/>
          <w:sz w:val="24"/>
        </w:rPr>
        <w:t>6. 培养德智体美劳全面发展的社会主义事业接班人。</w:t>
      </w:r>
    </w:p>
    <w:p w14:paraId="485C5F49">
      <w:pPr>
        <w:spacing w:line="440" w:lineRule="exact"/>
        <w:ind w:firstLine="560" w:firstLineChars="200"/>
        <w:rPr>
          <w:rFonts w:eastAsia="黑体"/>
          <w:bCs/>
          <w:sz w:val="28"/>
          <w:szCs w:val="28"/>
        </w:rPr>
      </w:pPr>
      <w:r>
        <w:rPr>
          <w:rFonts w:eastAsia="黑体"/>
          <w:bCs/>
          <w:sz w:val="28"/>
          <w:szCs w:val="28"/>
        </w:rPr>
        <w:t>六、培养方式</w:t>
      </w:r>
    </w:p>
    <w:p w14:paraId="7346ADCF">
      <w:pPr>
        <w:tabs>
          <w:tab w:val="left" w:pos="675"/>
          <w:tab w:val="left" w:pos="3690"/>
          <w:tab w:val="left" w:pos="6390"/>
        </w:tabs>
        <w:spacing w:line="336" w:lineRule="auto"/>
        <w:ind w:firstLine="480" w:firstLineChars="200"/>
        <w:rPr>
          <w:rFonts w:hint="eastAsia" w:ascii="楷体_GB2312" w:eastAsia="楷体_GB2312"/>
          <w:i/>
          <w:color w:val="000000"/>
          <w:sz w:val="24"/>
        </w:rPr>
      </w:pPr>
      <w:r>
        <w:rPr>
          <w:rFonts w:hint="eastAsia" w:ascii="宋体" w:hAnsi="宋体"/>
          <w:sz w:val="24"/>
        </w:rPr>
        <w:t>1. 导师指导与集体培养相结合</w:t>
      </w:r>
    </w:p>
    <w:p w14:paraId="78BCA556">
      <w:pPr>
        <w:tabs>
          <w:tab w:val="left" w:pos="675"/>
          <w:tab w:val="left" w:pos="3690"/>
          <w:tab w:val="left" w:pos="6390"/>
        </w:tabs>
        <w:spacing w:line="336" w:lineRule="auto"/>
        <w:ind w:firstLine="480" w:firstLineChars="200"/>
        <w:rPr>
          <w:sz w:val="24"/>
        </w:rPr>
      </w:pPr>
      <w:r>
        <w:rPr>
          <w:rFonts w:hint="eastAsia"/>
          <w:sz w:val="24"/>
        </w:rPr>
        <w:t>图书馆学专业硕士生培养实行导师负责下的硕士生指导小组制，导师指导与集体培养相结合。实行导师和学生双向选择制为研究生初选指导教师，充分发挥学科的综合优势和学术群体作用。</w:t>
      </w:r>
    </w:p>
    <w:p w14:paraId="189C2CB0">
      <w:pPr>
        <w:tabs>
          <w:tab w:val="left" w:pos="675"/>
          <w:tab w:val="left" w:pos="3690"/>
          <w:tab w:val="left" w:pos="6390"/>
        </w:tabs>
        <w:spacing w:line="336" w:lineRule="auto"/>
        <w:ind w:firstLine="480" w:firstLineChars="200"/>
        <w:rPr>
          <w:rFonts w:hint="eastAsia"/>
          <w:sz w:val="24"/>
        </w:rPr>
      </w:pPr>
      <w:r>
        <w:rPr>
          <w:rFonts w:hint="eastAsia"/>
          <w:sz w:val="24"/>
        </w:rPr>
        <w:t>积极创造条件在相关和相近学科之间联合培养硕士研究生。联合情报学、文献学、等相关领域的学者共同培养学生。</w:t>
      </w:r>
    </w:p>
    <w:p w14:paraId="46E7705C">
      <w:pPr>
        <w:tabs>
          <w:tab w:val="left" w:pos="675"/>
          <w:tab w:val="left" w:pos="3690"/>
          <w:tab w:val="left" w:pos="6390"/>
        </w:tabs>
        <w:spacing w:line="336" w:lineRule="auto"/>
        <w:ind w:left="420" w:firstLine="120"/>
        <w:rPr>
          <w:rFonts w:hint="eastAsia"/>
          <w:sz w:val="24"/>
        </w:rPr>
      </w:pPr>
      <w:r>
        <w:rPr>
          <w:rFonts w:hint="eastAsia"/>
          <w:sz w:val="24"/>
        </w:rPr>
        <w:t>2.课堂教学和科研训练并重</w:t>
      </w:r>
    </w:p>
    <w:p w14:paraId="2898DAFF">
      <w:pPr>
        <w:tabs>
          <w:tab w:val="left" w:pos="675"/>
          <w:tab w:val="left" w:pos="3690"/>
          <w:tab w:val="left" w:pos="6390"/>
        </w:tabs>
        <w:spacing w:line="336" w:lineRule="auto"/>
        <w:ind w:firstLine="480" w:firstLineChars="200"/>
        <w:rPr>
          <w:rFonts w:hint="eastAsia"/>
          <w:sz w:val="24"/>
        </w:rPr>
      </w:pPr>
      <w:r>
        <w:rPr>
          <w:rFonts w:hint="eastAsia"/>
          <w:sz w:val="24"/>
        </w:rPr>
        <w:t>鼓励教师采用案例教学、现场教学、课堂讨论等教学方法。提倡团队作业形式，使学生在多</w:t>
      </w:r>
      <w:r>
        <w:rPr>
          <w:rFonts w:hint="eastAsia"/>
          <w:sz w:val="24"/>
          <w:lang w:val="en-US" w:eastAsia="zh-CN"/>
        </w:rPr>
        <w:t>元参与</w:t>
      </w:r>
      <w:r>
        <w:rPr>
          <w:rFonts w:hint="eastAsia"/>
          <w:sz w:val="24"/>
        </w:rPr>
        <w:t>的基础上，</w:t>
      </w:r>
      <w:r>
        <w:rPr>
          <w:rFonts w:hint="eastAsia"/>
          <w:sz w:val="24"/>
          <w:lang w:val="en-US" w:eastAsia="zh-CN"/>
        </w:rPr>
        <w:t>构建专业知识体系，形成专业思维框架和模式</w:t>
      </w:r>
      <w:r>
        <w:rPr>
          <w:rFonts w:hint="eastAsia"/>
          <w:sz w:val="24"/>
        </w:rPr>
        <w:t>，提高对专业问题的分析和表达能力。</w:t>
      </w:r>
    </w:p>
    <w:p w14:paraId="70443D52">
      <w:pPr>
        <w:tabs>
          <w:tab w:val="left" w:pos="675"/>
          <w:tab w:val="left" w:pos="3690"/>
          <w:tab w:val="left" w:pos="6390"/>
        </w:tabs>
        <w:spacing w:line="336" w:lineRule="auto"/>
        <w:ind w:firstLine="480" w:firstLineChars="200"/>
        <w:rPr>
          <w:rFonts w:hint="default" w:eastAsia="宋体"/>
          <w:sz w:val="24"/>
          <w:lang w:val="en-US" w:eastAsia="zh-CN"/>
        </w:rPr>
      </w:pPr>
      <w:r>
        <w:rPr>
          <w:rFonts w:hint="eastAsia"/>
          <w:sz w:val="24"/>
        </w:rPr>
        <w:t>注重学生学术交流环境的建设，为学生提供足够的科研训练。要求研究生参与导师科研项目。鼓励在学期间发表学术论文，参加国内外学术会议。</w:t>
      </w:r>
      <w:r>
        <w:rPr>
          <w:rFonts w:hint="eastAsia"/>
          <w:sz w:val="24"/>
          <w:lang w:val="en-US" w:eastAsia="zh-CN"/>
        </w:rPr>
        <w:t>鼓励学生参加学科竞赛，通过竞赛锻炼学生的科研能力。</w:t>
      </w:r>
    </w:p>
    <w:p w14:paraId="2E2D4D41">
      <w:pPr>
        <w:tabs>
          <w:tab w:val="left" w:pos="675"/>
          <w:tab w:val="left" w:pos="3690"/>
          <w:tab w:val="left" w:pos="6390"/>
        </w:tabs>
        <w:spacing w:line="336" w:lineRule="auto"/>
        <w:ind w:left="420" w:firstLine="120"/>
        <w:rPr>
          <w:rFonts w:hint="eastAsia"/>
          <w:sz w:val="24"/>
        </w:rPr>
      </w:pPr>
      <w:r>
        <w:rPr>
          <w:rFonts w:hint="eastAsia"/>
          <w:sz w:val="24"/>
          <w:lang w:val="en-US" w:eastAsia="zh-CN"/>
        </w:rPr>
        <w:t>3.</w:t>
      </w:r>
      <w:r>
        <w:rPr>
          <w:rFonts w:hint="eastAsia"/>
          <w:sz w:val="24"/>
        </w:rPr>
        <w:t>校内学习与校外实践相结合</w:t>
      </w:r>
    </w:p>
    <w:p w14:paraId="54254A8B">
      <w:pPr>
        <w:spacing w:line="360" w:lineRule="auto"/>
        <w:ind w:firstLine="480" w:firstLineChars="200"/>
        <w:rPr>
          <w:rFonts w:hint="eastAsia"/>
          <w:sz w:val="24"/>
        </w:rPr>
      </w:pPr>
      <w:r>
        <w:rPr>
          <w:rFonts w:hint="eastAsia"/>
          <w:sz w:val="24"/>
        </w:rPr>
        <w:t>注重校内课堂讲授、科研训练的同时，为学生提供充足的实践机会</w:t>
      </w:r>
      <w:r>
        <w:rPr>
          <w:rFonts w:hint="eastAsia"/>
          <w:sz w:val="24"/>
          <w:lang w:eastAsia="zh-CN"/>
        </w:rPr>
        <w:t>。</w:t>
      </w:r>
      <w:r>
        <w:rPr>
          <w:rFonts w:hint="eastAsia"/>
          <w:sz w:val="24"/>
          <w:lang w:val="en-US" w:eastAsia="zh-CN"/>
        </w:rPr>
        <w:t>除了本校图书馆，</w:t>
      </w:r>
      <w:r>
        <w:rPr>
          <w:rFonts w:hint="eastAsia"/>
          <w:sz w:val="24"/>
        </w:rPr>
        <w:t>和</w:t>
      </w:r>
      <w:r>
        <w:rPr>
          <w:rFonts w:hint="eastAsia"/>
          <w:sz w:val="24"/>
          <w:lang w:val="en-US" w:eastAsia="zh-CN"/>
        </w:rPr>
        <w:t>保定市图书馆</w:t>
      </w:r>
      <w:r>
        <w:rPr>
          <w:rFonts w:hint="eastAsia"/>
          <w:sz w:val="24"/>
        </w:rPr>
        <w:t>、</w:t>
      </w:r>
      <w:r>
        <w:rPr>
          <w:rFonts w:hint="eastAsia"/>
          <w:sz w:val="24"/>
          <w:lang w:val="en-US" w:eastAsia="zh-CN"/>
        </w:rPr>
        <w:t>石家庄市图书馆、河北省图书馆等</w:t>
      </w:r>
      <w:r>
        <w:rPr>
          <w:rFonts w:hint="eastAsia"/>
          <w:sz w:val="24"/>
        </w:rPr>
        <w:t>签订实习协议，提升学生的</w:t>
      </w:r>
      <w:r>
        <w:rPr>
          <w:rFonts w:hint="eastAsia"/>
          <w:sz w:val="24"/>
          <w:lang w:val="en-US" w:eastAsia="zh-CN"/>
        </w:rPr>
        <w:t>业务实践</w:t>
      </w:r>
      <w:r>
        <w:rPr>
          <w:rFonts w:hint="eastAsia"/>
          <w:sz w:val="24"/>
        </w:rPr>
        <w:t>能力。</w:t>
      </w:r>
    </w:p>
    <w:p w14:paraId="07818B38">
      <w:pPr>
        <w:spacing w:line="440" w:lineRule="exact"/>
        <w:ind w:firstLine="560" w:firstLineChars="200"/>
        <w:rPr>
          <w:rFonts w:eastAsia="黑体"/>
          <w:bCs/>
          <w:sz w:val="28"/>
          <w:szCs w:val="28"/>
        </w:rPr>
      </w:pPr>
      <w:r>
        <w:rPr>
          <w:rFonts w:eastAsia="黑体"/>
          <w:bCs/>
          <w:sz w:val="28"/>
          <w:szCs w:val="28"/>
        </w:rPr>
        <w:t>七、中期筛选</w:t>
      </w:r>
    </w:p>
    <w:p w14:paraId="4E9FBFF2">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1211F292">
      <w:pPr>
        <w:spacing w:before="156" w:beforeLines="50" w:line="360" w:lineRule="auto"/>
        <w:ind w:firstLine="560" w:firstLineChars="200"/>
        <w:rPr>
          <w:rFonts w:eastAsia="黑体"/>
          <w:bCs/>
          <w:i w:val="0"/>
          <w:iCs w:val="0"/>
          <w:color w:val="auto"/>
          <w:sz w:val="28"/>
          <w:szCs w:val="28"/>
        </w:rPr>
      </w:pPr>
      <w:r>
        <w:rPr>
          <w:rFonts w:hint="eastAsia" w:eastAsia="黑体"/>
          <w:bCs/>
          <w:i w:val="0"/>
          <w:iCs w:val="0"/>
          <w:color w:val="auto"/>
          <w:sz w:val="28"/>
          <w:szCs w:val="28"/>
        </w:rPr>
        <w:t>八</w:t>
      </w:r>
      <w:r>
        <w:rPr>
          <w:rFonts w:eastAsia="黑体"/>
          <w:bCs/>
          <w:i w:val="0"/>
          <w:iCs w:val="0"/>
          <w:color w:val="auto"/>
          <w:sz w:val="28"/>
          <w:szCs w:val="28"/>
        </w:rPr>
        <w:t>、学位（毕业）论文</w:t>
      </w:r>
    </w:p>
    <w:p w14:paraId="0021D308">
      <w:pPr>
        <w:spacing w:line="440" w:lineRule="exact"/>
        <w:ind w:firstLine="480" w:firstLineChars="200"/>
        <w:rPr>
          <w:rFonts w:hint="eastAsia" w:ascii="宋体" w:hAnsi="宋体"/>
          <w:sz w:val="24"/>
        </w:rPr>
      </w:pPr>
      <w:r>
        <w:rPr>
          <w:rFonts w:hint="eastAsia" w:ascii="宋体" w:hAnsi="宋体"/>
          <w:sz w:val="24"/>
        </w:rPr>
        <w:t>1.总体要求：按照《河北大学关于开展2025版研究生培养方案修订工作的指导意见》（校政字〔2025〕*号）规定，硕士研究生论文开题与答辩时间间隔原则上不少于12个月。学位（毕业）论文应当表明作者具有独立从事学术研究工作的能力，鼓励硕士研究生参与科学研究，取得创新性成果</w:t>
      </w:r>
    </w:p>
    <w:p w14:paraId="5D6EBC92">
      <w:pPr>
        <w:spacing w:line="440" w:lineRule="exact"/>
        <w:ind w:firstLine="480" w:firstLineChars="200"/>
        <w:rPr>
          <w:rFonts w:hint="eastAsia" w:ascii="宋体" w:hAnsi="宋体"/>
          <w:sz w:val="24"/>
        </w:rPr>
      </w:pPr>
      <w:r>
        <w:rPr>
          <w:rFonts w:hint="eastAsia" w:ascii="宋体" w:hAnsi="宋体"/>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36496763">
      <w:pPr>
        <w:spacing w:line="440" w:lineRule="exact"/>
        <w:ind w:firstLine="480" w:firstLineChars="200"/>
        <w:rPr>
          <w:rFonts w:hint="eastAsia" w:ascii="宋体" w:hAnsi="宋体"/>
          <w:sz w:val="24"/>
        </w:rPr>
      </w:pPr>
      <w:r>
        <w:rPr>
          <w:rFonts w:hint="eastAsia" w:ascii="宋体" w:hAnsi="宋体"/>
          <w:sz w:val="24"/>
        </w:rPr>
        <w:t>原则上在入学后第3学期（最迟不超过第4学期）完成开题。开题由3-5名具有高级专业技术职务人员参加，以学术报告的方式进行。</w:t>
      </w:r>
    </w:p>
    <w:p w14:paraId="3D4E1998">
      <w:pPr>
        <w:spacing w:line="440" w:lineRule="exact"/>
        <w:ind w:firstLine="480" w:firstLineChars="200"/>
        <w:rPr>
          <w:rFonts w:hint="eastAsia" w:ascii="宋体" w:hAnsi="宋体"/>
          <w:sz w:val="24"/>
        </w:rPr>
      </w:pPr>
      <w:r>
        <w:rPr>
          <w:rFonts w:hint="eastAsia" w:ascii="宋体" w:hAnsi="宋体"/>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07A089A5">
      <w:pPr>
        <w:spacing w:line="440" w:lineRule="exact"/>
        <w:ind w:firstLine="480" w:firstLineChars="200"/>
        <w:rPr>
          <w:rFonts w:hint="eastAsia" w:ascii="宋体" w:hAnsi="宋体"/>
          <w:sz w:val="24"/>
        </w:rPr>
      </w:pPr>
      <w:r>
        <w:rPr>
          <w:rFonts w:hint="eastAsia" w:ascii="宋体" w:hAnsi="宋体"/>
          <w:sz w:val="24"/>
        </w:rPr>
        <w:t>4.学位申请：达到学位授予条件的申请人，经导师同意后，应于答辩前三个月，向所属学位评定分委员会提出学位申请，提交学位申请材料。</w:t>
      </w:r>
    </w:p>
    <w:p w14:paraId="38ED96EC">
      <w:pPr>
        <w:spacing w:line="440" w:lineRule="exact"/>
        <w:ind w:firstLine="480" w:firstLineChars="200"/>
        <w:rPr>
          <w:rFonts w:hint="eastAsia" w:ascii="宋体" w:hAnsi="宋体"/>
          <w:sz w:val="24"/>
        </w:rPr>
      </w:pPr>
      <w:r>
        <w:rPr>
          <w:rFonts w:hint="eastAsia" w:ascii="宋体" w:hAnsi="宋体"/>
          <w:sz w:val="24"/>
        </w:rPr>
        <w:t>5.预答辩：学位申请人须进行学位论文预答辩。预答辩通过者，方可进入学位论文评阅、学位论文答辩等环节。学位（毕业）论文预答辩在正式答辩前3个月进行。</w:t>
      </w:r>
    </w:p>
    <w:p w14:paraId="76533C45">
      <w:pPr>
        <w:spacing w:line="440" w:lineRule="exact"/>
        <w:ind w:firstLine="480" w:firstLineChars="200"/>
        <w:rPr>
          <w:rFonts w:hint="eastAsia" w:ascii="宋体" w:hAnsi="宋体"/>
          <w:sz w:val="24"/>
        </w:rPr>
      </w:pPr>
      <w:r>
        <w:rPr>
          <w:rFonts w:hint="eastAsia" w:ascii="宋体" w:hAnsi="宋体"/>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3804D641">
      <w:pPr>
        <w:spacing w:line="440" w:lineRule="exact"/>
        <w:ind w:firstLine="480" w:firstLineChars="200"/>
        <w:rPr>
          <w:rFonts w:hint="eastAsia" w:ascii="宋体" w:hAnsi="宋体"/>
          <w:sz w:val="24"/>
        </w:rPr>
      </w:pPr>
      <w:r>
        <w:rPr>
          <w:rFonts w:hint="eastAsia" w:ascii="宋体" w:hAnsi="宋体"/>
          <w:sz w:val="24"/>
        </w:rPr>
        <w:t>7.答辩：学位（毕业）论文答辩按照《河北大学博士、硕士学位授予工作实施细则》（校政字〔2025〕7号）执行。</w:t>
      </w:r>
    </w:p>
    <w:p w14:paraId="50AECB80">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7718B45">
      <w:pPr>
        <w:spacing w:line="440" w:lineRule="exact"/>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1E23760C">
      <w:pPr>
        <w:spacing w:line="440" w:lineRule="exact"/>
        <w:ind w:firstLine="480" w:firstLineChars="200"/>
        <w:rPr>
          <w:rFonts w:eastAsiaTheme="minorEastAsia"/>
          <w:color w:val="000000"/>
          <w:sz w:val="24"/>
          <w:highlight w:val="none"/>
        </w:rPr>
      </w:pPr>
      <w:r>
        <w:rPr>
          <w:rFonts w:eastAsiaTheme="minorEastAsia"/>
          <w:bCs/>
          <w:sz w:val="24"/>
          <w:highlight w:val="none"/>
        </w:rPr>
        <w:t>2. 学术活动。</w:t>
      </w:r>
      <w:r>
        <w:rPr>
          <w:rFonts w:eastAsiaTheme="minorEastAsia"/>
          <w:bCs/>
          <w:color w:val="auto"/>
          <w:sz w:val="24"/>
          <w:highlight w:val="none"/>
        </w:rPr>
        <w:t>研究生</w:t>
      </w:r>
      <w:r>
        <w:rPr>
          <w:rFonts w:eastAsiaTheme="minorEastAsia"/>
          <w:color w:val="auto"/>
          <w:sz w:val="24"/>
          <w:highlight w:val="none"/>
        </w:rPr>
        <w:t>在读期间参加不少于</w:t>
      </w:r>
      <w:r>
        <w:rPr>
          <w:rFonts w:eastAsiaTheme="minorEastAsia"/>
          <w:i w:val="0"/>
          <w:iCs/>
          <w:color w:val="auto"/>
          <w:sz w:val="24"/>
          <w:highlight w:val="none"/>
        </w:rPr>
        <w:t>10</w:t>
      </w:r>
      <w:r>
        <w:rPr>
          <w:rFonts w:eastAsiaTheme="minorEastAsia"/>
          <w:color w:val="auto"/>
          <w:sz w:val="24"/>
          <w:highlight w:val="none"/>
        </w:rPr>
        <w:t>次学术活动，并撰写学术报告小结；以主讲人或宣讲人身份，参加在校内外举行的学术报告或学术讲座不少于</w:t>
      </w:r>
      <w:r>
        <w:rPr>
          <w:rFonts w:eastAsiaTheme="minorEastAsia"/>
          <w:i/>
          <w:color w:val="auto"/>
          <w:sz w:val="24"/>
          <w:highlight w:val="none"/>
        </w:rPr>
        <w:t>1</w:t>
      </w:r>
      <w:r>
        <w:rPr>
          <w:rFonts w:eastAsiaTheme="minorEastAsia"/>
          <w:color w:val="auto"/>
          <w:sz w:val="24"/>
          <w:highlight w:val="none"/>
        </w:rPr>
        <w:t>次。</w:t>
      </w:r>
    </w:p>
    <w:p w14:paraId="21B9A80F">
      <w:pPr>
        <w:spacing w:line="440" w:lineRule="exact"/>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201D661B">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03CA0491">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02290EA1">
      <w:pPr>
        <w:spacing w:line="440" w:lineRule="exact"/>
        <w:ind w:firstLine="480" w:firstLineChars="200"/>
        <w:rPr>
          <w:rFonts w:hint="eastAsia" w:eastAsiaTheme="minorEastAsia"/>
          <w:i w:val="0"/>
          <w:iCs/>
          <w:color w:val="auto"/>
          <w:sz w:val="24"/>
        </w:rPr>
      </w:pPr>
      <w:r>
        <w:rPr>
          <w:rFonts w:hint="eastAsia" w:eastAsiaTheme="minorEastAsia"/>
          <w:i w:val="0"/>
          <w:iCs/>
          <w:color w:val="auto"/>
          <w:sz w:val="24"/>
        </w:rPr>
        <w:t>1．学术研究成果。包括在学术期刊发表学术论文、独立或参与出版学术著作、参与科研项目并做出实质性贡献等。</w:t>
      </w:r>
    </w:p>
    <w:p w14:paraId="587F7396">
      <w:pPr>
        <w:spacing w:line="440" w:lineRule="exact"/>
        <w:ind w:firstLine="480" w:firstLineChars="200"/>
        <w:rPr>
          <w:rFonts w:hint="eastAsia" w:eastAsiaTheme="minorEastAsia"/>
          <w:i w:val="0"/>
          <w:iCs/>
          <w:color w:val="auto"/>
          <w:sz w:val="24"/>
        </w:rPr>
      </w:pPr>
      <w:r>
        <w:rPr>
          <w:rFonts w:hint="eastAsia" w:eastAsiaTheme="minorEastAsia"/>
          <w:i w:val="0"/>
          <w:iCs/>
          <w:color w:val="auto"/>
          <w:sz w:val="24"/>
          <w:lang w:val="en-US" w:eastAsia="zh-CN"/>
        </w:rPr>
        <w:t>2</w:t>
      </w:r>
      <w:r>
        <w:rPr>
          <w:rFonts w:hint="eastAsia" w:eastAsiaTheme="minorEastAsia"/>
          <w:i w:val="0"/>
          <w:iCs/>
          <w:color w:val="auto"/>
          <w:sz w:val="24"/>
        </w:rPr>
        <w:t>．学术交流成果。包括在相关学术会议作专题报告、获得省级以上学术竞赛奖项、  完成学术翻译作品、参与组织有影响力的学术活动等。</w:t>
      </w:r>
    </w:p>
    <w:p w14:paraId="1AF3A401">
      <w:pPr>
        <w:spacing w:line="440" w:lineRule="exact"/>
        <w:ind w:firstLine="480" w:firstLineChars="200"/>
        <w:rPr>
          <w:rFonts w:hint="eastAsia" w:eastAsiaTheme="minorEastAsia"/>
          <w:i w:val="0"/>
          <w:iCs/>
          <w:color w:val="auto"/>
          <w:sz w:val="24"/>
        </w:rPr>
      </w:pPr>
      <w:r>
        <w:rPr>
          <w:rFonts w:hint="eastAsia" w:eastAsiaTheme="minorEastAsia"/>
          <w:i w:val="0"/>
          <w:iCs/>
          <w:color w:val="auto"/>
          <w:sz w:val="24"/>
          <w:lang w:val="en-US" w:eastAsia="zh-CN"/>
        </w:rPr>
        <w:t>3</w:t>
      </w:r>
      <w:r>
        <w:rPr>
          <w:rFonts w:hint="eastAsia" w:eastAsiaTheme="minorEastAsia"/>
          <w:i w:val="0"/>
          <w:iCs/>
          <w:color w:val="auto"/>
          <w:sz w:val="24"/>
        </w:rPr>
        <w:t>．社会服务</w:t>
      </w:r>
      <w:r>
        <w:rPr>
          <w:rFonts w:hint="eastAsia" w:eastAsiaTheme="minorEastAsia"/>
          <w:i w:val="0"/>
          <w:iCs/>
          <w:color w:val="auto"/>
          <w:sz w:val="24"/>
          <w:lang w:val="en-US" w:eastAsia="zh-CN"/>
        </w:rPr>
        <w:t>与</w:t>
      </w:r>
      <w:r>
        <w:rPr>
          <w:rFonts w:hint="eastAsia" w:eastAsiaTheme="minorEastAsia"/>
          <w:i w:val="0"/>
          <w:iCs/>
          <w:color w:val="auto"/>
          <w:sz w:val="24"/>
        </w:rPr>
        <w:t>实践应用成果。包括</w:t>
      </w:r>
      <w:r>
        <w:rPr>
          <w:rFonts w:hint="eastAsia" w:eastAsiaTheme="minorEastAsia"/>
          <w:i w:val="0"/>
          <w:iCs/>
          <w:color w:val="auto"/>
          <w:sz w:val="24"/>
          <w:lang w:val="en-US" w:eastAsia="zh-CN"/>
        </w:rPr>
        <w:t>策划图书馆活动、编制图书馆业务规范指南或工具包、参与文化遗产项目</w:t>
      </w:r>
      <w:r>
        <w:rPr>
          <w:rFonts w:hint="eastAsia" w:eastAsiaTheme="minorEastAsia"/>
          <w:i w:val="0"/>
          <w:iCs/>
          <w:color w:val="auto"/>
          <w:sz w:val="24"/>
        </w:rPr>
        <w:t>等。</w:t>
      </w:r>
    </w:p>
    <w:p w14:paraId="1DE0F87F">
      <w:pPr>
        <w:spacing w:line="440" w:lineRule="exact"/>
        <w:ind w:firstLine="560" w:firstLineChars="200"/>
        <w:rPr>
          <w:rFonts w:eastAsia="黑体"/>
          <w:bCs/>
          <w:sz w:val="28"/>
          <w:szCs w:val="28"/>
        </w:rPr>
      </w:pPr>
      <w:r>
        <w:rPr>
          <w:rFonts w:eastAsia="黑体"/>
          <w:bCs/>
          <w:sz w:val="28"/>
          <w:szCs w:val="28"/>
        </w:rPr>
        <w:t>十一、学位授予</w:t>
      </w:r>
    </w:p>
    <w:p w14:paraId="2CC556E6">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i w:val="0"/>
          <w:iCs/>
          <w:color w:val="auto"/>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B789B2E">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5F1269F8">
      <w:pPr>
        <w:spacing w:line="440" w:lineRule="exact"/>
        <w:ind w:firstLine="480" w:firstLineChars="200"/>
        <w:rPr>
          <w:rFonts w:eastAsiaTheme="minorEastAsia"/>
          <w:color w:val="000000"/>
          <w:sz w:val="24"/>
        </w:rPr>
      </w:pPr>
      <w:r>
        <w:rPr>
          <w:rFonts w:eastAsiaTheme="minorEastAsia"/>
          <w:color w:val="000000"/>
          <w:sz w:val="24"/>
        </w:rPr>
        <w:t>本专业最低毕业学分为</w:t>
      </w:r>
      <w:r>
        <w:rPr>
          <w:rFonts w:hint="eastAsia" w:eastAsiaTheme="minorEastAsia"/>
          <w:color w:val="FF0000"/>
          <w:sz w:val="24"/>
          <w:lang w:val="en-US" w:eastAsia="zh-CN"/>
        </w:rPr>
        <w:t>26</w:t>
      </w:r>
      <w:r>
        <w:rPr>
          <w:rFonts w:eastAsiaTheme="minorEastAsia"/>
          <w:color w:val="000000"/>
          <w:sz w:val="24"/>
        </w:rPr>
        <w:t>分，其中学位课</w:t>
      </w:r>
      <w:r>
        <w:rPr>
          <w:rFonts w:hint="eastAsia" w:eastAsiaTheme="minorEastAsia"/>
          <w:color w:val="FF0000"/>
          <w:sz w:val="24"/>
          <w:lang w:val="en-US" w:eastAsia="zh-CN"/>
        </w:rPr>
        <w:t>18</w:t>
      </w:r>
      <w:r>
        <w:rPr>
          <w:rFonts w:eastAsiaTheme="minorEastAsia"/>
          <w:color w:val="000000"/>
          <w:sz w:val="24"/>
        </w:rPr>
        <w:t>学分，非学位课</w:t>
      </w:r>
      <w:r>
        <w:rPr>
          <w:rFonts w:hint="eastAsia" w:eastAsiaTheme="minorEastAsia"/>
          <w:color w:val="FF0000"/>
          <w:sz w:val="24"/>
          <w:lang w:val="en-US" w:eastAsia="zh-CN"/>
        </w:rPr>
        <w:t>7</w:t>
      </w:r>
      <w:r>
        <w:rPr>
          <w:rFonts w:eastAsiaTheme="minorEastAsia"/>
          <w:color w:val="000000"/>
          <w:sz w:val="24"/>
        </w:rPr>
        <w:t>学分，必修环节</w:t>
      </w:r>
      <w:r>
        <w:rPr>
          <w:rFonts w:hint="eastAsia" w:eastAsiaTheme="minorEastAsia"/>
          <w:color w:val="FF0000"/>
          <w:sz w:val="24"/>
          <w:lang w:val="en-US" w:eastAsia="zh-CN"/>
        </w:rPr>
        <w:t>1学</w:t>
      </w:r>
      <w:r>
        <w:rPr>
          <w:rFonts w:eastAsiaTheme="minorEastAsia"/>
          <w:color w:val="000000"/>
          <w:sz w:val="24"/>
        </w:rPr>
        <w:t>分。</w:t>
      </w:r>
    </w:p>
    <w:p w14:paraId="5CA35348">
      <w:pPr>
        <w:spacing w:line="420" w:lineRule="exact"/>
        <w:rPr>
          <w:color w:val="FF0000"/>
          <w:sz w:val="24"/>
        </w:rPr>
      </w:pPr>
      <w:r>
        <w:rPr>
          <w:rFonts w:eastAsiaTheme="minorEastAsia"/>
          <w:color w:val="000000"/>
          <w:sz w:val="24"/>
        </w:rPr>
        <w:t xml:space="preserve">    课程考试不设补考环节，</w:t>
      </w:r>
      <w:r>
        <w:rPr>
          <w:color w:val="000000"/>
          <w:sz w:val="24"/>
        </w:rPr>
        <w:t>考试成绩低于60分的需重修。</w:t>
      </w:r>
    </w:p>
    <w:p w14:paraId="47DA7FC8">
      <w:pPr>
        <w:spacing w:line="420" w:lineRule="exact"/>
        <w:rPr>
          <w:rFonts w:hint="eastAsia" w:eastAsiaTheme="minorEastAsia"/>
          <w:i w:val="0"/>
          <w:iCs/>
          <w:color w:val="auto"/>
          <w:sz w:val="24"/>
          <w:lang w:eastAsia="zh-CN"/>
        </w:rPr>
      </w:pPr>
      <w:r>
        <w:rPr>
          <w:i/>
          <w:color w:val="000000"/>
          <w:sz w:val="24"/>
        </w:rPr>
        <w:t xml:space="preserve">    </w:t>
      </w:r>
      <w:r>
        <w:rPr>
          <w:i w:val="0"/>
          <w:iCs/>
          <w:color w:val="auto"/>
          <w:sz w:val="24"/>
        </w:rPr>
        <w:t>课程考核方式包括考试和考查，</w:t>
      </w:r>
      <w:r>
        <w:rPr>
          <w:rFonts w:eastAsiaTheme="minorEastAsia"/>
          <w:i w:val="0"/>
          <w:iCs/>
          <w:color w:val="auto"/>
          <w:sz w:val="24"/>
        </w:rPr>
        <w:t>采用</w:t>
      </w:r>
      <w:r>
        <w:rPr>
          <w:rFonts w:hint="eastAsia" w:eastAsiaTheme="minorEastAsia"/>
          <w:i w:val="0"/>
          <w:iCs/>
          <w:color w:val="auto"/>
          <w:sz w:val="24"/>
          <w:lang w:val="en-US" w:eastAsia="zh-CN"/>
        </w:rPr>
        <w:t>笔试、</w:t>
      </w:r>
      <w:r>
        <w:rPr>
          <w:rFonts w:eastAsiaTheme="minorEastAsia"/>
          <w:i w:val="0"/>
          <w:iCs/>
          <w:color w:val="auto"/>
          <w:sz w:val="24"/>
        </w:rPr>
        <w:t>口试、笔试或写读书报告、论文</w:t>
      </w:r>
      <w:r>
        <w:rPr>
          <w:rFonts w:hint="eastAsia" w:eastAsiaTheme="minorEastAsia"/>
          <w:i w:val="0"/>
          <w:iCs/>
          <w:color w:val="auto"/>
          <w:sz w:val="24"/>
          <w:lang w:val="en-US" w:eastAsia="zh-CN"/>
        </w:rPr>
        <w:t>等多种</w:t>
      </w:r>
      <w:r>
        <w:rPr>
          <w:rFonts w:eastAsiaTheme="minorEastAsia"/>
          <w:i w:val="0"/>
          <w:iCs/>
          <w:color w:val="auto"/>
          <w:sz w:val="24"/>
        </w:rPr>
        <w:t>形式</w:t>
      </w:r>
      <w:r>
        <w:rPr>
          <w:rFonts w:hint="eastAsia" w:eastAsiaTheme="minorEastAsia"/>
          <w:i w:val="0"/>
          <w:iCs/>
          <w:color w:val="auto"/>
          <w:sz w:val="24"/>
          <w:lang w:eastAsia="zh-CN"/>
        </w:rPr>
        <w:t>。</w:t>
      </w:r>
    </w:p>
    <w:p w14:paraId="70E489EE">
      <w:pPr>
        <w:spacing w:after="156" w:afterLines="50" w:line="440" w:lineRule="exact"/>
        <w:jc w:val="both"/>
        <w:rPr>
          <w:rFonts w:eastAsiaTheme="minorEastAsia"/>
          <w:b/>
          <w:bCs/>
          <w:sz w:val="24"/>
        </w:rPr>
      </w:pPr>
    </w:p>
    <w:p w14:paraId="24A5C266">
      <w:pPr>
        <w:spacing w:after="156" w:afterLines="50" w:line="440" w:lineRule="exact"/>
        <w:ind w:firstLine="482" w:firstLineChars="200"/>
        <w:jc w:val="center"/>
        <w:rPr>
          <w:rFonts w:eastAsiaTheme="minorEastAsia"/>
          <w:b/>
          <w:bCs/>
          <w:sz w:val="24"/>
        </w:rPr>
      </w:pPr>
      <w:bookmarkStart w:id="1" w:name="_GoBack"/>
      <w:r>
        <w:rPr>
          <w:rFonts w:hint="eastAsia" w:eastAsiaTheme="minorEastAsia"/>
          <w:b/>
          <w:bCs/>
          <w:color w:val="auto"/>
          <w:sz w:val="24"/>
          <w:lang w:val="en-US" w:eastAsia="zh-CN"/>
        </w:rPr>
        <w:t>图书馆学</w:t>
      </w:r>
      <w:bookmarkEnd w:id="1"/>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632"/>
        <w:gridCol w:w="1122"/>
      </w:tblGrid>
      <w:tr w14:paraId="69288D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32FF9B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31C663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068E324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01397A3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632" w:type="dxa"/>
            <w:vAlign w:val="center"/>
          </w:tcPr>
          <w:p w14:paraId="5E3FFB5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122" w:type="dxa"/>
            <w:vAlign w:val="center"/>
          </w:tcPr>
          <w:p w14:paraId="5A3CCB5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8F5F0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FD45B8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4E6407A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212ACDA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7B4A189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4032EEC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0D2F4564">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2</w:t>
            </w:r>
          </w:p>
        </w:tc>
        <w:tc>
          <w:tcPr>
            <w:tcW w:w="632" w:type="dxa"/>
            <w:vAlign w:val="center"/>
          </w:tcPr>
          <w:p w14:paraId="120321CD">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1</w:t>
            </w:r>
          </w:p>
        </w:tc>
        <w:tc>
          <w:tcPr>
            <w:tcW w:w="1122" w:type="dxa"/>
            <w:vAlign w:val="center"/>
          </w:tcPr>
          <w:p w14:paraId="0CA7221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A6C4A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3FE697E">
            <w:pPr>
              <w:jc w:val="center"/>
              <w:rPr>
                <w:b/>
                <w:color w:val="000000" w:themeColor="text1"/>
                <w:sz w:val="18"/>
                <w:szCs w:val="18"/>
                <w14:textFill>
                  <w14:solidFill>
                    <w14:schemeClr w14:val="tx1"/>
                  </w14:solidFill>
                </w14:textFill>
              </w:rPr>
            </w:pPr>
          </w:p>
        </w:tc>
        <w:tc>
          <w:tcPr>
            <w:tcW w:w="1226" w:type="dxa"/>
            <w:vMerge w:val="continue"/>
            <w:vAlign w:val="center"/>
          </w:tcPr>
          <w:p w14:paraId="609BCA2D">
            <w:pPr>
              <w:jc w:val="center"/>
              <w:rPr>
                <w:b/>
                <w:color w:val="000000" w:themeColor="text1"/>
                <w:sz w:val="18"/>
                <w:szCs w:val="18"/>
                <w14:textFill>
                  <w14:solidFill>
                    <w14:schemeClr w14:val="tx1"/>
                  </w14:solidFill>
                </w14:textFill>
              </w:rPr>
            </w:pPr>
          </w:p>
        </w:tc>
        <w:tc>
          <w:tcPr>
            <w:tcW w:w="3516" w:type="dxa"/>
            <w:vAlign w:val="center"/>
          </w:tcPr>
          <w:p w14:paraId="7B703DD6">
            <w:pPr>
              <w:rPr>
                <w:sz w:val="18"/>
                <w:szCs w:val="18"/>
              </w:rPr>
            </w:pPr>
            <w:r>
              <w:rPr>
                <w:sz w:val="18"/>
                <w:szCs w:val="18"/>
              </w:rPr>
              <w:t>通用学术英语</w:t>
            </w:r>
          </w:p>
        </w:tc>
        <w:tc>
          <w:tcPr>
            <w:tcW w:w="1081" w:type="dxa"/>
            <w:vAlign w:val="center"/>
          </w:tcPr>
          <w:p w14:paraId="53BE5182">
            <w:pPr>
              <w:jc w:val="center"/>
              <w:rPr>
                <w:sz w:val="18"/>
                <w:szCs w:val="18"/>
              </w:rPr>
            </w:pPr>
            <w:r>
              <w:rPr>
                <w:sz w:val="18"/>
                <w:szCs w:val="18"/>
              </w:rPr>
              <w:t>TS0000002</w:t>
            </w:r>
          </w:p>
        </w:tc>
        <w:tc>
          <w:tcPr>
            <w:tcW w:w="709" w:type="dxa"/>
            <w:vAlign w:val="center"/>
          </w:tcPr>
          <w:p w14:paraId="7DDFEF17">
            <w:pPr>
              <w:jc w:val="center"/>
              <w:rPr>
                <w:i w:val="0"/>
                <w:iCs w:val="0"/>
                <w:sz w:val="18"/>
                <w:szCs w:val="18"/>
              </w:rPr>
            </w:pPr>
            <w:r>
              <w:rPr>
                <w:i w:val="0"/>
                <w:iCs w:val="0"/>
                <w:sz w:val="18"/>
                <w:szCs w:val="18"/>
              </w:rPr>
              <w:t>2</w:t>
            </w:r>
          </w:p>
        </w:tc>
        <w:tc>
          <w:tcPr>
            <w:tcW w:w="632" w:type="dxa"/>
            <w:vAlign w:val="center"/>
          </w:tcPr>
          <w:p w14:paraId="1E471C33">
            <w:pPr>
              <w:jc w:val="center"/>
              <w:rPr>
                <w:i w:val="0"/>
                <w:iCs w:val="0"/>
                <w:sz w:val="18"/>
                <w:szCs w:val="18"/>
              </w:rPr>
            </w:pPr>
            <w:r>
              <w:rPr>
                <w:i w:val="0"/>
                <w:iCs w:val="0"/>
                <w:sz w:val="18"/>
                <w:szCs w:val="18"/>
              </w:rPr>
              <w:t>1</w:t>
            </w:r>
          </w:p>
        </w:tc>
        <w:tc>
          <w:tcPr>
            <w:tcW w:w="1122" w:type="dxa"/>
            <w:vAlign w:val="center"/>
          </w:tcPr>
          <w:p w14:paraId="7C30AF37">
            <w:pPr>
              <w:jc w:val="center"/>
              <w:rPr>
                <w:sz w:val="18"/>
                <w:szCs w:val="18"/>
              </w:rPr>
            </w:pPr>
            <w:r>
              <w:rPr>
                <w:rFonts w:hint="eastAsia"/>
                <w:sz w:val="18"/>
                <w:szCs w:val="18"/>
              </w:rPr>
              <w:t>考查</w:t>
            </w:r>
          </w:p>
        </w:tc>
      </w:tr>
      <w:tr w14:paraId="05003B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5194FBC">
            <w:pPr>
              <w:jc w:val="center"/>
              <w:rPr>
                <w:b/>
                <w:color w:val="000000" w:themeColor="text1"/>
                <w:sz w:val="18"/>
                <w:szCs w:val="18"/>
                <w14:textFill>
                  <w14:solidFill>
                    <w14:schemeClr w14:val="tx1"/>
                  </w14:solidFill>
                </w14:textFill>
              </w:rPr>
            </w:pPr>
          </w:p>
        </w:tc>
        <w:tc>
          <w:tcPr>
            <w:tcW w:w="1226" w:type="dxa"/>
            <w:vMerge w:val="restart"/>
            <w:vAlign w:val="center"/>
          </w:tcPr>
          <w:p w14:paraId="22226019">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4246CFDF">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7</w:t>
            </w:r>
            <w:r>
              <w:rPr>
                <w:b/>
                <w:color w:val="000000" w:themeColor="text1"/>
                <w:sz w:val="18"/>
                <w:szCs w:val="18"/>
                <w:highlight w:val="none"/>
                <w14:textFill>
                  <w14:solidFill>
                    <w14:schemeClr w14:val="tx1"/>
                  </w14:solidFill>
                </w14:textFill>
              </w:rPr>
              <w:t>学分）</w:t>
            </w:r>
          </w:p>
        </w:tc>
        <w:tc>
          <w:tcPr>
            <w:tcW w:w="3516" w:type="dxa"/>
            <w:vAlign w:val="center"/>
          </w:tcPr>
          <w:p w14:paraId="3349AE8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7A80BB43">
            <w:pPr>
              <w:jc w:val="center"/>
              <w:rPr>
                <w:rFonts w:hint="eastAsia" w:eastAsia="宋体"/>
                <w:i/>
                <w:color w:val="FF0000"/>
                <w:sz w:val="18"/>
                <w:szCs w:val="18"/>
                <w:lang w:val="en-US" w:eastAsia="zh-CN"/>
              </w:rPr>
            </w:pPr>
            <w:r>
              <w:rPr>
                <w:rFonts w:hint="eastAsia"/>
                <w:sz w:val="18"/>
                <w:szCs w:val="18"/>
                <w:highlight w:val="none"/>
              </w:rPr>
              <w:t>XS</w:t>
            </w:r>
            <w:r>
              <w:rPr>
                <w:color w:val="000000"/>
                <w:kern w:val="0"/>
                <w:sz w:val="18"/>
                <w:szCs w:val="18"/>
                <w:highlight w:val="none"/>
              </w:rPr>
              <w:t>04</w:t>
            </w:r>
            <w:r>
              <w:rPr>
                <w:rFonts w:hint="eastAsia"/>
                <w:color w:val="000000"/>
                <w:kern w:val="0"/>
                <w:sz w:val="18"/>
                <w:szCs w:val="18"/>
                <w:highlight w:val="none"/>
              </w:rPr>
              <w:t>2000</w:t>
            </w:r>
            <w:r>
              <w:rPr>
                <w:rFonts w:hint="eastAsia"/>
                <w:color w:val="000000"/>
                <w:kern w:val="0"/>
                <w:sz w:val="18"/>
                <w:szCs w:val="18"/>
                <w:highlight w:val="none"/>
                <w:lang w:val="en-US" w:eastAsia="zh-CN"/>
              </w:rPr>
              <w:t>5</w:t>
            </w:r>
          </w:p>
        </w:tc>
        <w:tc>
          <w:tcPr>
            <w:tcW w:w="709" w:type="dxa"/>
            <w:vAlign w:val="center"/>
          </w:tcPr>
          <w:p w14:paraId="7047DFBA">
            <w:pPr>
              <w:jc w:val="center"/>
              <w:rPr>
                <w:rFonts w:hint="eastAsia" w:eastAsia="宋体"/>
                <w:i w:val="0"/>
                <w:iCs w:val="0"/>
                <w:color w:val="auto"/>
                <w:lang w:eastAsia="zh-CN"/>
              </w:rPr>
            </w:pPr>
            <w:r>
              <w:rPr>
                <w:rFonts w:hint="eastAsia"/>
                <w:i w:val="0"/>
                <w:iCs w:val="0"/>
                <w:color w:val="auto"/>
                <w:sz w:val="18"/>
                <w:szCs w:val="18"/>
                <w:lang w:val="en-US" w:eastAsia="zh-CN"/>
              </w:rPr>
              <w:t>1</w:t>
            </w:r>
          </w:p>
        </w:tc>
        <w:tc>
          <w:tcPr>
            <w:tcW w:w="632" w:type="dxa"/>
            <w:vAlign w:val="center"/>
          </w:tcPr>
          <w:p w14:paraId="15434F23">
            <w:pPr>
              <w:jc w:val="center"/>
              <w:rPr>
                <w:rFonts w:hint="eastAsia" w:eastAsia="宋体"/>
                <w:i w:val="0"/>
                <w:iCs w:val="0"/>
                <w:color w:val="auto"/>
                <w:lang w:eastAsia="zh-CN"/>
              </w:rPr>
            </w:pPr>
            <w:r>
              <w:rPr>
                <w:rFonts w:hint="eastAsia"/>
                <w:i w:val="0"/>
                <w:iCs w:val="0"/>
                <w:color w:val="auto"/>
                <w:sz w:val="18"/>
                <w:szCs w:val="18"/>
                <w:lang w:val="en-US" w:eastAsia="zh-CN"/>
              </w:rPr>
              <w:t>1</w:t>
            </w:r>
          </w:p>
        </w:tc>
        <w:tc>
          <w:tcPr>
            <w:tcW w:w="1122" w:type="dxa"/>
            <w:vAlign w:val="center"/>
          </w:tcPr>
          <w:p w14:paraId="0D3AA156">
            <w:pPr>
              <w:jc w:val="center"/>
              <w:rPr>
                <w:rFonts w:hint="eastAsia" w:eastAsia="宋体"/>
                <w:i w:val="0"/>
                <w:iCs/>
                <w:color w:val="auto"/>
                <w:sz w:val="18"/>
                <w:szCs w:val="18"/>
                <w:lang w:eastAsia="zh-CN"/>
              </w:rPr>
            </w:pPr>
            <w:r>
              <w:rPr>
                <w:rFonts w:hint="eastAsia"/>
                <w:i w:val="0"/>
                <w:iCs/>
                <w:color w:val="auto"/>
                <w:sz w:val="18"/>
                <w:szCs w:val="18"/>
                <w:lang w:val="en-US" w:eastAsia="zh-CN"/>
              </w:rPr>
              <w:t>考查</w:t>
            </w:r>
          </w:p>
        </w:tc>
      </w:tr>
      <w:tr w14:paraId="6CDCB5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76874AD">
            <w:pPr>
              <w:jc w:val="center"/>
              <w:rPr>
                <w:b/>
                <w:color w:val="000000" w:themeColor="text1"/>
                <w:sz w:val="18"/>
                <w:szCs w:val="18"/>
                <w14:textFill>
                  <w14:solidFill>
                    <w14:schemeClr w14:val="tx1"/>
                  </w14:solidFill>
                </w14:textFill>
              </w:rPr>
            </w:pPr>
          </w:p>
        </w:tc>
        <w:tc>
          <w:tcPr>
            <w:tcW w:w="1226" w:type="dxa"/>
            <w:vMerge w:val="continue"/>
            <w:vAlign w:val="center"/>
          </w:tcPr>
          <w:p w14:paraId="34AB581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CE0CB38">
            <w:pPr>
              <w:rPr>
                <w:rFonts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14:textFill>
                  <w14:solidFill>
                    <w14:schemeClr w14:val="tx1"/>
                  </w14:solidFill>
                </w14:textFill>
              </w:rPr>
              <w:t xml:space="preserve">信息资源与数据管理 </w:t>
            </w:r>
          </w:p>
        </w:tc>
        <w:tc>
          <w:tcPr>
            <w:tcW w:w="1081" w:type="dxa"/>
            <w:shd w:val="clear" w:color="auto" w:fill="auto"/>
            <w:vAlign w:val="center"/>
          </w:tcPr>
          <w:p w14:paraId="16723868">
            <w:pPr>
              <w:jc w:val="center"/>
              <w:rPr>
                <w:rFonts w:ascii="Times New Roman" w:hAnsi="Times New Roman" w:eastAsia="宋体" w:cs="Times New Roman"/>
                <w:kern w:val="2"/>
                <w:sz w:val="18"/>
                <w:szCs w:val="18"/>
                <w:highlight w:val="none"/>
                <w:lang w:val="en-US" w:eastAsia="zh-CN" w:bidi="ar-SA"/>
              </w:rPr>
            </w:pPr>
            <w:r>
              <w:rPr>
                <w:rFonts w:hint="eastAsia"/>
                <w:sz w:val="18"/>
                <w:szCs w:val="18"/>
                <w:highlight w:val="none"/>
              </w:rPr>
              <w:t>XS</w:t>
            </w:r>
            <w:r>
              <w:rPr>
                <w:color w:val="000000"/>
                <w:kern w:val="0"/>
                <w:sz w:val="18"/>
                <w:szCs w:val="18"/>
                <w:highlight w:val="none"/>
              </w:rPr>
              <w:t>04</w:t>
            </w:r>
            <w:r>
              <w:rPr>
                <w:rFonts w:hint="eastAsia"/>
                <w:color w:val="000000"/>
                <w:kern w:val="0"/>
                <w:sz w:val="18"/>
                <w:szCs w:val="18"/>
                <w:highlight w:val="none"/>
              </w:rPr>
              <w:t>20002</w:t>
            </w:r>
          </w:p>
        </w:tc>
        <w:tc>
          <w:tcPr>
            <w:tcW w:w="709" w:type="dxa"/>
            <w:shd w:val="clear" w:color="auto" w:fill="auto"/>
            <w:vAlign w:val="center"/>
          </w:tcPr>
          <w:p w14:paraId="0A30B167">
            <w:pPr>
              <w:jc w:val="center"/>
              <w:rPr>
                <w:rFonts w:ascii="Times New Roman" w:hAnsi="Times New Roman" w:eastAsia="宋体" w:cs="Times New Roman"/>
                <w:i w:val="0"/>
                <w:iCs w:val="0"/>
                <w:kern w:val="2"/>
                <w:sz w:val="18"/>
                <w:szCs w:val="18"/>
                <w:highlight w:val="none"/>
                <w:lang w:val="en-US" w:eastAsia="zh-CN" w:bidi="ar-SA"/>
              </w:rPr>
            </w:pPr>
            <w:r>
              <w:rPr>
                <w:rFonts w:hint="eastAsia"/>
                <w:i w:val="0"/>
                <w:iCs w:val="0"/>
                <w:sz w:val="18"/>
                <w:szCs w:val="18"/>
                <w:highlight w:val="none"/>
              </w:rPr>
              <w:t>2</w:t>
            </w:r>
          </w:p>
        </w:tc>
        <w:tc>
          <w:tcPr>
            <w:tcW w:w="632" w:type="dxa"/>
            <w:shd w:val="clear" w:color="auto" w:fill="auto"/>
            <w:vAlign w:val="center"/>
          </w:tcPr>
          <w:p w14:paraId="0E6BEB4B">
            <w:pPr>
              <w:jc w:val="center"/>
              <w:rPr>
                <w:rFonts w:ascii="Times New Roman" w:hAnsi="Times New Roman" w:eastAsia="宋体" w:cs="Times New Roman"/>
                <w:i w:val="0"/>
                <w:iCs w:val="0"/>
                <w:kern w:val="2"/>
                <w:sz w:val="18"/>
                <w:szCs w:val="18"/>
                <w:highlight w:val="none"/>
                <w:lang w:val="en-US" w:eastAsia="zh-CN" w:bidi="ar-SA"/>
              </w:rPr>
            </w:pPr>
            <w:r>
              <w:rPr>
                <w:rFonts w:hint="eastAsia"/>
                <w:i w:val="0"/>
                <w:iCs w:val="0"/>
                <w:sz w:val="18"/>
                <w:szCs w:val="18"/>
                <w:highlight w:val="none"/>
              </w:rPr>
              <w:t>1</w:t>
            </w:r>
          </w:p>
        </w:tc>
        <w:tc>
          <w:tcPr>
            <w:tcW w:w="1122" w:type="dxa"/>
            <w:shd w:val="clear" w:color="auto" w:fill="auto"/>
            <w:vAlign w:val="center"/>
          </w:tcPr>
          <w:p w14:paraId="496646DB">
            <w:pPr>
              <w:jc w:val="center"/>
              <w:rPr>
                <w:rFonts w:ascii="Times New Roman" w:hAnsi="Times New Roman" w:eastAsia="宋体" w:cs="Times New Roman"/>
                <w:iCs/>
                <w:kern w:val="2"/>
                <w:sz w:val="18"/>
                <w:szCs w:val="18"/>
                <w:highlight w:val="none"/>
                <w:lang w:val="en-US" w:eastAsia="zh-CN" w:bidi="ar-SA"/>
              </w:rPr>
            </w:pPr>
            <w:r>
              <w:rPr>
                <w:rFonts w:hint="eastAsia"/>
                <w:iCs/>
                <w:sz w:val="18"/>
                <w:szCs w:val="18"/>
                <w:highlight w:val="none"/>
              </w:rPr>
              <w:t>考试</w:t>
            </w:r>
          </w:p>
        </w:tc>
      </w:tr>
      <w:tr w14:paraId="5F14C7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1508FB">
            <w:pPr>
              <w:jc w:val="center"/>
              <w:rPr>
                <w:b/>
                <w:color w:val="000000" w:themeColor="text1"/>
                <w:sz w:val="18"/>
                <w:szCs w:val="18"/>
                <w14:textFill>
                  <w14:solidFill>
                    <w14:schemeClr w14:val="tx1"/>
                  </w14:solidFill>
                </w14:textFill>
              </w:rPr>
            </w:pPr>
          </w:p>
        </w:tc>
        <w:tc>
          <w:tcPr>
            <w:tcW w:w="1226" w:type="dxa"/>
            <w:vMerge w:val="continue"/>
            <w:vAlign w:val="center"/>
          </w:tcPr>
          <w:p w14:paraId="030E423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86C2652">
            <w:pPr>
              <w:rPr>
                <w:rFonts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14:textFill>
                  <w14:solidFill>
                    <w14:schemeClr w14:val="tx1"/>
                  </w14:solidFill>
                </w14:textFill>
              </w:rPr>
              <w:t>信息组织与检索</w:t>
            </w:r>
          </w:p>
        </w:tc>
        <w:tc>
          <w:tcPr>
            <w:tcW w:w="1081" w:type="dxa"/>
            <w:shd w:val="clear" w:color="auto" w:fill="auto"/>
            <w:vAlign w:val="center"/>
          </w:tcPr>
          <w:p w14:paraId="0C075810">
            <w:pPr>
              <w:jc w:val="center"/>
              <w:rPr>
                <w:rFonts w:ascii="Times New Roman" w:hAnsi="Times New Roman" w:eastAsia="宋体" w:cs="Times New Roman"/>
                <w:kern w:val="2"/>
                <w:sz w:val="18"/>
                <w:szCs w:val="18"/>
                <w:highlight w:val="none"/>
                <w:lang w:val="en-US" w:eastAsia="zh-CN" w:bidi="ar-SA"/>
              </w:rPr>
            </w:pPr>
            <w:r>
              <w:rPr>
                <w:rFonts w:hint="eastAsia"/>
                <w:sz w:val="18"/>
                <w:szCs w:val="18"/>
                <w:highlight w:val="none"/>
              </w:rPr>
              <w:t>XS</w:t>
            </w:r>
            <w:r>
              <w:rPr>
                <w:color w:val="000000"/>
                <w:kern w:val="0"/>
                <w:sz w:val="18"/>
                <w:szCs w:val="18"/>
                <w:highlight w:val="none"/>
              </w:rPr>
              <w:t>04</w:t>
            </w:r>
            <w:r>
              <w:rPr>
                <w:rFonts w:hint="eastAsia"/>
                <w:color w:val="000000"/>
                <w:kern w:val="0"/>
                <w:sz w:val="18"/>
                <w:szCs w:val="18"/>
                <w:highlight w:val="none"/>
              </w:rPr>
              <w:t>20003</w:t>
            </w:r>
          </w:p>
        </w:tc>
        <w:tc>
          <w:tcPr>
            <w:tcW w:w="709" w:type="dxa"/>
            <w:shd w:val="clear" w:color="auto" w:fill="auto"/>
            <w:vAlign w:val="center"/>
          </w:tcPr>
          <w:p w14:paraId="2A27A5A5">
            <w:pPr>
              <w:jc w:val="center"/>
              <w:rPr>
                <w:rFonts w:ascii="Times New Roman" w:hAnsi="Times New Roman" w:eastAsia="宋体" w:cs="Times New Roman"/>
                <w:i w:val="0"/>
                <w:iCs w:val="0"/>
                <w:kern w:val="2"/>
                <w:sz w:val="18"/>
                <w:szCs w:val="18"/>
                <w:highlight w:val="none"/>
                <w:lang w:val="en-US" w:eastAsia="zh-CN" w:bidi="ar-SA"/>
              </w:rPr>
            </w:pPr>
            <w:r>
              <w:rPr>
                <w:rFonts w:hint="eastAsia"/>
                <w:i w:val="0"/>
                <w:iCs w:val="0"/>
                <w:sz w:val="18"/>
                <w:szCs w:val="18"/>
                <w:highlight w:val="none"/>
              </w:rPr>
              <w:t>2</w:t>
            </w:r>
          </w:p>
        </w:tc>
        <w:tc>
          <w:tcPr>
            <w:tcW w:w="632" w:type="dxa"/>
            <w:shd w:val="clear" w:color="auto" w:fill="auto"/>
            <w:vAlign w:val="center"/>
          </w:tcPr>
          <w:p w14:paraId="784BA57A">
            <w:pPr>
              <w:jc w:val="center"/>
              <w:rPr>
                <w:rFonts w:ascii="Times New Roman" w:hAnsi="Times New Roman" w:eastAsia="宋体" w:cs="Times New Roman"/>
                <w:i w:val="0"/>
                <w:iCs w:val="0"/>
                <w:kern w:val="2"/>
                <w:sz w:val="18"/>
                <w:szCs w:val="18"/>
                <w:highlight w:val="none"/>
                <w:lang w:val="en-US" w:eastAsia="zh-CN" w:bidi="ar-SA"/>
              </w:rPr>
            </w:pPr>
            <w:r>
              <w:rPr>
                <w:rFonts w:hint="eastAsia"/>
                <w:i w:val="0"/>
                <w:iCs w:val="0"/>
                <w:sz w:val="18"/>
                <w:szCs w:val="18"/>
                <w:highlight w:val="none"/>
              </w:rPr>
              <w:t>1</w:t>
            </w:r>
          </w:p>
        </w:tc>
        <w:tc>
          <w:tcPr>
            <w:tcW w:w="1122" w:type="dxa"/>
            <w:shd w:val="clear" w:color="auto" w:fill="auto"/>
            <w:vAlign w:val="center"/>
          </w:tcPr>
          <w:p w14:paraId="5EABA5DF">
            <w:pPr>
              <w:jc w:val="center"/>
              <w:rPr>
                <w:rFonts w:ascii="Times New Roman" w:hAnsi="Times New Roman" w:eastAsia="宋体" w:cs="Times New Roman"/>
                <w:iCs/>
                <w:kern w:val="2"/>
                <w:sz w:val="18"/>
                <w:szCs w:val="18"/>
                <w:highlight w:val="none"/>
                <w:lang w:val="en-US" w:eastAsia="zh-CN" w:bidi="ar-SA"/>
              </w:rPr>
            </w:pPr>
            <w:r>
              <w:rPr>
                <w:rFonts w:hint="eastAsia"/>
                <w:iCs/>
                <w:sz w:val="18"/>
                <w:szCs w:val="18"/>
                <w:highlight w:val="none"/>
              </w:rPr>
              <w:t>考试</w:t>
            </w:r>
          </w:p>
        </w:tc>
      </w:tr>
      <w:tr w14:paraId="47CA24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2C041DE">
            <w:pPr>
              <w:jc w:val="center"/>
              <w:rPr>
                <w:b/>
                <w:color w:val="000000" w:themeColor="text1"/>
                <w:sz w:val="18"/>
                <w:szCs w:val="18"/>
                <w14:textFill>
                  <w14:solidFill>
                    <w14:schemeClr w14:val="tx1"/>
                  </w14:solidFill>
                </w14:textFill>
              </w:rPr>
            </w:pPr>
          </w:p>
        </w:tc>
        <w:tc>
          <w:tcPr>
            <w:tcW w:w="1226" w:type="dxa"/>
            <w:vMerge w:val="continue"/>
            <w:vAlign w:val="center"/>
          </w:tcPr>
          <w:p w14:paraId="6306D02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88C21E3">
            <w:pPr>
              <w:rPr>
                <w:rFonts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14:textFill>
                  <w14:solidFill>
                    <w14:schemeClr w14:val="tx1"/>
                  </w14:solidFill>
                </w14:textFill>
              </w:rPr>
              <w:t>信息分析</w:t>
            </w:r>
          </w:p>
        </w:tc>
        <w:tc>
          <w:tcPr>
            <w:tcW w:w="1081" w:type="dxa"/>
            <w:shd w:val="clear" w:color="auto" w:fill="auto"/>
            <w:vAlign w:val="center"/>
          </w:tcPr>
          <w:p w14:paraId="152270ED">
            <w:pPr>
              <w:jc w:val="center"/>
              <w:rPr>
                <w:rFonts w:ascii="Times New Roman" w:hAnsi="Times New Roman" w:eastAsia="宋体" w:cs="Times New Roman"/>
                <w:color w:val="FF0000"/>
                <w:kern w:val="2"/>
                <w:sz w:val="18"/>
                <w:szCs w:val="18"/>
                <w:highlight w:val="none"/>
                <w:lang w:val="en-US" w:eastAsia="zh-CN" w:bidi="ar-SA"/>
              </w:rPr>
            </w:pPr>
            <w:r>
              <w:rPr>
                <w:rFonts w:hint="eastAsia"/>
                <w:sz w:val="18"/>
                <w:szCs w:val="18"/>
                <w:highlight w:val="none"/>
              </w:rPr>
              <w:t>XS</w:t>
            </w:r>
            <w:r>
              <w:rPr>
                <w:color w:val="000000"/>
                <w:kern w:val="0"/>
                <w:sz w:val="18"/>
                <w:szCs w:val="18"/>
                <w:highlight w:val="none"/>
              </w:rPr>
              <w:t>04</w:t>
            </w:r>
            <w:r>
              <w:rPr>
                <w:rFonts w:hint="eastAsia"/>
                <w:color w:val="000000"/>
                <w:kern w:val="0"/>
                <w:sz w:val="18"/>
                <w:szCs w:val="18"/>
                <w:highlight w:val="none"/>
              </w:rPr>
              <w:t>20004</w:t>
            </w:r>
          </w:p>
        </w:tc>
        <w:tc>
          <w:tcPr>
            <w:tcW w:w="709" w:type="dxa"/>
            <w:shd w:val="clear" w:color="auto" w:fill="auto"/>
            <w:vAlign w:val="top"/>
          </w:tcPr>
          <w:p w14:paraId="26762C0F">
            <w:pPr>
              <w:jc w:val="center"/>
              <w:rPr>
                <w:rFonts w:ascii="Times New Roman" w:hAnsi="Times New Roman" w:eastAsia="宋体" w:cs="Times New Roman"/>
                <w:i w:val="0"/>
                <w:iCs w:val="0"/>
                <w:kern w:val="2"/>
                <w:sz w:val="21"/>
                <w:szCs w:val="24"/>
                <w:highlight w:val="none"/>
                <w:lang w:val="en-US" w:eastAsia="zh-CN" w:bidi="ar-SA"/>
              </w:rPr>
            </w:pPr>
            <w:r>
              <w:rPr>
                <w:rFonts w:hint="eastAsia"/>
                <w:i w:val="0"/>
                <w:iCs w:val="0"/>
                <w:sz w:val="18"/>
                <w:szCs w:val="18"/>
                <w:highlight w:val="none"/>
              </w:rPr>
              <w:t>2</w:t>
            </w:r>
          </w:p>
        </w:tc>
        <w:tc>
          <w:tcPr>
            <w:tcW w:w="632" w:type="dxa"/>
            <w:shd w:val="clear" w:color="auto" w:fill="auto"/>
            <w:vAlign w:val="top"/>
          </w:tcPr>
          <w:p w14:paraId="2FEB6123">
            <w:pPr>
              <w:jc w:val="center"/>
              <w:rPr>
                <w:rFonts w:ascii="Times New Roman" w:hAnsi="Times New Roman" w:eastAsia="宋体" w:cs="Times New Roman"/>
                <w:i w:val="0"/>
                <w:iCs w:val="0"/>
                <w:kern w:val="2"/>
                <w:sz w:val="21"/>
                <w:szCs w:val="24"/>
                <w:highlight w:val="none"/>
                <w:lang w:val="en-US" w:eastAsia="zh-CN" w:bidi="ar-SA"/>
              </w:rPr>
            </w:pPr>
            <w:r>
              <w:rPr>
                <w:rFonts w:hint="eastAsia"/>
                <w:i w:val="0"/>
                <w:iCs w:val="0"/>
                <w:sz w:val="18"/>
                <w:szCs w:val="18"/>
                <w:highlight w:val="none"/>
              </w:rPr>
              <w:t>2</w:t>
            </w:r>
          </w:p>
        </w:tc>
        <w:tc>
          <w:tcPr>
            <w:tcW w:w="1122" w:type="dxa"/>
            <w:shd w:val="clear" w:color="auto" w:fill="auto"/>
            <w:vAlign w:val="top"/>
          </w:tcPr>
          <w:p w14:paraId="2EEB1A44">
            <w:pPr>
              <w:jc w:val="center"/>
              <w:rPr>
                <w:rFonts w:ascii="Times New Roman" w:hAnsi="Times New Roman" w:eastAsia="宋体" w:cs="Times New Roman"/>
                <w:iCs/>
                <w:kern w:val="2"/>
                <w:sz w:val="18"/>
                <w:szCs w:val="18"/>
                <w:highlight w:val="none"/>
                <w:lang w:val="en-US" w:eastAsia="zh-CN" w:bidi="ar-SA"/>
              </w:rPr>
            </w:pPr>
            <w:r>
              <w:rPr>
                <w:rFonts w:hint="eastAsia"/>
                <w:iCs/>
                <w:sz w:val="18"/>
                <w:szCs w:val="18"/>
                <w:highlight w:val="none"/>
              </w:rPr>
              <w:t>考试</w:t>
            </w:r>
          </w:p>
        </w:tc>
      </w:tr>
      <w:tr w14:paraId="0A4E62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15550DD">
            <w:pPr>
              <w:jc w:val="center"/>
              <w:rPr>
                <w:b/>
                <w:color w:val="000000" w:themeColor="text1"/>
                <w:sz w:val="18"/>
                <w:szCs w:val="18"/>
                <w14:textFill>
                  <w14:solidFill>
                    <w14:schemeClr w14:val="tx1"/>
                  </w14:solidFill>
                </w14:textFill>
              </w:rPr>
            </w:pPr>
          </w:p>
        </w:tc>
        <w:tc>
          <w:tcPr>
            <w:tcW w:w="1226" w:type="dxa"/>
            <w:vMerge w:val="restart"/>
            <w:vAlign w:val="center"/>
          </w:tcPr>
          <w:p w14:paraId="60797341">
            <w:pPr>
              <w:jc w:val="center"/>
              <w:rPr>
                <w:b/>
                <w:color w:val="auto"/>
                <w:sz w:val="18"/>
                <w:szCs w:val="18"/>
                <w:highlight w:val="none"/>
              </w:rPr>
            </w:pPr>
            <w:r>
              <w:rPr>
                <w:b/>
                <w:color w:val="auto"/>
                <w:sz w:val="18"/>
                <w:szCs w:val="18"/>
                <w:highlight w:val="none"/>
              </w:rPr>
              <w:t>专业必修课</w:t>
            </w:r>
          </w:p>
          <w:p w14:paraId="7271E3EA">
            <w:pPr>
              <w:jc w:val="center"/>
              <w:rPr>
                <w:b/>
                <w:color w:val="000000" w:themeColor="text1"/>
                <w:sz w:val="18"/>
                <w:szCs w:val="18"/>
                <w14:textFill>
                  <w14:solidFill>
                    <w14:schemeClr w14:val="tx1"/>
                  </w14:solidFill>
                </w14:textFill>
              </w:rPr>
            </w:pPr>
            <w:r>
              <w:rPr>
                <w:b/>
                <w:color w:val="auto"/>
                <w:sz w:val="18"/>
                <w:szCs w:val="18"/>
                <w:highlight w:val="none"/>
              </w:rPr>
              <w:t>（</w:t>
            </w:r>
            <w:r>
              <w:rPr>
                <w:rFonts w:hint="eastAsia"/>
                <w:b/>
                <w:color w:val="auto"/>
                <w:sz w:val="18"/>
                <w:szCs w:val="18"/>
                <w:highlight w:val="none"/>
                <w:lang w:val="en-US" w:eastAsia="zh-CN"/>
              </w:rPr>
              <w:t>7</w:t>
            </w:r>
            <w:r>
              <w:rPr>
                <w:b/>
                <w:color w:val="auto"/>
                <w:sz w:val="18"/>
                <w:szCs w:val="18"/>
                <w:highlight w:val="none"/>
              </w:rPr>
              <w:t>学分）</w:t>
            </w:r>
          </w:p>
        </w:tc>
        <w:tc>
          <w:tcPr>
            <w:tcW w:w="3516" w:type="dxa"/>
            <w:shd w:val="clear" w:color="auto" w:fill="auto"/>
            <w:vAlign w:val="center"/>
          </w:tcPr>
          <w:p w14:paraId="26A17289">
            <w:pPr>
              <w:rPr>
                <w:rFonts w:hint="default" w:ascii="Times New Roman" w:hAnsi="Times New Roman" w:eastAsia="宋体" w:cs="Times New Roman"/>
                <w:iCs/>
                <w:color w:val="auto"/>
                <w:kern w:val="2"/>
                <w:sz w:val="18"/>
                <w:szCs w:val="18"/>
                <w:highlight w:val="none"/>
                <w:lang w:val="en-US" w:eastAsia="zh-CN" w:bidi="ar-SA"/>
              </w:rPr>
            </w:pPr>
            <w:r>
              <w:rPr>
                <w:iCs/>
                <w:color w:val="auto"/>
                <w:sz w:val="18"/>
                <w:szCs w:val="18"/>
                <w:highlight w:val="none"/>
              </w:rPr>
              <w:t>图书馆学基础理论</w:t>
            </w:r>
          </w:p>
        </w:tc>
        <w:tc>
          <w:tcPr>
            <w:tcW w:w="1081" w:type="dxa"/>
            <w:shd w:val="clear" w:color="auto" w:fill="auto"/>
            <w:vAlign w:val="center"/>
          </w:tcPr>
          <w:p w14:paraId="546B9AE4">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w:t>
            </w:r>
            <w:r>
              <w:rPr>
                <w:rFonts w:hint="eastAsia"/>
                <w:color w:val="auto"/>
                <w:kern w:val="0"/>
                <w:sz w:val="18"/>
                <w:szCs w:val="18"/>
                <w:highlight w:val="none"/>
                <w:lang w:val="en-US" w:eastAsia="zh-CN"/>
              </w:rPr>
              <w:t>1203</w:t>
            </w:r>
          </w:p>
        </w:tc>
        <w:tc>
          <w:tcPr>
            <w:tcW w:w="709" w:type="dxa"/>
            <w:shd w:val="clear" w:color="auto" w:fill="auto"/>
            <w:vAlign w:val="center"/>
          </w:tcPr>
          <w:p w14:paraId="692BCEC4">
            <w:pPr>
              <w:jc w:val="center"/>
              <w:rPr>
                <w:rFonts w:ascii="Times New Roman" w:hAnsi="Times New Roman" w:eastAsia="宋体" w:cs="Times New Roman"/>
                <w:i w:val="0"/>
                <w:iCs w:val="0"/>
                <w:color w:val="auto"/>
                <w:kern w:val="2"/>
                <w:sz w:val="18"/>
                <w:szCs w:val="18"/>
                <w:highlight w:val="none"/>
                <w:lang w:val="en-US" w:eastAsia="zh-CN" w:bidi="ar-SA"/>
              </w:rPr>
            </w:pPr>
            <w:r>
              <w:rPr>
                <w:rFonts w:hint="eastAsia"/>
                <w:i w:val="0"/>
                <w:iCs w:val="0"/>
                <w:color w:val="auto"/>
                <w:sz w:val="18"/>
                <w:szCs w:val="18"/>
                <w:highlight w:val="none"/>
              </w:rPr>
              <w:t>2</w:t>
            </w:r>
          </w:p>
        </w:tc>
        <w:tc>
          <w:tcPr>
            <w:tcW w:w="632" w:type="dxa"/>
            <w:vAlign w:val="center"/>
          </w:tcPr>
          <w:p w14:paraId="00BFBCA0">
            <w:pPr>
              <w:jc w:val="center"/>
              <w:rPr>
                <w:rFonts w:hint="eastAsia" w:eastAsia="宋体"/>
                <w:i w:val="0"/>
                <w:iCs w:val="0"/>
                <w:color w:val="auto"/>
                <w:highlight w:val="none"/>
                <w:lang w:val="en-US" w:eastAsia="zh-CN"/>
              </w:rPr>
            </w:pPr>
            <w:r>
              <w:rPr>
                <w:rFonts w:hint="eastAsia"/>
                <w:i w:val="0"/>
                <w:iCs w:val="0"/>
                <w:color w:val="auto"/>
                <w:highlight w:val="none"/>
                <w:lang w:val="en-US" w:eastAsia="zh-CN"/>
              </w:rPr>
              <w:t>1</w:t>
            </w:r>
          </w:p>
        </w:tc>
        <w:tc>
          <w:tcPr>
            <w:tcW w:w="1122" w:type="dxa"/>
            <w:vAlign w:val="center"/>
          </w:tcPr>
          <w:p w14:paraId="5659AC05">
            <w:pPr>
              <w:jc w:val="center"/>
              <w:rPr>
                <w:rFonts w:hint="eastAsia" w:eastAsia="宋体"/>
                <w:i w:val="0"/>
                <w:iCs/>
                <w:color w:val="auto"/>
                <w:sz w:val="18"/>
                <w:szCs w:val="18"/>
                <w:highlight w:val="none"/>
                <w:lang w:eastAsia="zh-CN"/>
              </w:rPr>
            </w:pPr>
            <w:r>
              <w:rPr>
                <w:rFonts w:hint="eastAsia"/>
                <w:i w:val="0"/>
                <w:iCs/>
                <w:color w:val="auto"/>
                <w:sz w:val="18"/>
                <w:szCs w:val="18"/>
                <w:highlight w:val="none"/>
                <w:lang w:val="en-US" w:eastAsia="zh-CN"/>
              </w:rPr>
              <w:t>考查</w:t>
            </w:r>
          </w:p>
        </w:tc>
      </w:tr>
      <w:tr w14:paraId="410411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491A2A6">
            <w:pPr>
              <w:jc w:val="center"/>
              <w:rPr>
                <w:b/>
                <w:color w:val="000000" w:themeColor="text1"/>
                <w:sz w:val="18"/>
                <w:szCs w:val="18"/>
                <w14:textFill>
                  <w14:solidFill>
                    <w14:schemeClr w14:val="tx1"/>
                  </w14:solidFill>
                </w14:textFill>
              </w:rPr>
            </w:pPr>
          </w:p>
        </w:tc>
        <w:tc>
          <w:tcPr>
            <w:tcW w:w="1226" w:type="dxa"/>
            <w:vMerge w:val="continue"/>
            <w:vAlign w:val="center"/>
          </w:tcPr>
          <w:p w14:paraId="718B294C">
            <w:pPr>
              <w:jc w:val="center"/>
              <w:rPr>
                <w:b/>
                <w:color w:val="000000" w:themeColor="text1"/>
                <w:sz w:val="18"/>
                <w:szCs w:val="18"/>
                <w:highlight w:val="yellow"/>
                <w14:textFill>
                  <w14:solidFill>
                    <w14:schemeClr w14:val="tx1"/>
                  </w14:solidFill>
                </w14:textFill>
              </w:rPr>
            </w:pPr>
          </w:p>
        </w:tc>
        <w:tc>
          <w:tcPr>
            <w:tcW w:w="3516" w:type="dxa"/>
            <w:shd w:val="clear" w:color="auto" w:fill="auto"/>
            <w:vAlign w:val="center"/>
          </w:tcPr>
          <w:p w14:paraId="5C91A0D4">
            <w:pPr>
              <w:rPr>
                <w:rFonts w:hint="default" w:ascii="Times New Roman" w:hAnsi="Times New Roman" w:eastAsia="宋体" w:cs="Times New Roman"/>
                <w:iCs/>
                <w:color w:val="auto"/>
                <w:kern w:val="2"/>
                <w:sz w:val="18"/>
                <w:szCs w:val="18"/>
                <w:highlight w:val="none"/>
                <w:lang w:val="en-US" w:eastAsia="zh-CN" w:bidi="ar-SA"/>
              </w:rPr>
            </w:pPr>
            <w:r>
              <w:rPr>
                <w:rFonts w:hint="eastAsia"/>
                <w:iCs/>
                <w:color w:val="auto"/>
                <w:sz w:val="18"/>
                <w:szCs w:val="18"/>
                <w:highlight w:val="none"/>
              </w:rPr>
              <w:t>图书馆学研究方法</w:t>
            </w:r>
          </w:p>
        </w:tc>
        <w:tc>
          <w:tcPr>
            <w:tcW w:w="1081" w:type="dxa"/>
            <w:shd w:val="clear" w:color="auto" w:fill="auto"/>
            <w:vAlign w:val="center"/>
          </w:tcPr>
          <w:p w14:paraId="1D689C04">
            <w:pPr>
              <w:jc w:val="center"/>
              <w:rPr>
                <w:rFonts w:hint="default"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w:t>
            </w:r>
            <w:r>
              <w:rPr>
                <w:rFonts w:hint="eastAsia"/>
                <w:color w:val="auto"/>
                <w:kern w:val="0"/>
                <w:sz w:val="18"/>
                <w:szCs w:val="18"/>
                <w:highlight w:val="none"/>
                <w:lang w:val="en-US" w:eastAsia="zh-CN"/>
              </w:rPr>
              <w:t>1204</w:t>
            </w:r>
          </w:p>
        </w:tc>
        <w:tc>
          <w:tcPr>
            <w:tcW w:w="709" w:type="dxa"/>
            <w:shd w:val="clear" w:color="auto" w:fill="auto"/>
            <w:vAlign w:val="center"/>
          </w:tcPr>
          <w:p w14:paraId="4B931746">
            <w:pPr>
              <w:jc w:val="center"/>
              <w:rPr>
                <w:rFonts w:hint="eastAsia" w:ascii="Times New Roman" w:hAnsi="Times New Roman" w:eastAsia="宋体" w:cs="Times New Roman"/>
                <w:i w:val="0"/>
                <w:iCs w:val="0"/>
                <w:color w:val="auto"/>
                <w:kern w:val="2"/>
                <w:sz w:val="18"/>
                <w:szCs w:val="18"/>
                <w:highlight w:val="none"/>
                <w:lang w:val="en-US" w:eastAsia="zh-CN" w:bidi="ar-SA"/>
              </w:rPr>
            </w:pPr>
            <w:r>
              <w:rPr>
                <w:rFonts w:hint="eastAsia"/>
                <w:i w:val="0"/>
                <w:iCs w:val="0"/>
                <w:color w:val="auto"/>
                <w:sz w:val="18"/>
                <w:szCs w:val="18"/>
                <w:highlight w:val="none"/>
                <w:lang w:val="en-US" w:eastAsia="zh-CN"/>
              </w:rPr>
              <w:t>2</w:t>
            </w:r>
          </w:p>
        </w:tc>
        <w:tc>
          <w:tcPr>
            <w:tcW w:w="632" w:type="dxa"/>
            <w:vAlign w:val="center"/>
          </w:tcPr>
          <w:p w14:paraId="3E912E21">
            <w:pPr>
              <w:jc w:val="center"/>
              <w:rPr>
                <w:rFonts w:hint="eastAsia" w:eastAsia="宋体"/>
                <w:i w:val="0"/>
                <w:iCs w:val="0"/>
                <w:color w:val="auto"/>
                <w:sz w:val="18"/>
                <w:szCs w:val="18"/>
                <w:highlight w:val="none"/>
                <w:lang w:val="en-US" w:eastAsia="zh-CN"/>
              </w:rPr>
            </w:pPr>
            <w:r>
              <w:rPr>
                <w:rFonts w:hint="eastAsia"/>
                <w:i w:val="0"/>
                <w:iCs w:val="0"/>
                <w:color w:val="auto"/>
                <w:sz w:val="18"/>
                <w:szCs w:val="18"/>
                <w:highlight w:val="none"/>
                <w:lang w:val="en-US" w:eastAsia="zh-CN"/>
              </w:rPr>
              <w:t>1</w:t>
            </w:r>
          </w:p>
        </w:tc>
        <w:tc>
          <w:tcPr>
            <w:tcW w:w="1122" w:type="dxa"/>
            <w:vAlign w:val="center"/>
          </w:tcPr>
          <w:p w14:paraId="7844BED6">
            <w:pPr>
              <w:jc w:val="center"/>
              <w:rPr>
                <w:rFonts w:hint="eastAsia" w:eastAsia="宋体"/>
                <w:i w:val="0"/>
                <w:iCs/>
                <w:color w:val="auto"/>
                <w:sz w:val="18"/>
                <w:szCs w:val="18"/>
                <w:highlight w:val="none"/>
                <w:lang w:val="en-US" w:eastAsia="zh-CN"/>
              </w:rPr>
            </w:pPr>
            <w:r>
              <w:rPr>
                <w:rFonts w:hint="eastAsia"/>
                <w:i w:val="0"/>
                <w:iCs/>
                <w:color w:val="auto"/>
                <w:sz w:val="18"/>
                <w:szCs w:val="18"/>
                <w:highlight w:val="none"/>
                <w:lang w:val="en-US" w:eastAsia="zh-CN"/>
              </w:rPr>
              <w:t>考查</w:t>
            </w:r>
          </w:p>
        </w:tc>
      </w:tr>
      <w:tr w14:paraId="48B2DA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F46C11C">
            <w:pPr>
              <w:jc w:val="center"/>
              <w:rPr>
                <w:b/>
                <w:color w:val="000000" w:themeColor="text1"/>
                <w:sz w:val="18"/>
                <w:szCs w:val="18"/>
                <w14:textFill>
                  <w14:solidFill>
                    <w14:schemeClr w14:val="tx1"/>
                  </w14:solidFill>
                </w14:textFill>
              </w:rPr>
            </w:pPr>
          </w:p>
        </w:tc>
        <w:tc>
          <w:tcPr>
            <w:tcW w:w="1226" w:type="dxa"/>
            <w:vMerge w:val="continue"/>
            <w:vAlign w:val="center"/>
          </w:tcPr>
          <w:p w14:paraId="150A502E">
            <w:pPr>
              <w:jc w:val="center"/>
              <w:rPr>
                <w:b/>
                <w:color w:val="000000" w:themeColor="text1"/>
                <w:sz w:val="18"/>
                <w:szCs w:val="18"/>
                <w:highlight w:val="yellow"/>
                <w14:textFill>
                  <w14:solidFill>
                    <w14:schemeClr w14:val="tx1"/>
                  </w14:solidFill>
                </w14:textFill>
              </w:rPr>
            </w:pPr>
          </w:p>
        </w:tc>
        <w:tc>
          <w:tcPr>
            <w:tcW w:w="3516" w:type="dxa"/>
            <w:shd w:val="clear" w:color="auto" w:fill="auto"/>
            <w:vAlign w:val="center"/>
          </w:tcPr>
          <w:p w14:paraId="1F539DA8">
            <w:pPr>
              <w:adjustRightInd w:val="0"/>
              <w:snapToGrid w:val="0"/>
              <w:rPr>
                <w:rFonts w:hint="default" w:ascii="Times New Roman" w:hAnsi="Times New Roman" w:eastAsia="宋体" w:cs="Times New Roman"/>
                <w:iCs/>
                <w:color w:val="auto"/>
                <w:kern w:val="2"/>
                <w:sz w:val="18"/>
                <w:szCs w:val="18"/>
                <w:highlight w:val="none"/>
                <w:lang w:val="en-US" w:eastAsia="zh-CN" w:bidi="ar-SA"/>
              </w:rPr>
            </w:pPr>
            <w:r>
              <w:rPr>
                <w:rFonts w:hint="eastAsia"/>
                <w:iCs/>
                <w:color w:val="auto"/>
                <w:sz w:val="18"/>
                <w:szCs w:val="18"/>
                <w:highlight w:val="none"/>
              </w:rPr>
              <w:t>图书馆学研究前沿</w:t>
            </w:r>
          </w:p>
        </w:tc>
        <w:tc>
          <w:tcPr>
            <w:tcW w:w="1081" w:type="dxa"/>
            <w:shd w:val="clear" w:color="auto" w:fill="auto"/>
            <w:vAlign w:val="top"/>
          </w:tcPr>
          <w:p w14:paraId="351A0B03">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w:t>
            </w:r>
            <w:r>
              <w:rPr>
                <w:rFonts w:hint="eastAsia"/>
                <w:color w:val="auto"/>
                <w:kern w:val="0"/>
                <w:sz w:val="18"/>
                <w:szCs w:val="18"/>
                <w:highlight w:val="none"/>
                <w:lang w:val="en-US" w:eastAsia="zh-CN"/>
              </w:rPr>
              <w:t>003</w:t>
            </w:r>
          </w:p>
        </w:tc>
        <w:tc>
          <w:tcPr>
            <w:tcW w:w="709" w:type="dxa"/>
            <w:shd w:val="clear" w:color="auto" w:fill="auto"/>
            <w:vAlign w:val="top"/>
          </w:tcPr>
          <w:p w14:paraId="3A5EBB54">
            <w:pPr>
              <w:jc w:val="center"/>
              <w:rPr>
                <w:rFonts w:hint="eastAsia" w:ascii="Times New Roman" w:hAnsi="Times New Roman" w:eastAsia="宋体" w:cs="Times New Roman"/>
                <w:i w:val="0"/>
                <w:iCs w:val="0"/>
                <w:color w:val="auto"/>
                <w:kern w:val="2"/>
                <w:sz w:val="18"/>
                <w:szCs w:val="18"/>
                <w:highlight w:val="none"/>
                <w:lang w:val="en-US" w:eastAsia="zh-CN" w:bidi="ar-SA"/>
              </w:rPr>
            </w:pPr>
            <w:r>
              <w:rPr>
                <w:rFonts w:hint="eastAsia"/>
                <w:i w:val="0"/>
                <w:iCs w:val="0"/>
                <w:color w:val="auto"/>
                <w:sz w:val="18"/>
                <w:szCs w:val="18"/>
                <w:highlight w:val="none"/>
                <w:lang w:val="en-US" w:eastAsia="zh-CN"/>
              </w:rPr>
              <w:t>1</w:t>
            </w:r>
          </w:p>
        </w:tc>
        <w:tc>
          <w:tcPr>
            <w:tcW w:w="632" w:type="dxa"/>
            <w:vAlign w:val="center"/>
          </w:tcPr>
          <w:p w14:paraId="2BBD5A48">
            <w:pPr>
              <w:jc w:val="center"/>
              <w:rPr>
                <w:rFonts w:hint="eastAsia" w:eastAsia="宋体"/>
                <w:i w:val="0"/>
                <w:iCs w:val="0"/>
                <w:color w:val="auto"/>
                <w:sz w:val="18"/>
                <w:szCs w:val="18"/>
                <w:highlight w:val="none"/>
                <w:lang w:val="en-US" w:eastAsia="zh-CN"/>
              </w:rPr>
            </w:pPr>
            <w:r>
              <w:rPr>
                <w:rFonts w:hint="eastAsia"/>
                <w:i w:val="0"/>
                <w:iCs w:val="0"/>
                <w:color w:val="auto"/>
                <w:sz w:val="18"/>
                <w:szCs w:val="18"/>
                <w:highlight w:val="none"/>
                <w:lang w:val="en-US" w:eastAsia="zh-CN"/>
              </w:rPr>
              <w:t>2</w:t>
            </w:r>
          </w:p>
        </w:tc>
        <w:tc>
          <w:tcPr>
            <w:tcW w:w="1122" w:type="dxa"/>
            <w:vAlign w:val="center"/>
          </w:tcPr>
          <w:p w14:paraId="6795F677">
            <w:pPr>
              <w:jc w:val="center"/>
              <w:rPr>
                <w:rFonts w:hint="eastAsia" w:eastAsia="宋体"/>
                <w:i w:val="0"/>
                <w:iCs/>
                <w:color w:val="auto"/>
                <w:sz w:val="18"/>
                <w:szCs w:val="18"/>
                <w:highlight w:val="none"/>
                <w:lang w:val="en-US" w:eastAsia="zh-CN"/>
              </w:rPr>
            </w:pPr>
            <w:r>
              <w:rPr>
                <w:rFonts w:hint="eastAsia"/>
                <w:i w:val="0"/>
                <w:iCs/>
                <w:color w:val="auto"/>
                <w:sz w:val="18"/>
                <w:szCs w:val="18"/>
                <w:highlight w:val="none"/>
                <w:lang w:val="en-US" w:eastAsia="zh-CN"/>
              </w:rPr>
              <w:t>考查</w:t>
            </w:r>
          </w:p>
        </w:tc>
      </w:tr>
      <w:tr w14:paraId="034A62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F0A35EB">
            <w:pPr>
              <w:jc w:val="center"/>
              <w:rPr>
                <w:b/>
                <w:color w:val="000000" w:themeColor="text1"/>
                <w:sz w:val="18"/>
                <w:szCs w:val="18"/>
                <w14:textFill>
                  <w14:solidFill>
                    <w14:schemeClr w14:val="tx1"/>
                  </w14:solidFill>
                </w14:textFill>
              </w:rPr>
            </w:pPr>
          </w:p>
        </w:tc>
        <w:tc>
          <w:tcPr>
            <w:tcW w:w="1226" w:type="dxa"/>
            <w:vMerge w:val="continue"/>
            <w:vAlign w:val="center"/>
          </w:tcPr>
          <w:p w14:paraId="2F2F2597">
            <w:pPr>
              <w:jc w:val="center"/>
              <w:rPr>
                <w:b/>
                <w:color w:val="000000" w:themeColor="text1"/>
                <w:sz w:val="18"/>
                <w:szCs w:val="18"/>
                <w:highlight w:val="yellow"/>
                <w14:textFill>
                  <w14:solidFill>
                    <w14:schemeClr w14:val="tx1"/>
                  </w14:solidFill>
                </w14:textFill>
              </w:rPr>
            </w:pPr>
          </w:p>
        </w:tc>
        <w:tc>
          <w:tcPr>
            <w:tcW w:w="3516" w:type="dxa"/>
            <w:shd w:val="clear" w:color="auto" w:fill="auto"/>
            <w:vAlign w:val="center"/>
          </w:tcPr>
          <w:p w14:paraId="4E903B8C">
            <w:pPr>
              <w:adjustRightInd w:val="0"/>
              <w:snapToGrid w:val="0"/>
              <w:rPr>
                <w:rFonts w:ascii="Times New Roman" w:hAnsi="Times New Roman" w:eastAsia="宋体" w:cs="Times New Roman"/>
                <w:iCs/>
                <w:color w:val="auto"/>
                <w:kern w:val="2"/>
                <w:sz w:val="18"/>
                <w:szCs w:val="18"/>
                <w:highlight w:val="none"/>
                <w:lang w:val="en-US" w:eastAsia="zh-CN" w:bidi="ar-SA"/>
              </w:rPr>
            </w:pPr>
            <w:r>
              <w:rPr>
                <w:rFonts w:hint="eastAsia"/>
                <w:iCs/>
                <w:color w:val="auto"/>
                <w:sz w:val="18"/>
                <w:szCs w:val="18"/>
                <w:highlight w:val="none"/>
              </w:rPr>
              <w:t>图书馆业务实践</w:t>
            </w:r>
          </w:p>
        </w:tc>
        <w:tc>
          <w:tcPr>
            <w:tcW w:w="1081" w:type="dxa"/>
            <w:shd w:val="clear" w:color="auto" w:fill="auto"/>
            <w:vAlign w:val="top"/>
          </w:tcPr>
          <w:p w14:paraId="748FD1D7">
            <w:pPr>
              <w:jc w:val="center"/>
              <w:rPr>
                <w:rFonts w:hint="default"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w:t>
            </w:r>
            <w:r>
              <w:rPr>
                <w:rFonts w:hint="eastAsia"/>
                <w:color w:val="auto"/>
                <w:kern w:val="0"/>
                <w:sz w:val="18"/>
                <w:szCs w:val="18"/>
                <w:highlight w:val="none"/>
                <w:lang w:val="en-US" w:eastAsia="zh-CN"/>
              </w:rPr>
              <w:t>004</w:t>
            </w:r>
          </w:p>
        </w:tc>
        <w:tc>
          <w:tcPr>
            <w:tcW w:w="709" w:type="dxa"/>
            <w:shd w:val="clear" w:color="auto" w:fill="auto"/>
            <w:vAlign w:val="top"/>
          </w:tcPr>
          <w:p w14:paraId="790C0B33">
            <w:pPr>
              <w:jc w:val="center"/>
              <w:rPr>
                <w:rFonts w:hint="eastAsia" w:ascii="Times New Roman" w:hAnsi="Times New Roman" w:eastAsia="宋体" w:cs="Times New Roman"/>
                <w:i w:val="0"/>
                <w:iCs w:val="0"/>
                <w:color w:val="auto"/>
                <w:kern w:val="2"/>
                <w:sz w:val="18"/>
                <w:szCs w:val="18"/>
                <w:highlight w:val="none"/>
                <w:lang w:val="en-US" w:eastAsia="zh-CN" w:bidi="ar-SA"/>
              </w:rPr>
            </w:pPr>
            <w:r>
              <w:rPr>
                <w:rFonts w:hint="eastAsia"/>
                <w:i w:val="0"/>
                <w:iCs w:val="0"/>
                <w:color w:val="auto"/>
                <w:sz w:val="18"/>
                <w:szCs w:val="18"/>
                <w:highlight w:val="none"/>
                <w:lang w:val="en-US" w:eastAsia="zh-CN"/>
              </w:rPr>
              <w:t>2</w:t>
            </w:r>
          </w:p>
        </w:tc>
        <w:tc>
          <w:tcPr>
            <w:tcW w:w="632" w:type="dxa"/>
            <w:shd w:val="clear" w:color="auto" w:fill="auto"/>
            <w:vAlign w:val="top"/>
          </w:tcPr>
          <w:p w14:paraId="36C676B2">
            <w:pPr>
              <w:jc w:val="center"/>
              <w:rPr>
                <w:rFonts w:hint="default" w:ascii="Times New Roman" w:hAnsi="Times New Roman" w:eastAsia="宋体" w:cs="Times New Roman"/>
                <w:i w:val="0"/>
                <w:iCs w:val="0"/>
                <w:color w:val="auto"/>
                <w:kern w:val="2"/>
                <w:sz w:val="18"/>
                <w:szCs w:val="18"/>
                <w:highlight w:val="none"/>
                <w:lang w:val="en-US" w:eastAsia="zh-CN" w:bidi="ar-SA"/>
              </w:rPr>
            </w:pPr>
            <w:r>
              <w:rPr>
                <w:rFonts w:hint="eastAsia"/>
                <w:i w:val="0"/>
                <w:iCs w:val="0"/>
                <w:color w:val="auto"/>
                <w:sz w:val="18"/>
                <w:szCs w:val="18"/>
                <w:highlight w:val="none"/>
              </w:rPr>
              <w:t>2</w:t>
            </w:r>
            <w:r>
              <w:rPr>
                <w:rFonts w:hint="eastAsia"/>
                <w:i w:val="0"/>
                <w:iCs w:val="0"/>
                <w:color w:val="auto"/>
                <w:sz w:val="18"/>
                <w:szCs w:val="18"/>
                <w:highlight w:val="none"/>
                <w:lang w:eastAsia="zh-CN"/>
              </w:rPr>
              <w:t>、</w:t>
            </w:r>
            <w:r>
              <w:rPr>
                <w:rFonts w:hint="eastAsia"/>
                <w:i w:val="0"/>
                <w:iCs w:val="0"/>
                <w:color w:val="auto"/>
                <w:sz w:val="18"/>
                <w:szCs w:val="18"/>
                <w:highlight w:val="none"/>
                <w:lang w:val="en-US" w:eastAsia="zh-CN"/>
              </w:rPr>
              <w:t>3</w:t>
            </w:r>
          </w:p>
        </w:tc>
        <w:tc>
          <w:tcPr>
            <w:tcW w:w="1122" w:type="dxa"/>
            <w:vAlign w:val="center"/>
          </w:tcPr>
          <w:p w14:paraId="520762D4">
            <w:pPr>
              <w:jc w:val="center"/>
              <w:rPr>
                <w:rFonts w:hint="eastAsia" w:eastAsia="宋体"/>
                <w:i w:val="0"/>
                <w:iCs/>
                <w:color w:val="auto"/>
                <w:sz w:val="18"/>
                <w:szCs w:val="18"/>
                <w:highlight w:val="none"/>
                <w:lang w:val="en-US" w:eastAsia="zh-CN"/>
              </w:rPr>
            </w:pPr>
            <w:r>
              <w:rPr>
                <w:rFonts w:hint="eastAsia"/>
                <w:i w:val="0"/>
                <w:iCs/>
                <w:color w:val="auto"/>
                <w:sz w:val="18"/>
                <w:szCs w:val="18"/>
                <w:highlight w:val="none"/>
                <w:lang w:val="en-US" w:eastAsia="zh-CN"/>
              </w:rPr>
              <w:t>考查</w:t>
            </w:r>
          </w:p>
        </w:tc>
      </w:tr>
      <w:tr w14:paraId="3C1B1A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39C8041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6C4CB0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66D1916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0DF58D1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003B583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C1384EA">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1</w:t>
            </w:r>
          </w:p>
        </w:tc>
        <w:tc>
          <w:tcPr>
            <w:tcW w:w="632" w:type="dxa"/>
            <w:vAlign w:val="center"/>
          </w:tcPr>
          <w:p w14:paraId="41D5402B">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2</w:t>
            </w:r>
          </w:p>
        </w:tc>
        <w:tc>
          <w:tcPr>
            <w:tcW w:w="1122" w:type="dxa"/>
            <w:vAlign w:val="center"/>
          </w:tcPr>
          <w:p w14:paraId="6B8F729E">
            <w:pPr>
              <w:jc w:val="center"/>
              <w:rPr>
                <w:i w:val="0"/>
                <w:iCs/>
                <w:color w:val="000000" w:themeColor="text1"/>
                <w:sz w:val="18"/>
                <w:szCs w:val="18"/>
                <w14:textFill>
                  <w14:solidFill>
                    <w14:schemeClr w14:val="tx1"/>
                  </w14:solidFill>
                </w14:textFill>
              </w:rPr>
            </w:pPr>
            <w:r>
              <w:rPr>
                <w:i w:val="0"/>
                <w:iCs/>
                <w:color w:val="000000" w:themeColor="text1"/>
                <w:sz w:val="18"/>
                <w:szCs w:val="18"/>
                <w14:textFill>
                  <w14:solidFill>
                    <w14:schemeClr w14:val="tx1"/>
                  </w14:solidFill>
                </w14:textFill>
              </w:rPr>
              <w:t>考查</w:t>
            </w:r>
          </w:p>
        </w:tc>
      </w:tr>
      <w:tr w14:paraId="7E4A84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3482E9F">
            <w:pPr>
              <w:jc w:val="center"/>
              <w:rPr>
                <w:b/>
                <w:color w:val="000000" w:themeColor="text1"/>
                <w:sz w:val="18"/>
                <w:szCs w:val="18"/>
                <w14:textFill>
                  <w14:solidFill>
                    <w14:schemeClr w14:val="tx1"/>
                  </w14:solidFill>
                </w14:textFill>
              </w:rPr>
            </w:pPr>
          </w:p>
        </w:tc>
        <w:tc>
          <w:tcPr>
            <w:tcW w:w="1226" w:type="dxa"/>
            <w:vMerge w:val="continue"/>
            <w:vAlign w:val="center"/>
          </w:tcPr>
          <w:p w14:paraId="2171EBC6">
            <w:pPr>
              <w:jc w:val="center"/>
              <w:rPr>
                <w:b/>
                <w:color w:val="000000" w:themeColor="text1"/>
                <w:sz w:val="18"/>
                <w:szCs w:val="18"/>
                <w14:textFill>
                  <w14:solidFill>
                    <w14:schemeClr w14:val="tx1"/>
                  </w14:solidFill>
                </w14:textFill>
              </w:rPr>
            </w:pPr>
          </w:p>
        </w:tc>
        <w:tc>
          <w:tcPr>
            <w:tcW w:w="3516" w:type="dxa"/>
            <w:vAlign w:val="center"/>
          </w:tcPr>
          <w:p w14:paraId="46FA1A6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327EBC8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73283CF7">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1</w:t>
            </w:r>
          </w:p>
        </w:tc>
        <w:tc>
          <w:tcPr>
            <w:tcW w:w="632" w:type="dxa"/>
            <w:vAlign w:val="center"/>
          </w:tcPr>
          <w:p w14:paraId="4B684099">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2</w:t>
            </w:r>
          </w:p>
        </w:tc>
        <w:tc>
          <w:tcPr>
            <w:tcW w:w="1122" w:type="dxa"/>
            <w:vAlign w:val="center"/>
          </w:tcPr>
          <w:p w14:paraId="776F3DC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32043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7" w:hRule="atLeast"/>
          <w:jc w:val="center"/>
        </w:trPr>
        <w:tc>
          <w:tcPr>
            <w:tcW w:w="571" w:type="dxa"/>
            <w:vMerge w:val="continue"/>
          </w:tcPr>
          <w:p w14:paraId="0D9543AD">
            <w:pPr>
              <w:rPr>
                <w:b/>
                <w:color w:val="000000" w:themeColor="text1"/>
                <w:sz w:val="18"/>
                <w:szCs w:val="18"/>
                <w14:textFill>
                  <w14:solidFill>
                    <w14:schemeClr w14:val="tx1"/>
                  </w14:solidFill>
                </w14:textFill>
              </w:rPr>
            </w:pPr>
          </w:p>
        </w:tc>
        <w:tc>
          <w:tcPr>
            <w:tcW w:w="1226" w:type="dxa"/>
            <w:vMerge w:val="restart"/>
            <w:vAlign w:val="center"/>
          </w:tcPr>
          <w:p w14:paraId="1D152B69">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图书馆服务</w:t>
            </w:r>
          </w:p>
          <w:p w14:paraId="3DFB8F9C">
            <w:pPr>
              <w:jc w:val="center"/>
              <w:rPr>
                <w:rFonts w:hint="default"/>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方向选修课</w:t>
            </w:r>
          </w:p>
        </w:tc>
        <w:tc>
          <w:tcPr>
            <w:tcW w:w="3516" w:type="dxa"/>
            <w:shd w:val="clear" w:color="auto" w:fill="auto"/>
            <w:vAlign w:val="center"/>
          </w:tcPr>
          <w:p w14:paraId="66BD4BA1">
            <w:pPr>
              <w:adjustRightInd w:val="0"/>
              <w:snapToGrid w:val="0"/>
              <w:rPr>
                <w:rFonts w:hint="default" w:eastAsia="宋体"/>
                <w:iCs/>
                <w:sz w:val="18"/>
                <w:szCs w:val="18"/>
                <w:highlight w:val="none"/>
                <w:lang w:val="en-US" w:eastAsia="zh-CN"/>
              </w:rPr>
            </w:pPr>
            <w:r>
              <w:rPr>
                <w:rFonts w:hint="eastAsia"/>
                <w:iCs/>
                <w:sz w:val="18"/>
                <w:szCs w:val="18"/>
                <w:highlight w:val="none"/>
                <w:lang w:val="en-US" w:eastAsia="zh-CN"/>
              </w:rPr>
              <w:t>阅读推广</w:t>
            </w:r>
          </w:p>
        </w:tc>
        <w:tc>
          <w:tcPr>
            <w:tcW w:w="1081" w:type="dxa"/>
            <w:shd w:val="clear" w:color="auto" w:fill="auto"/>
            <w:vAlign w:val="center"/>
          </w:tcPr>
          <w:p w14:paraId="00FCAB3F">
            <w:pPr>
              <w:jc w:val="center"/>
              <w:rPr>
                <w:rFonts w:hint="default" w:eastAsia="宋体"/>
                <w:sz w:val="18"/>
                <w:szCs w:val="18"/>
                <w:highlight w:val="none"/>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10</w:t>
            </w:r>
          </w:p>
        </w:tc>
        <w:tc>
          <w:tcPr>
            <w:tcW w:w="709" w:type="dxa"/>
            <w:shd w:val="clear" w:color="auto" w:fill="auto"/>
            <w:vAlign w:val="top"/>
          </w:tcPr>
          <w:p w14:paraId="064ED65E">
            <w:pPr>
              <w:jc w:val="center"/>
              <w:rPr>
                <w:rFonts w:hint="default" w:eastAsia="宋体"/>
                <w:i w:val="0"/>
                <w:iCs w:val="0"/>
                <w:sz w:val="18"/>
                <w:szCs w:val="18"/>
                <w:highlight w:val="none"/>
                <w:lang w:val="en-US" w:eastAsia="zh-CN"/>
              </w:rPr>
            </w:pPr>
            <w:r>
              <w:rPr>
                <w:rFonts w:hint="eastAsia"/>
                <w:i w:val="0"/>
                <w:iCs w:val="0"/>
                <w:sz w:val="18"/>
                <w:szCs w:val="18"/>
                <w:highlight w:val="none"/>
                <w:lang w:val="en-US" w:eastAsia="zh-CN"/>
              </w:rPr>
              <w:t>2</w:t>
            </w:r>
          </w:p>
        </w:tc>
        <w:tc>
          <w:tcPr>
            <w:tcW w:w="632" w:type="dxa"/>
            <w:shd w:val="clear" w:color="auto" w:fill="auto"/>
            <w:vAlign w:val="top"/>
          </w:tcPr>
          <w:p w14:paraId="3BAB719A">
            <w:pPr>
              <w:jc w:val="center"/>
              <w:rPr>
                <w:rFonts w:hint="eastAsia" w:eastAsia="宋体"/>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restart"/>
            <w:vAlign w:val="center"/>
          </w:tcPr>
          <w:p w14:paraId="07292B1B">
            <w:pPr>
              <w:adjustRightInd w:val="0"/>
              <w:snapToGrid w:val="0"/>
              <w:jc w:val="center"/>
              <w:rPr>
                <w:color w:val="auto"/>
                <w:sz w:val="18"/>
                <w:szCs w:val="18"/>
              </w:rPr>
            </w:pPr>
            <w:r>
              <w:rPr>
                <w:color w:val="auto"/>
                <w:sz w:val="18"/>
                <w:szCs w:val="18"/>
              </w:rPr>
              <w:t>本方向研究生至少选修</w:t>
            </w:r>
          </w:p>
          <w:p w14:paraId="0A46E2AD">
            <w:pPr>
              <w:jc w:val="center"/>
              <w:rPr>
                <w:color w:val="000000" w:themeColor="text1"/>
                <w:sz w:val="18"/>
                <w:szCs w:val="18"/>
                <w14:textFill>
                  <w14:solidFill>
                    <w14:schemeClr w14:val="tx1"/>
                  </w14:solidFill>
                </w14:textFill>
              </w:rPr>
            </w:pPr>
            <w:r>
              <w:rPr>
                <w:rFonts w:hint="eastAsia"/>
                <w:color w:val="auto"/>
                <w:sz w:val="18"/>
                <w:szCs w:val="18"/>
                <w:lang w:val="en-US" w:eastAsia="zh-CN"/>
              </w:rPr>
              <w:t>5</w:t>
            </w:r>
            <w:r>
              <w:rPr>
                <w:color w:val="auto"/>
                <w:sz w:val="18"/>
                <w:szCs w:val="18"/>
              </w:rPr>
              <w:t>学分</w:t>
            </w:r>
          </w:p>
        </w:tc>
      </w:tr>
      <w:tr w14:paraId="39ED9E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A286D5">
            <w:pPr>
              <w:rPr>
                <w:b/>
                <w:color w:val="000000" w:themeColor="text1"/>
                <w:sz w:val="18"/>
                <w:szCs w:val="18"/>
                <w14:textFill>
                  <w14:solidFill>
                    <w14:schemeClr w14:val="tx1"/>
                  </w14:solidFill>
                </w14:textFill>
              </w:rPr>
            </w:pPr>
          </w:p>
        </w:tc>
        <w:tc>
          <w:tcPr>
            <w:tcW w:w="1226" w:type="dxa"/>
            <w:vMerge w:val="continue"/>
            <w:vAlign w:val="center"/>
          </w:tcPr>
          <w:p w14:paraId="3EBF165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D6B469D">
            <w:pPr>
              <w:adjustRightInd w:val="0"/>
              <w:snapToGrid w:val="0"/>
              <w:rPr>
                <w:rFonts w:hint="default" w:eastAsia="宋体"/>
                <w:iCs/>
                <w:sz w:val="18"/>
                <w:szCs w:val="18"/>
                <w:highlight w:val="none"/>
                <w:lang w:val="en-US" w:eastAsia="zh-CN"/>
              </w:rPr>
            </w:pPr>
            <w:r>
              <w:rPr>
                <w:rFonts w:hint="eastAsia"/>
                <w:iCs/>
                <w:sz w:val="18"/>
                <w:szCs w:val="18"/>
                <w:highlight w:val="none"/>
                <w:lang w:val="en-US" w:eastAsia="zh-CN"/>
              </w:rPr>
              <w:t>信息素养教育</w:t>
            </w:r>
          </w:p>
        </w:tc>
        <w:tc>
          <w:tcPr>
            <w:tcW w:w="1081" w:type="dxa"/>
            <w:shd w:val="clear" w:color="auto" w:fill="auto"/>
            <w:vAlign w:val="center"/>
          </w:tcPr>
          <w:p w14:paraId="7CCE357F">
            <w:pPr>
              <w:jc w:val="center"/>
              <w:rPr>
                <w:rFonts w:hint="eastAsia"/>
                <w:sz w:val="18"/>
                <w:szCs w:val="18"/>
                <w:highlight w:val="none"/>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2120</w:t>
            </w:r>
            <w:r>
              <w:rPr>
                <w:rFonts w:hint="eastAsia"/>
                <w:color w:val="auto"/>
                <w:kern w:val="0"/>
                <w:sz w:val="18"/>
                <w:szCs w:val="18"/>
                <w:highlight w:val="none"/>
                <w:lang w:val="en-US" w:eastAsia="zh-CN"/>
              </w:rPr>
              <w:t>2</w:t>
            </w:r>
          </w:p>
        </w:tc>
        <w:tc>
          <w:tcPr>
            <w:tcW w:w="709" w:type="dxa"/>
            <w:shd w:val="clear" w:color="auto" w:fill="auto"/>
            <w:vAlign w:val="top"/>
          </w:tcPr>
          <w:p w14:paraId="525E57C2">
            <w:pPr>
              <w:jc w:val="center"/>
              <w:rPr>
                <w:rFonts w:hint="eastAsia" w:eastAsia="宋体"/>
                <w:i w:val="0"/>
                <w:iCs w:val="0"/>
                <w:sz w:val="18"/>
                <w:szCs w:val="18"/>
                <w:highlight w:val="none"/>
                <w:lang w:val="en-US" w:eastAsia="zh-CN"/>
              </w:rPr>
            </w:pPr>
            <w:r>
              <w:rPr>
                <w:rFonts w:hint="eastAsia"/>
                <w:i w:val="0"/>
                <w:iCs w:val="0"/>
                <w:sz w:val="18"/>
                <w:szCs w:val="18"/>
                <w:highlight w:val="none"/>
                <w:lang w:val="en-US" w:eastAsia="zh-CN"/>
              </w:rPr>
              <w:t>1</w:t>
            </w:r>
          </w:p>
        </w:tc>
        <w:tc>
          <w:tcPr>
            <w:tcW w:w="632" w:type="dxa"/>
            <w:shd w:val="clear" w:color="auto" w:fill="auto"/>
            <w:vAlign w:val="top"/>
          </w:tcPr>
          <w:p w14:paraId="6E5C6F1B">
            <w:pPr>
              <w:jc w:val="center"/>
              <w:rPr>
                <w:rFonts w:hint="eastAsia" w:eastAsia="宋体"/>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continue"/>
            <w:vAlign w:val="center"/>
          </w:tcPr>
          <w:p w14:paraId="67CB6265">
            <w:pPr>
              <w:jc w:val="center"/>
              <w:rPr>
                <w:color w:val="000000" w:themeColor="text1"/>
                <w:sz w:val="18"/>
                <w:szCs w:val="18"/>
                <w14:textFill>
                  <w14:solidFill>
                    <w14:schemeClr w14:val="tx1"/>
                  </w14:solidFill>
                </w14:textFill>
              </w:rPr>
            </w:pPr>
          </w:p>
        </w:tc>
      </w:tr>
      <w:tr w14:paraId="4979D6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74B5C8">
            <w:pPr>
              <w:rPr>
                <w:b/>
                <w:color w:val="000000" w:themeColor="text1"/>
                <w:sz w:val="18"/>
                <w:szCs w:val="18"/>
                <w14:textFill>
                  <w14:solidFill>
                    <w14:schemeClr w14:val="tx1"/>
                  </w14:solidFill>
                </w14:textFill>
              </w:rPr>
            </w:pPr>
          </w:p>
        </w:tc>
        <w:tc>
          <w:tcPr>
            <w:tcW w:w="1226" w:type="dxa"/>
            <w:vMerge w:val="continue"/>
            <w:vAlign w:val="center"/>
          </w:tcPr>
          <w:p w14:paraId="473264AA">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883891D">
            <w:pPr>
              <w:rPr>
                <w:rFonts w:hint="default"/>
                <w:iCs/>
                <w:sz w:val="18"/>
                <w:szCs w:val="18"/>
                <w:highlight w:val="none"/>
                <w:lang w:val="en-US" w:eastAsia="zh-CN"/>
              </w:rPr>
            </w:pPr>
            <w:r>
              <w:rPr>
                <w:rFonts w:hint="eastAsia"/>
                <w:i w:val="0"/>
                <w:iCs w:val="0"/>
                <w:color w:val="auto"/>
                <w:sz w:val="18"/>
                <w:szCs w:val="18"/>
                <w:lang w:val="en-US" w:eastAsia="zh-CN"/>
              </w:rPr>
              <w:t>文化遗产与地方文献</w:t>
            </w:r>
          </w:p>
        </w:tc>
        <w:tc>
          <w:tcPr>
            <w:tcW w:w="1081" w:type="dxa"/>
            <w:shd w:val="clear" w:color="auto" w:fill="auto"/>
            <w:vAlign w:val="top"/>
          </w:tcPr>
          <w:p w14:paraId="07F6544A">
            <w:pPr>
              <w:jc w:val="center"/>
              <w:rPr>
                <w:rFonts w:hint="default" w:eastAsia="宋体"/>
                <w:color w:val="auto"/>
                <w:sz w:val="18"/>
                <w:szCs w:val="18"/>
                <w:highlight w:val="none"/>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11</w:t>
            </w:r>
          </w:p>
        </w:tc>
        <w:tc>
          <w:tcPr>
            <w:tcW w:w="709" w:type="dxa"/>
            <w:shd w:val="clear" w:color="auto" w:fill="auto"/>
            <w:vAlign w:val="center"/>
          </w:tcPr>
          <w:p w14:paraId="45FA356F">
            <w:pPr>
              <w:jc w:val="center"/>
              <w:rPr>
                <w:rFonts w:hint="default"/>
                <w:i w:val="0"/>
                <w:iCs w:val="0"/>
                <w:sz w:val="18"/>
                <w:szCs w:val="18"/>
                <w:highlight w:val="none"/>
                <w:lang w:val="en-US" w:eastAsia="zh-CN"/>
              </w:rPr>
            </w:pPr>
            <w:r>
              <w:rPr>
                <w:rFonts w:hint="eastAsia"/>
                <w:i w:val="0"/>
                <w:iCs w:val="0"/>
                <w:color w:val="auto"/>
                <w:sz w:val="18"/>
                <w:szCs w:val="18"/>
                <w:lang w:val="en-US" w:eastAsia="zh-CN"/>
              </w:rPr>
              <w:t>1</w:t>
            </w:r>
          </w:p>
        </w:tc>
        <w:tc>
          <w:tcPr>
            <w:tcW w:w="632" w:type="dxa"/>
            <w:shd w:val="clear" w:color="auto" w:fill="auto"/>
            <w:vAlign w:val="center"/>
          </w:tcPr>
          <w:p w14:paraId="2E694101">
            <w:pPr>
              <w:jc w:val="center"/>
              <w:rPr>
                <w:rFonts w:hint="default"/>
                <w:i w:val="0"/>
                <w:iCs w:val="0"/>
                <w:sz w:val="18"/>
                <w:szCs w:val="18"/>
                <w:highlight w:val="none"/>
                <w:lang w:val="en-US" w:eastAsia="zh-CN"/>
              </w:rPr>
            </w:pPr>
            <w:r>
              <w:rPr>
                <w:rFonts w:hint="eastAsia"/>
                <w:i w:val="0"/>
                <w:iCs w:val="0"/>
                <w:color w:val="auto"/>
                <w:sz w:val="18"/>
                <w:szCs w:val="18"/>
                <w:lang w:val="en-US" w:eastAsia="zh-CN"/>
              </w:rPr>
              <w:t>2</w:t>
            </w:r>
          </w:p>
        </w:tc>
        <w:tc>
          <w:tcPr>
            <w:tcW w:w="1122" w:type="dxa"/>
            <w:vMerge w:val="continue"/>
            <w:vAlign w:val="center"/>
          </w:tcPr>
          <w:p w14:paraId="13006FB7">
            <w:pPr>
              <w:jc w:val="center"/>
              <w:rPr>
                <w:color w:val="000000" w:themeColor="text1"/>
                <w:sz w:val="18"/>
                <w:szCs w:val="18"/>
                <w14:textFill>
                  <w14:solidFill>
                    <w14:schemeClr w14:val="tx1"/>
                  </w14:solidFill>
                </w14:textFill>
              </w:rPr>
            </w:pPr>
          </w:p>
        </w:tc>
      </w:tr>
      <w:tr w14:paraId="39959D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4C5DBF">
            <w:pPr>
              <w:rPr>
                <w:b/>
                <w:color w:val="000000" w:themeColor="text1"/>
                <w:sz w:val="18"/>
                <w:szCs w:val="18"/>
                <w14:textFill>
                  <w14:solidFill>
                    <w14:schemeClr w14:val="tx1"/>
                  </w14:solidFill>
                </w14:textFill>
              </w:rPr>
            </w:pPr>
          </w:p>
        </w:tc>
        <w:tc>
          <w:tcPr>
            <w:tcW w:w="1226" w:type="dxa"/>
            <w:vMerge w:val="continue"/>
            <w:vAlign w:val="center"/>
          </w:tcPr>
          <w:p w14:paraId="59B6D1C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D51AE76">
            <w:pPr>
              <w:adjustRightInd w:val="0"/>
              <w:snapToGrid w:val="0"/>
              <w:rPr>
                <w:rFonts w:hint="default"/>
                <w:iCs/>
                <w:sz w:val="18"/>
                <w:szCs w:val="18"/>
                <w:highlight w:val="none"/>
                <w:lang w:val="en-US" w:eastAsia="zh-CN"/>
              </w:rPr>
            </w:pPr>
            <w:r>
              <w:rPr>
                <w:rFonts w:hint="eastAsia"/>
                <w:iCs/>
                <w:sz w:val="18"/>
                <w:szCs w:val="18"/>
                <w:highlight w:val="none"/>
                <w:lang w:val="en-US" w:eastAsia="zh-CN"/>
              </w:rPr>
              <w:t>数智赋能图书馆统计与评价专题</w:t>
            </w:r>
          </w:p>
        </w:tc>
        <w:tc>
          <w:tcPr>
            <w:tcW w:w="1081" w:type="dxa"/>
            <w:shd w:val="clear" w:color="auto" w:fill="auto"/>
            <w:vAlign w:val="top"/>
          </w:tcPr>
          <w:p w14:paraId="06D60E3C">
            <w:pPr>
              <w:jc w:val="center"/>
              <w:rPr>
                <w:rFonts w:hint="default" w:eastAsia="宋体"/>
                <w:color w:val="auto"/>
                <w:sz w:val="18"/>
                <w:szCs w:val="18"/>
                <w:highlight w:val="none"/>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12</w:t>
            </w:r>
          </w:p>
        </w:tc>
        <w:tc>
          <w:tcPr>
            <w:tcW w:w="709" w:type="dxa"/>
            <w:shd w:val="clear" w:color="auto" w:fill="auto"/>
            <w:vAlign w:val="top"/>
          </w:tcPr>
          <w:p w14:paraId="2EF7BC49">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1</w:t>
            </w:r>
          </w:p>
        </w:tc>
        <w:tc>
          <w:tcPr>
            <w:tcW w:w="632" w:type="dxa"/>
            <w:shd w:val="clear" w:color="auto" w:fill="auto"/>
            <w:vAlign w:val="top"/>
          </w:tcPr>
          <w:p w14:paraId="71B1CD6E">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continue"/>
            <w:vAlign w:val="center"/>
          </w:tcPr>
          <w:p w14:paraId="3EB1471D">
            <w:pPr>
              <w:jc w:val="center"/>
              <w:rPr>
                <w:color w:val="000000" w:themeColor="text1"/>
                <w:sz w:val="18"/>
                <w:szCs w:val="18"/>
                <w14:textFill>
                  <w14:solidFill>
                    <w14:schemeClr w14:val="tx1"/>
                  </w14:solidFill>
                </w14:textFill>
              </w:rPr>
            </w:pPr>
          </w:p>
        </w:tc>
      </w:tr>
      <w:tr w14:paraId="780D2F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8DA85C">
            <w:pPr>
              <w:rPr>
                <w:b/>
                <w:color w:val="000000" w:themeColor="text1"/>
                <w:sz w:val="18"/>
                <w:szCs w:val="18"/>
                <w14:textFill>
                  <w14:solidFill>
                    <w14:schemeClr w14:val="tx1"/>
                  </w14:solidFill>
                </w14:textFill>
              </w:rPr>
            </w:pPr>
          </w:p>
        </w:tc>
        <w:tc>
          <w:tcPr>
            <w:tcW w:w="1226" w:type="dxa"/>
            <w:vMerge w:val="continue"/>
            <w:vAlign w:val="center"/>
          </w:tcPr>
          <w:p w14:paraId="3AB05CF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4B84A8D">
            <w:pPr>
              <w:adjustRightInd w:val="0"/>
              <w:snapToGrid w:val="0"/>
              <w:rPr>
                <w:rFonts w:hint="default"/>
                <w:iCs/>
                <w:sz w:val="18"/>
                <w:szCs w:val="18"/>
                <w:highlight w:val="none"/>
                <w:lang w:val="en-US" w:eastAsia="zh-CN"/>
              </w:rPr>
            </w:pPr>
            <w:r>
              <w:rPr>
                <w:rFonts w:hint="eastAsia"/>
                <w:iCs/>
                <w:sz w:val="18"/>
                <w:szCs w:val="18"/>
                <w:highlight w:val="none"/>
                <w:lang w:val="en-US" w:eastAsia="zh-CN"/>
              </w:rPr>
              <w:t>图书馆技术专题</w:t>
            </w:r>
          </w:p>
        </w:tc>
        <w:tc>
          <w:tcPr>
            <w:tcW w:w="1081" w:type="dxa"/>
            <w:shd w:val="clear" w:color="auto" w:fill="auto"/>
            <w:vAlign w:val="center"/>
          </w:tcPr>
          <w:p w14:paraId="5E5E8FBA">
            <w:pPr>
              <w:jc w:val="center"/>
              <w:rPr>
                <w:rFonts w:hint="default"/>
                <w:color w:val="auto"/>
                <w:sz w:val="18"/>
                <w:szCs w:val="18"/>
                <w:highlight w:val="none"/>
                <w:lang w:val="en-US"/>
              </w:rPr>
            </w:pPr>
            <w:r>
              <w:rPr>
                <w:rFonts w:hint="eastAsia"/>
                <w:color w:val="auto"/>
                <w:sz w:val="18"/>
                <w:szCs w:val="18"/>
                <w:highlight w:val="none"/>
                <w:lang w:val="en-US" w:eastAsia="zh-CN"/>
              </w:rPr>
              <w:t>XS0421207</w:t>
            </w:r>
          </w:p>
        </w:tc>
        <w:tc>
          <w:tcPr>
            <w:tcW w:w="709" w:type="dxa"/>
            <w:shd w:val="clear" w:color="auto" w:fill="auto"/>
            <w:vAlign w:val="top"/>
          </w:tcPr>
          <w:p w14:paraId="48E00599">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1</w:t>
            </w:r>
          </w:p>
        </w:tc>
        <w:tc>
          <w:tcPr>
            <w:tcW w:w="632" w:type="dxa"/>
            <w:shd w:val="clear" w:color="auto" w:fill="auto"/>
            <w:vAlign w:val="top"/>
          </w:tcPr>
          <w:p w14:paraId="429B56E5">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continue"/>
            <w:vAlign w:val="center"/>
          </w:tcPr>
          <w:p w14:paraId="38E3A11E">
            <w:pPr>
              <w:jc w:val="center"/>
              <w:rPr>
                <w:color w:val="000000" w:themeColor="text1"/>
                <w:sz w:val="18"/>
                <w:szCs w:val="18"/>
                <w14:textFill>
                  <w14:solidFill>
                    <w14:schemeClr w14:val="tx1"/>
                  </w14:solidFill>
                </w14:textFill>
              </w:rPr>
            </w:pPr>
          </w:p>
        </w:tc>
      </w:tr>
      <w:tr w14:paraId="56D3A0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2" w:hRule="atLeast"/>
          <w:jc w:val="center"/>
        </w:trPr>
        <w:tc>
          <w:tcPr>
            <w:tcW w:w="571" w:type="dxa"/>
            <w:vMerge w:val="continue"/>
          </w:tcPr>
          <w:p w14:paraId="2EA39E8D">
            <w:pPr>
              <w:rPr>
                <w:b/>
                <w:color w:val="000000" w:themeColor="text1"/>
                <w:sz w:val="18"/>
                <w:szCs w:val="18"/>
                <w14:textFill>
                  <w14:solidFill>
                    <w14:schemeClr w14:val="tx1"/>
                  </w14:solidFill>
                </w14:textFill>
              </w:rPr>
            </w:pPr>
          </w:p>
        </w:tc>
        <w:tc>
          <w:tcPr>
            <w:tcW w:w="1226" w:type="dxa"/>
            <w:vMerge w:val="restart"/>
            <w:vAlign w:val="center"/>
          </w:tcPr>
          <w:p w14:paraId="3B01D3D5">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图书馆管理</w:t>
            </w:r>
          </w:p>
          <w:p w14:paraId="4CE8DBEF">
            <w:pPr>
              <w:jc w:val="center"/>
              <w:rPr>
                <w:rFonts w:hint="default"/>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方向选修课</w:t>
            </w:r>
          </w:p>
        </w:tc>
        <w:tc>
          <w:tcPr>
            <w:tcW w:w="3516" w:type="dxa"/>
            <w:shd w:val="clear" w:color="auto" w:fill="auto"/>
            <w:vAlign w:val="center"/>
          </w:tcPr>
          <w:p w14:paraId="6E4F06EA">
            <w:pPr>
              <w:adjustRightInd w:val="0"/>
              <w:snapToGrid w:val="0"/>
              <w:rPr>
                <w:rFonts w:hint="default"/>
                <w:iCs/>
                <w:sz w:val="18"/>
                <w:szCs w:val="18"/>
                <w:highlight w:val="none"/>
                <w:lang w:val="en-US" w:eastAsia="zh-CN"/>
              </w:rPr>
            </w:pPr>
            <w:r>
              <w:rPr>
                <w:rFonts w:hint="eastAsia"/>
                <w:iCs/>
                <w:sz w:val="18"/>
                <w:szCs w:val="18"/>
                <w:highlight w:val="none"/>
                <w:lang w:val="en-US" w:eastAsia="zh-CN"/>
              </w:rPr>
              <w:t>图书馆管理理论与实践</w:t>
            </w:r>
          </w:p>
        </w:tc>
        <w:tc>
          <w:tcPr>
            <w:tcW w:w="1081" w:type="dxa"/>
            <w:shd w:val="clear" w:color="auto" w:fill="auto"/>
            <w:vAlign w:val="top"/>
          </w:tcPr>
          <w:p w14:paraId="014A0933">
            <w:pPr>
              <w:jc w:val="center"/>
              <w:rPr>
                <w:rFonts w:hint="default" w:eastAsia="宋体"/>
                <w:sz w:val="18"/>
                <w:szCs w:val="18"/>
                <w:highlight w:val="none"/>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13</w:t>
            </w:r>
          </w:p>
        </w:tc>
        <w:tc>
          <w:tcPr>
            <w:tcW w:w="709" w:type="dxa"/>
            <w:shd w:val="clear" w:color="auto" w:fill="auto"/>
            <w:vAlign w:val="top"/>
          </w:tcPr>
          <w:p w14:paraId="5E23FE95">
            <w:pPr>
              <w:jc w:val="center"/>
              <w:rPr>
                <w:rFonts w:hint="eastAsia" w:eastAsia="宋体"/>
                <w:i w:val="0"/>
                <w:iCs w:val="0"/>
                <w:sz w:val="18"/>
                <w:szCs w:val="18"/>
                <w:highlight w:val="none"/>
                <w:lang w:val="en-US" w:eastAsia="zh-CN"/>
              </w:rPr>
            </w:pPr>
            <w:r>
              <w:rPr>
                <w:rFonts w:hint="eastAsia"/>
                <w:i w:val="0"/>
                <w:iCs w:val="0"/>
                <w:sz w:val="18"/>
                <w:szCs w:val="18"/>
                <w:highlight w:val="none"/>
                <w:lang w:val="en-US" w:eastAsia="zh-CN"/>
              </w:rPr>
              <w:t>1</w:t>
            </w:r>
          </w:p>
        </w:tc>
        <w:tc>
          <w:tcPr>
            <w:tcW w:w="632" w:type="dxa"/>
            <w:shd w:val="clear" w:color="auto" w:fill="auto"/>
            <w:vAlign w:val="top"/>
          </w:tcPr>
          <w:p w14:paraId="6089838A">
            <w:pPr>
              <w:jc w:val="center"/>
              <w:rPr>
                <w:rFonts w:hint="eastAsia" w:eastAsia="宋体"/>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restart"/>
            <w:vAlign w:val="center"/>
          </w:tcPr>
          <w:p w14:paraId="3B61268F">
            <w:pPr>
              <w:adjustRightInd w:val="0"/>
              <w:snapToGrid w:val="0"/>
              <w:jc w:val="center"/>
              <w:rPr>
                <w:color w:val="auto"/>
                <w:sz w:val="18"/>
                <w:szCs w:val="18"/>
              </w:rPr>
            </w:pPr>
            <w:r>
              <w:rPr>
                <w:color w:val="auto"/>
                <w:sz w:val="18"/>
                <w:szCs w:val="18"/>
              </w:rPr>
              <w:t>本方向研究生至少选修</w:t>
            </w:r>
          </w:p>
          <w:p w14:paraId="0867672E">
            <w:pPr>
              <w:jc w:val="center"/>
              <w:rPr>
                <w:color w:val="000000" w:themeColor="text1"/>
                <w:sz w:val="18"/>
                <w:szCs w:val="18"/>
                <w14:textFill>
                  <w14:solidFill>
                    <w14:schemeClr w14:val="tx1"/>
                  </w14:solidFill>
                </w14:textFill>
              </w:rPr>
            </w:pPr>
            <w:r>
              <w:rPr>
                <w:rFonts w:hint="eastAsia"/>
                <w:color w:val="auto"/>
                <w:sz w:val="18"/>
                <w:szCs w:val="18"/>
                <w:lang w:val="en-US" w:eastAsia="zh-CN"/>
              </w:rPr>
              <w:t>5</w:t>
            </w:r>
            <w:r>
              <w:rPr>
                <w:color w:val="auto"/>
                <w:sz w:val="18"/>
                <w:szCs w:val="18"/>
              </w:rPr>
              <w:t>学分</w:t>
            </w:r>
          </w:p>
        </w:tc>
      </w:tr>
      <w:tr w14:paraId="1BB427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3309FC0">
            <w:pPr>
              <w:rPr>
                <w:b/>
                <w:color w:val="000000" w:themeColor="text1"/>
                <w:sz w:val="18"/>
                <w:szCs w:val="18"/>
                <w14:textFill>
                  <w14:solidFill>
                    <w14:schemeClr w14:val="tx1"/>
                  </w14:solidFill>
                </w14:textFill>
              </w:rPr>
            </w:pPr>
          </w:p>
        </w:tc>
        <w:tc>
          <w:tcPr>
            <w:tcW w:w="1226" w:type="dxa"/>
            <w:vMerge w:val="continue"/>
            <w:vAlign w:val="center"/>
          </w:tcPr>
          <w:p w14:paraId="35D5EDB2">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9D0E57A">
            <w:pPr>
              <w:adjustRightInd w:val="0"/>
              <w:snapToGrid w:val="0"/>
              <w:rPr>
                <w:rFonts w:hint="default"/>
                <w:iCs/>
                <w:sz w:val="18"/>
                <w:szCs w:val="18"/>
                <w:highlight w:val="none"/>
                <w:lang w:val="en-US" w:eastAsia="zh-CN"/>
              </w:rPr>
            </w:pPr>
            <w:r>
              <w:rPr>
                <w:rFonts w:hint="eastAsia"/>
                <w:iCs/>
                <w:sz w:val="18"/>
                <w:szCs w:val="18"/>
                <w:highlight w:val="none"/>
                <w:lang w:val="en-US" w:eastAsia="zh-CN"/>
              </w:rPr>
              <w:t>数智赋能图书馆统计与评价专题</w:t>
            </w:r>
          </w:p>
        </w:tc>
        <w:tc>
          <w:tcPr>
            <w:tcW w:w="1081" w:type="dxa"/>
            <w:shd w:val="clear" w:color="auto" w:fill="auto"/>
            <w:vAlign w:val="top"/>
          </w:tcPr>
          <w:p w14:paraId="20844ECD">
            <w:pPr>
              <w:jc w:val="center"/>
              <w:rPr>
                <w:rFonts w:hint="default" w:eastAsia="宋体"/>
                <w:sz w:val="18"/>
                <w:szCs w:val="18"/>
                <w:highlight w:val="none"/>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12</w:t>
            </w:r>
          </w:p>
        </w:tc>
        <w:tc>
          <w:tcPr>
            <w:tcW w:w="709" w:type="dxa"/>
            <w:shd w:val="clear" w:color="auto" w:fill="auto"/>
            <w:vAlign w:val="top"/>
          </w:tcPr>
          <w:p w14:paraId="323D9B1E">
            <w:pPr>
              <w:jc w:val="center"/>
              <w:rPr>
                <w:rFonts w:hint="default" w:eastAsia="宋体"/>
                <w:i w:val="0"/>
                <w:iCs w:val="0"/>
                <w:sz w:val="18"/>
                <w:szCs w:val="18"/>
                <w:highlight w:val="none"/>
                <w:lang w:val="en-US" w:eastAsia="zh-CN"/>
              </w:rPr>
            </w:pPr>
            <w:r>
              <w:rPr>
                <w:rFonts w:hint="eastAsia"/>
                <w:i w:val="0"/>
                <w:iCs w:val="0"/>
                <w:sz w:val="18"/>
                <w:szCs w:val="18"/>
                <w:highlight w:val="none"/>
                <w:lang w:val="en-US" w:eastAsia="zh-CN"/>
              </w:rPr>
              <w:t>1</w:t>
            </w:r>
          </w:p>
        </w:tc>
        <w:tc>
          <w:tcPr>
            <w:tcW w:w="632" w:type="dxa"/>
            <w:shd w:val="clear" w:color="auto" w:fill="auto"/>
            <w:vAlign w:val="top"/>
          </w:tcPr>
          <w:p w14:paraId="7014145B">
            <w:pPr>
              <w:jc w:val="center"/>
              <w:rPr>
                <w:rFonts w:hint="eastAsia" w:eastAsia="宋体"/>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continue"/>
            <w:vAlign w:val="center"/>
          </w:tcPr>
          <w:p w14:paraId="2ABCEF46">
            <w:pPr>
              <w:jc w:val="center"/>
              <w:rPr>
                <w:color w:val="000000" w:themeColor="text1"/>
                <w:sz w:val="18"/>
                <w:szCs w:val="18"/>
                <w14:textFill>
                  <w14:solidFill>
                    <w14:schemeClr w14:val="tx1"/>
                  </w14:solidFill>
                </w14:textFill>
              </w:rPr>
            </w:pPr>
          </w:p>
        </w:tc>
      </w:tr>
      <w:tr w14:paraId="2F0BF5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9A090B">
            <w:pPr>
              <w:rPr>
                <w:b/>
                <w:color w:val="000000" w:themeColor="text1"/>
                <w:sz w:val="18"/>
                <w:szCs w:val="18"/>
                <w14:textFill>
                  <w14:solidFill>
                    <w14:schemeClr w14:val="tx1"/>
                  </w14:solidFill>
                </w14:textFill>
              </w:rPr>
            </w:pPr>
          </w:p>
        </w:tc>
        <w:tc>
          <w:tcPr>
            <w:tcW w:w="1226" w:type="dxa"/>
            <w:vMerge w:val="continue"/>
            <w:vAlign w:val="center"/>
          </w:tcPr>
          <w:p w14:paraId="2DEF539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48AF998">
            <w:pPr>
              <w:adjustRightInd w:val="0"/>
              <w:snapToGrid w:val="0"/>
              <w:rPr>
                <w:rFonts w:hint="default"/>
                <w:iCs/>
                <w:sz w:val="18"/>
                <w:szCs w:val="18"/>
                <w:highlight w:val="none"/>
                <w:lang w:val="en-US" w:eastAsia="zh-CN"/>
              </w:rPr>
            </w:pPr>
            <w:r>
              <w:rPr>
                <w:rFonts w:hint="eastAsia"/>
                <w:iCs/>
                <w:sz w:val="18"/>
                <w:szCs w:val="18"/>
                <w:highlight w:val="none"/>
                <w:lang w:val="en-US" w:eastAsia="zh-CN"/>
              </w:rPr>
              <w:t>图书馆技术专题</w:t>
            </w:r>
          </w:p>
        </w:tc>
        <w:tc>
          <w:tcPr>
            <w:tcW w:w="1081" w:type="dxa"/>
            <w:shd w:val="clear" w:color="auto" w:fill="auto"/>
            <w:vAlign w:val="top"/>
          </w:tcPr>
          <w:p w14:paraId="7E17F477">
            <w:pPr>
              <w:jc w:val="center"/>
              <w:rPr>
                <w:rFonts w:hint="eastAsia"/>
                <w:color w:val="auto"/>
                <w:sz w:val="18"/>
                <w:szCs w:val="18"/>
                <w:highlight w:val="none"/>
              </w:rPr>
            </w:pPr>
            <w:r>
              <w:rPr>
                <w:rFonts w:hint="eastAsia"/>
                <w:color w:val="auto"/>
                <w:sz w:val="18"/>
                <w:szCs w:val="18"/>
                <w:highlight w:val="none"/>
                <w:lang w:val="en-US" w:eastAsia="zh-CN"/>
              </w:rPr>
              <w:t>XS0421205</w:t>
            </w:r>
          </w:p>
        </w:tc>
        <w:tc>
          <w:tcPr>
            <w:tcW w:w="709" w:type="dxa"/>
            <w:shd w:val="clear" w:color="auto" w:fill="auto"/>
            <w:vAlign w:val="top"/>
          </w:tcPr>
          <w:p w14:paraId="3C9F1342">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1</w:t>
            </w:r>
          </w:p>
        </w:tc>
        <w:tc>
          <w:tcPr>
            <w:tcW w:w="632" w:type="dxa"/>
            <w:shd w:val="clear" w:color="auto" w:fill="auto"/>
            <w:vAlign w:val="top"/>
          </w:tcPr>
          <w:p w14:paraId="47AA35B9">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continue"/>
            <w:vAlign w:val="center"/>
          </w:tcPr>
          <w:p w14:paraId="6FEFE724">
            <w:pPr>
              <w:jc w:val="center"/>
              <w:rPr>
                <w:color w:val="000000" w:themeColor="text1"/>
                <w:sz w:val="18"/>
                <w:szCs w:val="18"/>
                <w14:textFill>
                  <w14:solidFill>
                    <w14:schemeClr w14:val="tx1"/>
                  </w14:solidFill>
                </w14:textFill>
              </w:rPr>
            </w:pPr>
          </w:p>
        </w:tc>
      </w:tr>
      <w:tr w14:paraId="26D72E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CA2F76">
            <w:pPr>
              <w:rPr>
                <w:b/>
                <w:color w:val="000000" w:themeColor="text1"/>
                <w:sz w:val="18"/>
                <w:szCs w:val="18"/>
                <w14:textFill>
                  <w14:solidFill>
                    <w14:schemeClr w14:val="tx1"/>
                  </w14:solidFill>
                </w14:textFill>
              </w:rPr>
            </w:pPr>
          </w:p>
        </w:tc>
        <w:tc>
          <w:tcPr>
            <w:tcW w:w="1226" w:type="dxa"/>
            <w:vMerge w:val="continue"/>
            <w:vAlign w:val="center"/>
          </w:tcPr>
          <w:p w14:paraId="1496BAC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AECAF9A">
            <w:pPr>
              <w:adjustRightInd w:val="0"/>
              <w:snapToGrid w:val="0"/>
              <w:rPr>
                <w:rFonts w:hint="default"/>
                <w:iCs/>
                <w:sz w:val="18"/>
                <w:szCs w:val="18"/>
                <w:highlight w:val="none"/>
                <w:lang w:val="en-US" w:eastAsia="zh-CN"/>
              </w:rPr>
            </w:pPr>
            <w:r>
              <w:rPr>
                <w:rFonts w:hint="eastAsia"/>
                <w:iCs/>
                <w:sz w:val="18"/>
                <w:szCs w:val="18"/>
                <w:highlight w:val="none"/>
                <w:lang w:val="en-US" w:eastAsia="zh-CN"/>
              </w:rPr>
              <w:t>阅读推广</w:t>
            </w:r>
          </w:p>
        </w:tc>
        <w:tc>
          <w:tcPr>
            <w:tcW w:w="1081" w:type="dxa"/>
            <w:shd w:val="clear" w:color="auto" w:fill="auto"/>
            <w:vAlign w:val="top"/>
          </w:tcPr>
          <w:p w14:paraId="14879CC0">
            <w:pPr>
              <w:jc w:val="center"/>
              <w:rPr>
                <w:rFonts w:hint="default" w:eastAsia="宋体"/>
                <w:color w:val="auto"/>
                <w:sz w:val="18"/>
                <w:szCs w:val="18"/>
                <w:highlight w:val="none"/>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10</w:t>
            </w:r>
          </w:p>
        </w:tc>
        <w:tc>
          <w:tcPr>
            <w:tcW w:w="709" w:type="dxa"/>
            <w:shd w:val="clear" w:color="auto" w:fill="auto"/>
            <w:vAlign w:val="top"/>
          </w:tcPr>
          <w:p w14:paraId="191E4054">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2</w:t>
            </w:r>
          </w:p>
        </w:tc>
        <w:tc>
          <w:tcPr>
            <w:tcW w:w="632" w:type="dxa"/>
            <w:shd w:val="clear" w:color="auto" w:fill="auto"/>
            <w:vAlign w:val="top"/>
          </w:tcPr>
          <w:p w14:paraId="5B06CF1C">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continue"/>
            <w:vAlign w:val="center"/>
          </w:tcPr>
          <w:p w14:paraId="712421B3">
            <w:pPr>
              <w:jc w:val="center"/>
              <w:rPr>
                <w:color w:val="000000" w:themeColor="text1"/>
                <w:sz w:val="18"/>
                <w:szCs w:val="18"/>
                <w14:textFill>
                  <w14:solidFill>
                    <w14:schemeClr w14:val="tx1"/>
                  </w14:solidFill>
                </w14:textFill>
              </w:rPr>
            </w:pPr>
          </w:p>
        </w:tc>
      </w:tr>
      <w:tr w14:paraId="0F9545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59241D">
            <w:pPr>
              <w:rPr>
                <w:b/>
                <w:color w:val="000000" w:themeColor="text1"/>
                <w:sz w:val="18"/>
                <w:szCs w:val="18"/>
                <w14:textFill>
                  <w14:solidFill>
                    <w14:schemeClr w14:val="tx1"/>
                  </w14:solidFill>
                </w14:textFill>
              </w:rPr>
            </w:pPr>
          </w:p>
        </w:tc>
        <w:tc>
          <w:tcPr>
            <w:tcW w:w="1226" w:type="dxa"/>
            <w:vMerge w:val="continue"/>
            <w:vAlign w:val="center"/>
          </w:tcPr>
          <w:p w14:paraId="7028725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3C62C87">
            <w:pPr>
              <w:adjustRightInd w:val="0"/>
              <w:snapToGrid w:val="0"/>
              <w:rPr>
                <w:rFonts w:hint="default"/>
                <w:iCs/>
                <w:sz w:val="18"/>
                <w:szCs w:val="18"/>
                <w:highlight w:val="none"/>
                <w:lang w:val="en-US" w:eastAsia="zh-CN"/>
              </w:rPr>
            </w:pPr>
            <w:r>
              <w:rPr>
                <w:rFonts w:hint="eastAsia"/>
                <w:iCs/>
                <w:sz w:val="18"/>
                <w:szCs w:val="18"/>
                <w:highlight w:val="none"/>
                <w:lang w:val="en-US" w:eastAsia="zh-CN"/>
              </w:rPr>
              <w:t>信息素养教育</w:t>
            </w:r>
          </w:p>
        </w:tc>
        <w:tc>
          <w:tcPr>
            <w:tcW w:w="1081" w:type="dxa"/>
            <w:shd w:val="clear" w:color="auto" w:fill="auto"/>
            <w:vAlign w:val="top"/>
          </w:tcPr>
          <w:p w14:paraId="7ACDF4B5">
            <w:pPr>
              <w:jc w:val="center"/>
              <w:rPr>
                <w:rFonts w:hint="eastAsia"/>
                <w:color w:val="auto"/>
                <w:sz w:val="18"/>
                <w:szCs w:val="18"/>
                <w:highlight w:val="none"/>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2120</w:t>
            </w:r>
            <w:r>
              <w:rPr>
                <w:rFonts w:hint="eastAsia"/>
                <w:color w:val="auto"/>
                <w:kern w:val="0"/>
                <w:sz w:val="18"/>
                <w:szCs w:val="18"/>
                <w:highlight w:val="none"/>
                <w:lang w:val="en-US" w:eastAsia="zh-CN"/>
              </w:rPr>
              <w:t>2</w:t>
            </w:r>
          </w:p>
        </w:tc>
        <w:tc>
          <w:tcPr>
            <w:tcW w:w="709" w:type="dxa"/>
            <w:shd w:val="clear" w:color="auto" w:fill="auto"/>
            <w:vAlign w:val="top"/>
          </w:tcPr>
          <w:p w14:paraId="7DC5A153">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1</w:t>
            </w:r>
          </w:p>
        </w:tc>
        <w:tc>
          <w:tcPr>
            <w:tcW w:w="632" w:type="dxa"/>
            <w:shd w:val="clear" w:color="auto" w:fill="auto"/>
            <w:vAlign w:val="top"/>
          </w:tcPr>
          <w:p w14:paraId="075F2BDF">
            <w:pPr>
              <w:jc w:val="center"/>
              <w:rPr>
                <w:rFonts w:hint="default"/>
                <w:i w:val="0"/>
                <w:iCs w:val="0"/>
                <w:sz w:val="18"/>
                <w:szCs w:val="18"/>
                <w:highlight w:val="none"/>
                <w:lang w:val="en-US" w:eastAsia="zh-CN"/>
              </w:rPr>
            </w:pPr>
            <w:r>
              <w:rPr>
                <w:rFonts w:hint="eastAsia"/>
                <w:i w:val="0"/>
                <w:iCs w:val="0"/>
                <w:sz w:val="18"/>
                <w:szCs w:val="18"/>
                <w:highlight w:val="none"/>
                <w:lang w:val="en-US" w:eastAsia="zh-CN"/>
              </w:rPr>
              <w:t>2</w:t>
            </w:r>
          </w:p>
        </w:tc>
        <w:tc>
          <w:tcPr>
            <w:tcW w:w="1122" w:type="dxa"/>
            <w:vMerge w:val="continue"/>
            <w:vAlign w:val="center"/>
          </w:tcPr>
          <w:p w14:paraId="779EC08D">
            <w:pPr>
              <w:jc w:val="center"/>
              <w:rPr>
                <w:color w:val="000000" w:themeColor="text1"/>
                <w:sz w:val="18"/>
                <w:szCs w:val="18"/>
                <w14:textFill>
                  <w14:solidFill>
                    <w14:schemeClr w14:val="tx1"/>
                  </w14:solidFill>
                </w14:textFill>
              </w:rPr>
            </w:pPr>
          </w:p>
        </w:tc>
      </w:tr>
      <w:tr w14:paraId="516BC0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2" w:hRule="atLeast"/>
          <w:jc w:val="center"/>
        </w:trPr>
        <w:tc>
          <w:tcPr>
            <w:tcW w:w="571" w:type="dxa"/>
            <w:vMerge w:val="continue"/>
          </w:tcPr>
          <w:p w14:paraId="50CAA901">
            <w:pPr>
              <w:rPr>
                <w:b/>
                <w:color w:val="000000" w:themeColor="text1"/>
                <w:sz w:val="18"/>
                <w:szCs w:val="18"/>
                <w14:textFill>
                  <w14:solidFill>
                    <w14:schemeClr w14:val="tx1"/>
                  </w14:solidFill>
                </w14:textFill>
              </w:rPr>
            </w:pPr>
          </w:p>
        </w:tc>
        <w:tc>
          <w:tcPr>
            <w:tcW w:w="1226" w:type="dxa"/>
            <w:vMerge w:val="restart"/>
            <w:vAlign w:val="center"/>
          </w:tcPr>
          <w:p w14:paraId="079E8F79">
            <w:pPr>
              <w:adjustRightInd w:val="0"/>
              <w:snapToGrid w:val="0"/>
              <w:jc w:val="center"/>
              <w:rPr>
                <w:rFonts w:hint="eastAsia"/>
                <w:b/>
                <w:i w:val="0"/>
                <w:iCs w:val="0"/>
                <w:color w:val="auto"/>
                <w:sz w:val="18"/>
                <w:szCs w:val="18"/>
                <w:lang w:val="en-US" w:eastAsia="zh-CN"/>
              </w:rPr>
            </w:pPr>
            <w:r>
              <w:rPr>
                <w:rFonts w:hint="eastAsia"/>
                <w:b/>
                <w:i w:val="0"/>
                <w:iCs w:val="0"/>
                <w:color w:val="auto"/>
                <w:sz w:val="18"/>
                <w:szCs w:val="18"/>
                <w:lang w:val="en-US" w:eastAsia="zh-CN"/>
              </w:rPr>
              <w:t>公共文化服务方向</w:t>
            </w:r>
          </w:p>
          <w:p w14:paraId="46946BFB">
            <w:pPr>
              <w:adjustRightInd w:val="0"/>
              <w:snapToGrid w:val="0"/>
              <w:jc w:val="center"/>
              <w:rPr>
                <w:b/>
                <w:i w:val="0"/>
                <w:iCs w:val="0"/>
                <w:color w:val="auto"/>
                <w:sz w:val="18"/>
                <w:szCs w:val="18"/>
              </w:rPr>
            </w:pPr>
            <w:r>
              <w:rPr>
                <w:b/>
                <w:i w:val="0"/>
                <w:iCs w:val="0"/>
                <w:color w:val="auto"/>
                <w:sz w:val="18"/>
                <w:szCs w:val="18"/>
              </w:rPr>
              <w:t>选修课</w:t>
            </w:r>
          </w:p>
          <w:p w14:paraId="75544872">
            <w:pPr>
              <w:adjustRightInd w:val="0"/>
              <w:snapToGrid w:val="0"/>
              <w:jc w:val="center"/>
              <w:rPr>
                <w:b/>
                <w:i w:val="0"/>
                <w:iCs w:val="0"/>
                <w:color w:val="auto"/>
                <w:sz w:val="18"/>
                <w:szCs w:val="18"/>
              </w:rPr>
            </w:pPr>
          </w:p>
        </w:tc>
        <w:tc>
          <w:tcPr>
            <w:tcW w:w="3516" w:type="dxa"/>
            <w:vAlign w:val="center"/>
          </w:tcPr>
          <w:p w14:paraId="0E97CB41">
            <w:pPr>
              <w:rPr>
                <w:rFonts w:hint="default" w:eastAsia="宋体"/>
                <w:i w:val="0"/>
                <w:iCs w:val="0"/>
                <w:color w:val="auto"/>
                <w:sz w:val="18"/>
                <w:szCs w:val="18"/>
                <w:lang w:val="en-US" w:eastAsia="zh-CN"/>
              </w:rPr>
            </w:pPr>
            <w:r>
              <w:rPr>
                <w:rFonts w:hint="eastAsia"/>
                <w:i w:val="0"/>
                <w:iCs w:val="0"/>
                <w:color w:val="auto"/>
                <w:sz w:val="18"/>
                <w:szCs w:val="18"/>
                <w:lang w:val="en-US" w:eastAsia="zh-CN"/>
              </w:rPr>
              <w:t>文化遗产与地方文献</w:t>
            </w:r>
          </w:p>
        </w:tc>
        <w:tc>
          <w:tcPr>
            <w:tcW w:w="1081" w:type="dxa"/>
            <w:vAlign w:val="top"/>
          </w:tcPr>
          <w:p w14:paraId="7E6089D8">
            <w:pPr>
              <w:jc w:val="center"/>
              <w:rPr>
                <w:rFonts w:hint="default" w:eastAsia="宋体"/>
                <w:i w:val="0"/>
                <w:iCs w:val="0"/>
                <w:color w:val="auto"/>
                <w:sz w:val="18"/>
                <w:szCs w:val="18"/>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11</w:t>
            </w:r>
          </w:p>
        </w:tc>
        <w:tc>
          <w:tcPr>
            <w:tcW w:w="709" w:type="dxa"/>
            <w:vAlign w:val="center"/>
          </w:tcPr>
          <w:p w14:paraId="635E6115">
            <w:pPr>
              <w:jc w:val="center"/>
              <w:rPr>
                <w:rFonts w:hint="eastAsia" w:eastAsia="宋体"/>
                <w:i w:val="0"/>
                <w:iCs w:val="0"/>
                <w:color w:val="auto"/>
                <w:lang w:eastAsia="zh-CN"/>
              </w:rPr>
            </w:pPr>
            <w:r>
              <w:rPr>
                <w:rFonts w:hint="eastAsia"/>
                <w:i w:val="0"/>
                <w:iCs w:val="0"/>
                <w:color w:val="auto"/>
                <w:sz w:val="18"/>
                <w:szCs w:val="18"/>
                <w:lang w:val="en-US" w:eastAsia="zh-CN"/>
              </w:rPr>
              <w:t>1</w:t>
            </w:r>
          </w:p>
        </w:tc>
        <w:tc>
          <w:tcPr>
            <w:tcW w:w="632" w:type="dxa"/>
            <w:vAlign w:val="center"/>
          </w:tcPr>
          <w:p w14:paraId="030D0ABC">
            <w:pPr>
              <w:jc w:val="center"/>
              <w:rPr>
                <w:rFonts w:hint="eastAsia" w:eastAsia="宋体"/>
                <w:i w:val="0"/>
                <w:iCs w:val="0"/>
                <w:color w:val="auto"/>
                <w:lang w:eastAsia="zh-CN"/>
              </w:rPr>
            </w:pPr>
            <w:r>
              <w:rPr>
                <w:rFonts w:hint="eastAsia"/>
                <w:i w:val="0"/>
                <w:iCs w:val="0"/>
                <w:color w:val="auto"/>
                <w:sz w:val="18"/>
                <w:szCs w:val="18"/>
                <w:lang w:val="en-US" w:eastAsia="zh-CN"/>
              </w:rPr>
              <w:t>2</w:t>
            </w:r>
          </w:p>
        </w:tc>
        <w:tc>
          <w:tcPr>
            <w:tcW w:w="1122" w:type="dxa"/>
            <w:vMerge w:val="restart"/>
            <w:vAlign w:val="center"/>
          </w:tcPr>
          <w:p w14:paraId="4742EA81">
            <w:pPr>
              <w:adjustRightInd w:val="0"/>
              <w:snapToGrid w:val="0"/>
              <w:jc w:val="center"/>
              <w:rPr>
                <w:i w:val="0"/>
                <w:iCs w:val="0"/>
                <w:color w:val="auto"/>
                <w:sz w:val="18"/>
                <w:szCs w:val="18"/>
              </w:rPr>
            </w:pPr>
            <w:r>
              <w:rPr>
                <w:i w:val="0"/>
                <w:iCs w:val="0"/>
                <w:color w:val="auto"/>
                <w:sz w:val="18"/>
                <w:szCs w:val="18"/>
              </w:rPr>
              <w:t>本方向研究生至少选修</w:t>
            </w:r>
          </w:p>
          <w:p w14:paraId="5418EEAE">
            <w:pPr>
              <w:adjustRightInd w:val="0"/>
              <w:snapToGrid w:val="0"/>
              <w:jc w:val="center"/>
              <w:rPr>
                <w:i w:val="0"/>
                <w:iCs w:val="0"/>
                <w:color w:val="000000" w:themeColor="text1"/>
                <w:sz w:val="18"/>
                <w:szCs w:val="18"/>
                <w14:textFill>
                  <w14:solidFill>
                    <w14:schemeClr w14:val="tx1"/>
                  </w14:solidFill>
                </w14:textFill>
              </w:rPr>
            </w:pPr>
            <w:r>
              <w:rPr>
                <w:rFonts w:hint="eastAsia"/>
                <w:i w:val="0"/>
                <w:iCs w:val="0"/>
                <w:color w:val="auto"/>
                <w:sz w:val="18"/>
                <w:szCs w:val="18"/>
                <w:lang w:val="en-US" w:eastAsia="zh-CN"/>
              </w:rPr>
              <w:t>5</w:t>
            </w:r>
            <w:r>
              <w:rPr>
                <w:i w:val="0"/>
                <w:iCs w:val="0"/>
                <w:color w:val="auto"/>
                <w:sz w:val="18"/>
                <w:szCs w:val="18"/>
              </w:rPr>
              <w:t>学分</w:t>
            </w:r>
          </w:p>
        </w:tc>
      </w:tr>
      <w:tr w14:paraId="031DF7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2" w:hRule="atLeast"/>
          <w:jc w:val="center"/>
        </w:trPr>
        <w:tc>
          <w:tcPr>
            <w:tcW w:w="571" w:type="dxa"/>
            <w:vMerge w:val="continue"/>
          </w:tcPr>
          <w:p w14:paraId="3E06E394">
            <w:pPr>
              <w:rPr>
                <w:b/>
                <w:color w:val="000000" w:themeColor="text1"/>
                <w:sz w:val="18"/>
                <w:szCs w:val="18"/>
                <w14:textFill>
                  <w14:solidFill>
                    <w14:schemeClr w14:val="tx1"/>
                  </w14:solidFill>
                </w14:textFill>
              </w:rPr>
            </w:pPr>
          </w:p>
        </w:tc>
        <w:tc>
          <w:tcPr>
            <w:tcW w:w="1226" w:type="dxa"/>
            <w:vMerge w:val="continue"/>
            <w:vAlign w:val="center"/>
          </w:tcPr>
          <w:p w14:paraId="5E0C002F">
            <w:pPr>
              <w:adjustRightInd w:val="0"/>
              <w:snapToGrid w:val="0"/>
              <w:jc w:val="center"/>
              <w:rPr>
                <w:b/>
                <w:i w:val="0"/>
                <w:iCs w:val="0"/>
                <w:color w:val="auto"/>
                <w:sz w:val="18"/>
                <w:szCs w:val="18"/>
              </w:rPr>
            </w:pPr>
          </w:p>
        </w:tc>
        <w:tc>
          <w:tcPr>
            <w:tcW w:w="3516" w:type="dxa"/>
            <w:vAlign w:val="center"/>
          </w:tcPr>
          <w:p w14:paraId="1474EAC1">
            <w:pPr>
              <w:rPr>
                <w:rFonts w:hint="default"/>
                <w:i w:val="0"/>
                <w:iCs w:val="0"/>
                <w:color w:val="auto"/>
                <w:sz w:val="18"/>
                <w:szCs w:val="18"/>
                <w:lang w:val="en-US" w:eastAsia="zh-CN"/>
              </w:rPr>
            </w:pPr>
            <w:r>
              <w:rPr>
                <w:rFonts w:hint="eastAsia"/>
                <w:i w:val="0"/>
                <w:iCs w:val="0"/>
                <w:color w:val="auto"/>
                <w:sz w:val="18"/>
                <w:szCs w:val="18"/>
                <w:lang w:val="en-US" w:eastAsia="zh-CN"/>
              </w:rPr>
              <w:t>公共文化空间建设</w:t>
            </w:r>
          </w:p>
        </w:tc>
        <w:tc>
          <w:tcPr>
            <w:tcW w:w="1081" w:type="dxa"/>
            <w:vAlign w:val="top"/>
          </w:tcPr>
          <w:p w14:paraId="7F9DF2FF">
            <w:pPr>
              <w:jc w:val="center"/>
              <w:rPr>
                <w:rFonts w:hint="default" w:eastAsia="宋体"/>
                <w:color w:val="auto"/>
                <w:sz w:val="18"/>
                <w:szCs w:val="18"/>
                <w:highlight w:val="none"/>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14</w:t>
            </w:r>
          </w:p>
        </w:tc>
        <w:tc>
          <w:tcPr>
            <w:tcW w:w="709" w:type="dxa"/>
            <w:vAlign w:val="center"/>
          </w:tcPr>
          <w:p w14:paraId="074CFDE4">
            <w:pPr>
              <w:jc w:val="center"/>
              <w:rPr>
                <w:rFonts w:hint="default"/>
                <w:i w:val="0"/>
                <w:iCs w:val="0"/>
                <w:color w:val="auto"/>
                <w:sz w:val="18"/>
                <w:szCs w:val="18"/>
                <w:lang w:val="en-US" w:eastAsia="zh-CN"/>
              </w:rPr>
            </w:pPr>
            <w:r>
              <w:rPr>
                <w:rFonts w:hint="eastAsia"/>
                <w:i w:val="0"/>
                <w:iCs w:val="0"/>
                <w:color w:val="auto"/>
                <w:sz w:val="18"/>
                <w:szCs w:val="18"/>
                <w:lang w:val="en-US" w:eastAsia="zh-CN"/>
              </w:rPr>
              <w:t>1</w:t>
            </w:r>
          </w:p>
        </w:tc>
        <w:tc>
          <w:tcPr>
            <w:tcW w:w="632" w:type="dxa"/>
            <w:vAlign w:val="center"/>
          </w:tcPr>
          <w:p w14:paraId="6574FD8F">
            <w:pPr>
              <w:jc w:val="center"/>
              <w:rPr>
                <w:rFonts w:hint="default"/>
                <w:i w:val="0"/>
                <w:iCs w:val="0"/>
                <w:color w:val="auto"/>
                <w:sz w:val="18"/>
                <w:szCs w:val="18"/>
                <w:lang w:val="en-US" w:eastAsia="zh-CN"/>
              </w:rPr>
            </w:pPr>
            <w:r>
              <w:rPr>
                <w:rFonts w:hint="eastAsia"/>
                <w:i w:val="0"/>
                <w:iCs w:val="0"/>
                <w:color w:val="auto"/>
                <w:sz w:val="18"/>
                <w:szCs w:val="18"/>
                <w:lang w:val="en-US" w:eastAsia="zh-CN"/>
              </w:rPr>
              <w:t>2</w:t>
            </w:r>
          </w:p>
        </w:tc>
        <w:tc>
          <w:tcPr>
            <w:tcW w:w="1122" w:type="dxa"/>
            <w:vMerge w:val="continue"/>
            <w:vAlign w:val="center"/>
          </w:tcPr>
          <w:p w14:paraId="42CBFD6F">
            <w:pPr>
              <w:adjustRightInd w:val="0"/>
              <w:snapToGrid w:val="0"/>
              <w:jc w:val="center"/>
              <w:rPr>
                <w:rFonts w:hint="eastAsia"/>
                <w:i w:val="0"/>
                <w:iCs w:val="0"/>
                <w:color w:val="FF0000"/>
                <w:sz w:val="18"/>
                <w:szCs w:val="18"/>
                <w:lang w:val="en-US" w:eastAsia="zh-CN"/>
              </w:rPr>
            </w:pPr>
          </w:p>
        </w:tc>
      </w:tr>
      <w:tr w14:paraId="2936EA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8" w:hRule="atLeast"/>
          <w:jc w:val="center"/>
        </w:trPr>
        <w:tc>
          <w:tcPr>
            <w:tcW w:w="571" w:type="dxa"/>
            <w:vMerge w:val="continue"/>
          </w:tcPr>
          <w:p w14:paraId="1508EF34">
            <w:pPr>
              <w:rPr>
                <w:b/>
                <w:color w:val="000000" w:themeColor="text1"/>
                <w:sz w:val="18"/>
                <w:szCs w:val="18"/>
                <w14:textFill>
                  <w14:solidFill>
                    <w14:schemeClr w14:val="tx1"/>
                  </w14:solidFill>
                </w14:textFill>
              </w:rPr>
            </w:pPr>
          </w:p>
        </w:tc>
        <w:tc>
          <w:tcPr>
            <w:tcW w:w="1226" w:type="dxa"/>
            <w:vMerge w:val="continue"/>
            <w:vAlign w:val="center"/>
          </w:tcPr>
          <w:p w14:paraId="74416289">
            <w:pPr>
              <w:adjustRightInd w:val="0"/>
              <w:snapToGrid w:val="0"/>
              <w:jc w:val="center"/>
              <w:rPr>
                <w:b/>
                <w:color w:val="auto"/>
                <w:sz w:val="18"/>
                <w:szCs w:val="18"/>
              </w:rPr>
            </w:pPr>
          </w:p>
        </w:tc>
        <w:tc>
          <w:tcPr>
            <w:tcW w:w="3516" w:type="dxa"/>
            <w:vAlign w:val="center"/>
          </w:tcPr>
          <w:p w14:paraId="73243245">
            <w:pPr>
              <w:adjustRightInd w:val="0"/>
              <w:snapToGrid w:val="0"/>
              <w:rPr>
                <w:rFonts w:hint="default" w:eastAsia="宋体"/>
                <w:i/>
                <w:color w:val="auto"/>
                <w:sz w:val="18"/>
                <w:szCs w:val="18"/>
                <w:lang w:val="en-US" w:eastAsia="zh-CN"/>
              </w:rPr>
            </w:pPr>
            <w:r>
              <w:rPr>
                <w:rFonts w:hint="eastAsia"/>
                <w:iCs/>
                <w:sz w:val="18"/>
                <w:szCs w:val="18"/>
                <w:highlight w:val="none"/>
                <w:lang w:val="en-US" w:eastAsia="zh-CN"/>
              </w:rPr>
              <w:t>阅读推广</w:t>
            </w:r>
          </w:p>
        </w:tc>
        <w:tc>
          <w:tcPr>
            <w:tcW w:w="1081" w:type="dxa"/>
            <w:vAlign w:val="center"/>
          </w:tcPr>
          <w:p w14:paraId="4A19DC8B">
            <w:pPr>
              <w:jc w:val="center"/>
              <w:rPr>
                <w:rFonts w:hint="default" w:eastAsia="宋体"/>
                <w:color w:val="auto"/>
                <w:sz w:val="18"/>
                <w:szCs w:val="18"/>
                <w:lang w:val="en-US" w:eastAsia="zh-CN"/>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10</w:t>
            </w:r>
          </w:p>
        </w:tc>
        <w:tc>
          <w:tcPr>
            <w:tcW w:w="709" w:type="dxa"/>
            <w:vAlign w:val="top"/>
          </w:tcPr>
          <w:p w14:paraId="61C2B3A4">
            <w:pPr>
              <w:jc w:val="center"/>
              <w:rPr>
                <w:rFonts w:hint="eastAsia" w:eastAsia="宋体"/>
                <w:i w:val="0"/>
                <w:iCs w:val="0"/>
                <w:color w:val="auto"/>
                <w:lang w:eastAsia="zh-CN"/>
              </w:rPr>
            </w:pPr>
            <w:r>
              <w:rPr>
                <w:rFonts w:hint="eastAsia"/>
                <w:i w:val="0"/>
                <w:iCs w:val="0"/>
                <w:sz w:val="18"/>
                <w:szCs w:val="18"/>
                <w:highlight w:val="none"/>
                <w:lang w:val="en-US" w:eastAsia="zh-CN"/>
              </w:rPr>
              <w:t>2</w:t>
            </w:r>
          </w:p>
        </w:tc>
        <w:tc>
          <w:tcPr>
            <w:tcW w:w="632" w:type="dxa"/>
            <w:vAlign w:val="top"/>
          </w:tcPr>
          <w:p w14:paraId="47A8E0E9">
            <w:pPr>
              <w:jc w:val="center"/>
              <w:rPr>
                <w:rFonts w:hint="eastAsia" w:eastAsia="宋体"/>
                <w:i w:val="0"/>
                <w:iCs w:val="0"/>
                <w:color w:val="auto"/>
                <w:lang w:eastAsia="zh-CN"/>
              </w:rPr>
            </w:pPr>
            <w:r>
              <w:rPr>
                <w:rFonts w:hint="eastAsia"/>
                <w:i w:val="0"/>
                <w:iCs w:val="0"/>
                <w:sz w:val="18"/>
                <w:szCs w:val="18"/>
                <w:highlight w:val="none"/>
                <w:lang w:val="en-US" w:eastAsia="zh-CN"/>
              </w:rPr>
              <w:t>2</w:t>
            </w:r>
          </w:p>
        </w:tc>
        <w:tc>
          <w:tcPr>
            <w:tcW w:w="1122" w:type="dxa"/>
            <w:vMerge w:val="continue"/>
            <w:vAlign w:val="center"/>
          </w:tcPr>
          <w:p w14:paraId="0A0422DD">
            <w:pPr>
              <w:adjustRightInd w:val="0"/>
              <w:snapToGrid w:val="0"/>
              <w:jc w:val="center"/>
              <w:rPr>
                <w:color w:val="000000" w:themeColor="text1"/>
                <w:sz w:val="18"/>
                <w:szCs w:val="18"/>
                <w14:textFill>
                  <w14:solidFill>
                    <w14:schemeClr w14:val="tx1"/>
                  </w14:solidFill>
                </w14:textFill>
              </w:rPr>
            </w:pPr>
          </w:p>
        </w:tc>
      </w:tr>
      <w:tr w14:paraId="266FA9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8" w:hRule="atLeast"/>
          <w:jc w:val="center"/>
        </w:trPr>
        <w:tc>
          <w:tcPr>
            <w:tcW w:w="571" w:type="dxa"/>
            <w:vMerge w:val="continue"/>
          </w:tcPr>
          <w:p w14:paraId="670D4841">
            <w:pPr>
              <w:rPr>
                <w:b/>
                <w:color w:val="000000" w:themeColor="text1"/>
                <w:sz w:val="18"/>
                <w:szCs w:val="18"/>
                <w14:textFill>
                  <w14:solidFill>
                    <w14:schemeClr w14:val="tx1"/>
                  </w14:solidFill>
                </w14:textFill>
              </w:rPr>
            </w:pPr>
          </w:p>
        </w:tc>
        <w:tc>
          <w:tcPr>
            <w:tcW w:w="1226" w:type="dxa"/>
            <w:vMerge w:val="continue"/>
            <w:vAlign w:val="center"/>
          </w:tcPr>
          <w:p w14:paraId="6471EA56">
            <w:pPr>
              <w:adjustRightInd w:val="0"/>
              <w:snapToGrid w:val="0"/>
              <w:jc w:val="center"/>
              <w:rPr>
                <w:b/>
                <w:color w:val="auto"/>
                <w:sz w:val="18"/>
                <w:szCs w:val="18"/>
              </w:rPr>
            </w:pPr>
          </w:p>
        </w:tc>
        <w:tc>
          <w:tcPr>
            <w:tcW w:w="3516" w:type="dxa"/>
            <w:vAlign w:val="center"/>
          </w:tcPr>
          <w:p w14:paraId="62397262">
            <w:pPr>
              <w:adjustRightInd w:val="0"/>
              <w:snapToGrid w:val="0"/>
              <w:rPr>
                <w:rFonts w:hint="default"/>
                <w:i w:val="0"/>
                <w:iCs/>
                <w:color w:val="auto"/>
                <w:sz w:val="18"/>
                <w:szCs w:val="18"/>
                <w:lang w:val="en-US" w:eastAsia="zh-CN"/>
              </w:rPr>
            </w:pPr>
            <w:r>
              <w:rPr>
                <w:rFonts w:hint="eastAsia"/>
                <w:iCs/>
                <w:sz w:val="18"/>
                <w:szCs w:val="18"/>
                <w:highlight w:val="none"/>
                <w:lang w:val="en-US" w:eastAsia="zh-CN"/>
              </w:rPr>
              <w:t>信息素养教育</w:t>
            </w:r>
          </w:p>
        </w:tc>
        <w:tc>
          <w:tcPr>
            <w:tcW w:w="1081" w:type="dxa"/>
            <w:vAlign w:val="center"/>
          </w:tcPr>
          <w:p w14:paraId="3E75DCD3">
            <w:pPr>
              <w:jc w:val="center"/>
              <w:rPr>
                <w:rFonts w:hint="eastAsia"/>
                <w:color w:val="auto"/>
                <w:sz w:val="18"/>
                <w:szCs w:val="18"/>
                <w:highlight w:val="none"/>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2120</w:t>
            </w:r>
            <w:r>
              <w:rPr>
                <w:rFonts w:hint="eastAsia"/>
                <w:color w:val="auto"/>
                <w:kern w:val="0"/>
                <w:sz w:val="18"/>
                <w:szCs w:val="18"/>
                <w:highlight w:val="none"/>
                <w:lang w:val="en-US" w:eastAsia="zh-CN"/>
              </w:rPr>
              <w:t>2</w:t>
            </w:r>
          </w:p>
        </w:tc>
        <w:tc>
          <w:tcPr>
            <w:tcW w:w="709" w:type="dxa"/>
            <w:vAlign w:val="top"/>
          </w:tcPr>
          <w:p w14:paraId="6115C52D">
            <w:pPr>
              <w:jc w:val="center"/>
              <w:rPr>
                <w:rFonts w:hint="eastAsia"/>
                <w:i w:val="0"/>
                <w:iCs w:val="0"/>
                <w:color w:val="auto"/>
                <w:sz w:val="18"/>
                <w:szCs w:val="18"/>
                <w:lang w:val="en-US" w:eastAsia="zh-CN"/>
              </w:rPr>
            </w:pPr>
            <w:r>
              <w:rPr>
                <w:rFonts w:hint="eastAsia"/>
                <w:i w:val="0"/>
                <w:iCs w:val="0"/>
                <w:sz w:val="18"/>
                <w:szCs w:val="18"/>
                <w:highlight w:val="none"/>
                <w:lang w:val="en-US" w:eastAsia="zh-CN"/>
              </w:rPr>
              <w:t>1</w:t>
            </w:r>
          </w:p>
        </w:tc>
        <w:tc>
          <w:tcPr>
            <w:tcW w:w="632" w:type="dxa"/>
            <w:vAlign w:val="top"/>
          </w:tcPr>
          <w:p w14:paraId="1F26BA83">
            <w:pPr>
              <w:jc w:val="center"/>
              <w:rPr>
                <w:rFonts w:hint="eastAsia"/>
                <w:i w:val="0"/>
                <w:iCs w:val="0"/>
                <w:color w:val="auto"/>
                <w:sz w:val="18"/>
                <w:szCs w:val="18"/>
                <w:lang w:val="en-US" w:eastAsia="zh-CN"/>
              </w:rPr>
            </w:pPr>
            <w:r>
              <w:rPr>
                <w:rFonts w:hint="eastAsia"/>
                <w:i w:val="0"/>
                <w:iCs w:val="0"/>
                <w:sz w:val="18"/>
                <w:szCs w:val="18"/>
                <w:highlight w:val="none"/>
                <w:lang w:val="en-US" w:eastAsia="zh-CN"/>
              </w:rPr>
              <w:t>2</w:t>
            </w:r>
          </w:p>
        </w:tc>
        <w:tc>
          <w:tcPr>
            <w:tcW w:w="1122" w:type="dxa"/>
            <w:vMerge w:val="continue"/>
            <w:vAlign w:val="center"/>
          </w:tcPr>
          <w:p w14:paraId="2818B976">
            <w:pPr>
              <w:adjustRightInd w:val="0"/>
              <w:snapToGrid w:val="0"/>
              <w:jc w:val="center"/>
              <w:rPr>
                <w:color w:val="000000" w:themeColor="text1"/>
                <w:sz w:val="18"/>
                <w:szCs w:val="18"/>
                <w14:textFill>
                  <w14:solidFill>
                    <w14:schemeClr w14:val="tx1"/>
                  </w14:solidFill>
                </w14:textFill>
              </w:rPr>
            </w:pPr>
          </w:p>
        </w:tc>
      </w:tr>
      <w:tr w14:paraId="5161CD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8" w:hRule="atLeast"/>
          <w:jc w:val="center"/>
        </w:trPr>
        <w:tc>
          <w:tcPr>
            <w:tcW w:w="571" w:type="dxa"/>
            <w:vMerge w:val="continue"/>
          </w:tcPr>
          <w:p w14:paraId="37148015">
            <w:pPr>
              <w:rPr>
                <w:b/>
                <w:color w:val="000000" w:themeColor="text1"/>
                <w:sz w:val="18"/>
                <w:szCs w:val="18"/>
                <w14:textFill>
                  <w14:solidFill>
                    <w14:schemeClr w14:val="tx1"/>
                  </w14:solidFill>
                </w14:textFill>
              </w:rPr>
            </w:pPr>
          </w:p>
        </w:tc>
        <w:tc>
          <w:tcPr>
            <w:tcW w:w="1226" w:type="dxa"/>
            <w:vMerge w:val="continue"/>
            <w:vAlign w:val="center"/>
          </w:tcPr>
          <w:p w14:paraId="59949BB4">
            <w:pPr>
              <w:adjustRightInd w:val="0"/>
              <w:snapToGrid w:val="0"/>
              <w:jc w:val="center"/>
              <w:rPr>
                <w:b/>
                <w:color w:val="auto"/>
                <w:sz w:val="18"/>
                <w:szCs w:val="18"/>
              </w:rPr>
            </w:pPr>
          </w:p>
        </w:tc>
        <w:tc>
          <w:tcPr>
            <w:tcW w:w="3516" w:type="dxa"/>
            <w:shd w:val="clear" w:color="auto" w:fill="auto"/>
            <w:vAlign w:val="center"/>
          </w:tcPr>
          <w:p w14:paraId="3822CB00">
            <w:pPr>
              <w:adjustRightInd w:val="0"/>
              <w:snapToGrid w:val="0"/>
              <w:rPr>
                <w:rFonts w:hint="default" w:ascii="Times New Roman" w:hAnsi="Times New Roman" w:eastAsia="宋体" w:cs="Times New Roman"/>
                <w:iCs/>
                <w:kern w:val="2"/>
                <w:sz w:val="18"/>
                <w:szCs w:val="18"/>
                <w:highlight w:val="none"/>
                <w:lang w:val="en-US" w:eastAsia="zh-CN" w:bidi="ar-SA"/>
              </w:rPr>
            </w:pPr>
            <w:r>
              <w:rPr>
                <w:rFonts w:hint="eastAsia"/>
                <w:iCs/>
                <w:sz w:val="18"/>
                <w:szCs w:val="18"/>
                <w:highlight w:val="none"/>
                <w:lang w:val="en-US" w:eastAsia="zh-CN"/>
              </w:rPr>
              <w:t>图书馆管理理论与实践</w:t>
            </w:r>
          </w:p>
        </w:tc>
        <w:tc>
          <w:tcPr>
            <w:tcW w:w="1081" w:type="dxa"/>
            <w:shd w:val="clear" w:color="auto" w:fill="auto"/>
            <w:vAlign w:val="center"/>
          </w:tcPr>
          <w:p w14:paraId="24DA6BEE">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XS0421213</w:t>
            </w:r>
          </w:p>
        </w:tc>
        <w:tc>
          <w:tcPr>
            <w:tcW w:w="709" w:type="dxa"/>
            <w:shd w:val="clear" w:color="auto" w:fill="auto"/>
            <w:vAlign w:val="top"/>
          </w:tcPr>
          <w:p w14:paraId="7568D768">
            <w:pPr>
              <w:jc w:val="center"/>
              <w:rPr>
                <w:rFonts w:hint="eastAsia" w:ascii="Times New Roman" w:hAnsi="Times New Roman" w:eastAsia="宋体" w:cs="Times New Roman"/>
                <w:i w:val="0"/>
                <w:iCs w:val="0"/>
                <w:kern w:val="2"/>
                <w:sz w:val="18"/>
                <w:szCs w:val="18"/>
                <w:highlight w:val="none"/>
                <w:lang w:val="en-US" w:eastAsia="zh-CN" w:bidi="ar-SA"/>
              </w:rPr>
            </w:pPr>
            <w:r>
              <w:rPr>
                <w:rFonts w:hint="eastAsia"/>
                <w:i w:val="0"/>
                <w:iCs w:val="0"/>
                <w:sz w:val="18"/>
                <w:szCs w:val="18"/>
                <w:highlight w:val="none"/>
                <w:lang w:val="en-US" w:eastAsia="zh-CN"/>
              </w:rPr>
              <w:t>1</w:t>
            </w:r>
          </w:p>
        </w:tc>
        <w:tc>
          <w:tcPr>
            <w:tcW w:w="632" w:type="dxa"/>
            <w:shd w:val="clear" w:color="auto" w:fill="auto"/>
            <w:vAlign w:val="top"/>
          </w:tcPr>
          <w:p w14:paraId="3AD7A05A">
            <w:pPr>
              <w:jc w:val="center"/>
              <w:rPr>
                <w:rFonts w:hint="eastAsia" w:ascii="Times New Roman" w:hAnsi="Times New Roman" w:eastAsia="宋体" w:cs="Times New Roman"/>
                <w:i w:val="0"/>
                <w:iCs w:val="0"/>
                <w:kern w:val="2"/>
                <w:sz w:val="18"/>
                <w:szCs w:val="18"/>
                <w:highlight w:val="none"/>
                <w:lang w:val="en-US" w:eastAsia="zh-CN" w:bidi="ar-SA"/>
              </w:rPr>
            </w:pPr>
            <w:r>
              <w:rPr>
                <w:rFonts w:hint="eastAsia"/>
                <w:i w:val="0"/>
                <w:iCs w:val="0"/>
                <w:sz w:val="18"/>
                <w:szCs w:val="18"/>
                <w:highlight w:val="none"/>
                <w:lang w:val="en-US" w:eastAsia="zh-CN"/>
              </w:rPr>
              <w:t>2</w:t>
            </w:r>
          </w:p>
        </w:tc>
        <w:tc>
          <w:tcPr>
            <w:tcW w:w="1122" w:type="dxa"/>
            <w:vMerge w:val="continue"/>
            <w:vAlign w:val="center"/>
          </w:tcPr>
          <w:p w14:paraId="39542C61">
            <w:pPr>
              <w:adjustRightInd w:val="0"/>
              <w:snapToGrid w:val="0"/>
              <w:jc w:val="center"/>
              <w:rPr>
                <w:color w:val="000000" w:themeColor="text1"/>
                <w:sz w:val="18"/>
                <w:szCs w:val="18"/>
                <w14:textFill>
                  <w14:solidFill>
                    <w14:schemeClr w14:val="tx1"/>
                  </w14:solidFill>
                </w14:textFill>
              </w:rPr>
            </w:pPr>
          </w:p>
        </w:tc>
      </w:tr>
      <w:tr w14:paraId="67E6F4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226AF1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6BB81552">
            <w:pPr>
              <w:jc w:val="center"/>
              <w:rPr>
                <w:b/>
                <w:color w:val="000000" w:themeColor="text1"/>
                <w:sz w:val="18"/>
                <w:szCs w:val="18"/>
                <w14:textFill>
                  <w14:solidFill>
                    <w14:schemeClr w14:val="tx1"/>
                  </w14:solidFill>
                </w14:textFill>
              </w:rPr>
            </w:pPr>
          </w:p>
        </w:tc>
        <w:tc>
          <w:tcPr>
            <w:tcW w:w="1226" w:type="dxa"/>
            <w:vMerge w:val="restart"/>
            <w:vAlign w:val="center"/>
          </w:tcPr>
          <w:p w14:paraId="63B8FA1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AD480F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51A53FC7">
            <w:pPr>
              <w:jc w:val="center"/>
              <w:rPr>
                <w:color w:val="000000" w:themeColor="text1"/>
                <w:sz w:val="18"/>
                <w:szCs w:val="18"/>
                <w14:textFill>
                  <w14:solidFill>
                    <w14:schemeClr w14:val="tx1"/>
                  </w14:solidFill>
                </w14:textFill>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2120</w:t>
            </w:r>
            <w:r>
              <w:rPr>
                <w:rFonts w:hint="eastAsia"/>
                <w:color w:val="auto"/>
                <w:kern w:val="0"/>
                <w:sz w:val="18"/>
                <w:szCs w:val="18"/>
                <w:highlight w:val="none"/>
                <w:lang w:val="en-US" w:eastAsia="zh-CN"/>
              </w:rPr>
              <w:t>8</w:t>
            </w:r>
          </w:p>
        </w:tc>
        <w:tc>
          <w:tcPr>
            <w:tcW w:w="709" w:type="dxa"/>
            <w:vAlign w:val="center"/>
          </w:tcPr>
          <w:p w14:paraId="7959896B">
            <w:pPr>
              <w:jc w:val="center"/>
              <w:rPr>
                <w:rFonts w:hint="eastAsia" w:eastAsia="宋体"/>
                <w:i w:val="0"/>
                <w:iCs w:val="0"/>
                <w:color w:val="000000" w:themeColor="text1"/>
                <w:sz w:val="18"/>
                <w:szCs w:val="18"/>
                <w:lang w:eastAsia="zh-CN"/>
                <w14:textFill>
                  <w14:solidFill>
                    <w14:schemeClr w14:val="tx1"/>
                  </w14:solidFill>
                </w14:textFill>
              </w:rPr>
            </w:pPr>
          </w:p>
        </w:tc>
        <w:tc>
          <w:tcPr>
            <w:tcW w:w="632" w:type="dxa"/>
            <w:vAlign w:val="center"/>
          </w:tcPr>
          <w:p w14:paraId="5782DBCE">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1</w:t>
            </w:r>
          </w:p>
        </w:tc>
        <w:tc>
          <w:tcPr>
            <w:tcW w:w="1122" w:type="dxa"/>
            <w:vMerge w:val="restart"/>
            <w:vAlign w:val="center"/>
          </w:tcPr>
          <w:p w14:paraId="10EA514E">
            <w:pPr>
              <w:jc w:val="center"/>
              <w:rPr>
                <w:i/>
                <w:color w:val="FF0000"/>
                <w:sz w:val="18"/>
                <w:szCs w:val="18"/>
              </w:rPr>
            </w:pPr>
          </w:p>
        </w:tc>
      </w:tr>
      <w:tr w14:paraId="72F69C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0F73CF6C">
            <w:pPr>
              <w:jc w:val="center"/>
              <w:rPr>
                <w:b/>
                <w:color w:val="000000" w:themeColor="text1"/>
                <w:sz w:val="18"/>
                <w:szCs w:val="18"/>
                <w14:textFill>
                  <w14:solidFill>
                    <w14:schemeClr w14:val="tx1"/>
                  </w14:solidFill>
                </w14:textFill>
              </w:rPr>
            </w:pPr>
          </w:p>
        </w:tc>
        <w:tc>
          <w:tcPr>
            <w:tcW w:w="1226" w:type="dxa"/>
            <w:vMerge w:val="continue"/>
            <w:vAlign w:val="center"/>
          </w:tcPr>
          <w:p w14:paraId="56182837">
            <w:pPr>
              <w:jc w:val="center"/>
              <w:rPr>
                <w:b/>
                <w:color w:val="000000" w:themeColor="text1"/>
                <w:sz w:val="18"/>
                <w:szCs w:val="18"/>
                <w14:textFill>
                  <w14:solidFill>
                    <w14:schemeClr w14:val="tx1"/>
                  </w14:solidFill>
                </w14:textFill>
              </w:rPr>
            </w:pPr>
          </w:p>
        </w:tc>
        <w:tc>
          <w:tcPr>
            <w:tcW w:w="3516" w:type="dxa"/>
            <w:vAlign w:val="center"/>
          </w:tcPr>
          <w:p w14:paraId="336313AA">
            <w:pPr>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学术活动</w:t>
            </w:r>
            <w:r>
              <w:rPr>
                <w:rFonts w:hint="eastAsia"/>
                <w:color w:val="000000" w:themeColor="text1"/>
                <w:sz w:val="18"/>
                <w:szCs w:val="18"/>
                <w:lang w:val="en-US" w:eastAsia="zh-CN"/>
                <w14:textFill>
                  <w14:solidFill>
                    <w14:schemeClr w14:val="tx1"/>
                  </w14:solidFill>
                </w14:textFill>
              </w:rPr>
              <w:t>与学科竞赛</w:t>
            </w:r>
          </w:p>
        </w:tc>
        <w:tc>
          <w:tcPr>
            <w:tcW w:w="1081" w:type="dxa"/>
            <w:vAlign w:val="center"/>
          </w:tcPr>
          <w:p w14:paraId="2608977F">
            <w:pPr>
              <w:jc w:val="center"/>
              <w:rPr>
                <w:rFonts w:hint="default" w:eastAsia="宋体"/>
                <w:color w:val="000000" w:themeColor="text1"/>
                <w:sz w:val="18"/>
                <w:szCs w:val="18"/>
                <w:lang w:val="en-US" w:eastAsia="zh-CN"/>
                <w14:textFill>
                  <w14:solidFill>
                    <w14:schemeClr w14:val="tx1"/>
                  </w14:solidFill>
                </w14:textFill>
              </w:rPr>
            </w:pPr>
            <w:r>
              <w:rPr>
                <w:rFonts w:hint="eastAsia"/>
                <w:color w:val="auto"/>
                <w:sz w:val="18"/>
                <w:szCs w:val="18"/>
                <w:highlight w:val="none"/>
              </w:rPr>
              <w:t>XS</w:t>
            </w:r>
            <w:r>
              <w:rPr>
                <w:color w:val="auto"/>
                <w:kern w:val="0"/>
                <w:sz w:val="18"/>
                <w:szCs w:val="18"/>
                <w:highlight w:val="none"/>
              </w:rPr>
              <w:t>04</w:t>
            </w:r>
            <w:r>
              <w:rPr>
                <w:rFonts w:hint="eastAsia"/>
                <w:color w:val="auto"/>
                <w:kern w:val="0"/>
                <w:sz w:val="18"/>
                <w:szCs w:val="18"/>
                <w:highlight w:val="none"/>
              </w:rPr>
              <w:t>212</w:t>
            </w:r>
            <w:r>
              <w:rPr>
                <w:rFonts w:hint="eastAsia"/>
                <w:color w:val="auto"/>
                <w:kern w:val="0"/>
                <w:sz w:val="18"/>
                <w:szCs w:val="18"/>
                <w:highlight w:val="none"/>
                <w:lang w:val="en-US" w:eastAsia="zh-CN"/>
              </w:rPr>
              <w:t>09</w:t>
            </w:r>
          </w:p>
        </w:tc>
        <w:tc>
          <w:tcPr>
            <w:tcW w:w="709" w:type="dxa"/>
            <w:vAlign w:val="center"/>
          </w:tcPr>
          <w:p w14:paraId="20D363ED">
            <w:pPr>
              <w:jc w:val="center"/>
              <w:rPr>
                <w:i w:val="0"/>
                <w:iCs w:val="0"/>
                <w:color w:val="000000" w:themeColor="text1"/>
                <w:sz w:val="18"/>
                <w:szCs w:val="18"/>
                <w14:textFill>
                  <w14:solidFill>
                    <w14:schemeClr w14:val="tx1"/>
                  </w14:solidFill>
                </w14:textFill>
              </w:rPr>
            </w:pPr>
            <w:r>
              <w:rPr>
                <w:i w:val="0"/>
                <w:iCs w:val="0"/>
                <w:color w:val="000000" w:themeColor="text1"/>
                <w:sz w:val="18"/>
                <w:szCs w:val="18"/>
                <w14:textFill>
                  <w14:solidFill>
                    <w14:schemeClr w14:val="tx1"/>
                  </w14:solidFill>
                </w14:textFill>
              </w:rPr>
              <w:t>1</w:t>
            </w:r>
          </w:p>
        </w:tc>
        <w:tc>
          <w:tcPr>
            <w:tcW w:w="632" w:type="dxa"/>
            <w:vAlign w:val="center"/>
          </w:tcPr>
          <w:p w14:paraId="37E99EC9">
            <w:pPr>
              <w:jc w:val="center"/>
              <w:rPr>
                <w:rFonts w:hint="default" w:eastAsia="宋体"/>
                <w:i w:val="0"/>
                <w:iCs w:val="0"/>
                <w:color w:val="000000" w:themeColor="text1"/>
                <w:sz w:val="18"/>
                <w:szCs w:val="18"/>
                <w:lang w:val="en-US" w:eastAsia="zh-CN"/>
                <w14:textFill>
                  <w14:solidFill>
                    <w14:schemeClr w14:val="tx1"/>
                  </w14:solidFill>
                </w14:textFill>
              </w:rPr>
            </w:pPr>
            <w:r>
              <w:rPr>
                <w:rFonts w:hint="eastAsia"/>
                <w:i w:val="0"/>
                <w:iCs w:val="0"/>
                <w:color w:val="000000" w:themeColor="text1"/>
                <w:sz w:val="18"/>
                <w:szCs w:val="18"/>
                <w:lang w:val="en-US" w:eastAsia="zh-CN"/>
                <w14:textFill>
                  <w14:solidFill>
                    <w14:schemeClr w14:val="tx1"/>
                  </w14:solidFill>
                </w14:textFill>
              </w:rPr>
              <w:t>1-6</w:t>
            </w:r>
          </w:p>
        </w:tc>
        <w:tc>
          <w:tcPr>
            <w:tcW w:w="1122" w:type="dxa"/>
            <w:vMerge w:val="continue"/>
            <w:vAlign w:val="center"/>
          </w:tcPr>
          <w:p w14:paraId="003560D6">
            <w:pPr>
              <w:jc w:val="center"/>
              <w:rPr>
                <w:color w:val="000000" w:themeColor="text1"/>
                <w:sz w:val="18"/>
                <w:szCs w:val="18"/>
                <w14:textFill>
                  <w14:solidFill>
                    <w14:schemeClr w14:val="tx1"/>
                  </w14:solidFill>
                </w14:textFill>
              </w:rPr>
            </w:pPr>
          </w:p>
        </w:tc>
      </w:tr>
      <w:tr w14:paraId="274876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9561D0">
            <w:pPr>
              <w:rPr>
                <w:b/>
                <w:color w:val="000000" w:themeColor="text1"/>
                <w:sz w:val="18"/>
                <w:szCs w:val="18"/>
                <w14:textFill>
                  <w14:solidFill>
                    <w14:schemeClr w14:val="tx1"/>
                  </w14:solidFill>
                </w14:textFill>
              </w:rPr>
            </w:pPr>
          </w:p>
        </w:tc>
        <w:tc>
          <w:tcPr>
            <w:tcW w:w="1226" w:type="dxa"/>
            <w:vMerge w:val="restart"/>
            <w:vAlign w:val="center"/>
          </w:tcPr>
          <w:p w14:paraId="4066D6B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15FE406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3043D91D">
            <w:pPr>
              <w:jc w:val="center"/>
              <w:rPr>
                <w:color w:val="000000" w:themeColor="text1"/>
                <w:sz w:val="18"/>
                <w:szCs w:val="18"/>
                <w14:textFill>
                  <w14:solidFill>
                    <w14:schemeClr w14:val="tx1"/>
                  </w14:solidFill>
                </w14:textFill>
              </w:rPr>
            </w:pPr>
          </w:p>
        </w:tc>
        <w:tc>
          <w:tcPr>
            <w:tcW w:w="709" w:type="dxa"/>
            <w:vAlign w:val="center"/>
          </w:tcPr>
          <w:p w14:paraId="1B37F5D0">
            <w:pPr>
              <w:jc w:val="center"/>
              <w:rPr>
                <w:color w:val="000000" w:themeColor="text1"/>
                <w:sz w:val="18"/>
                <w:szCs w:val="18"/>
                <w14:textFill>
                  <w14:solidFill>
                    <w14:schemeClr w14:val="tx1"/>
                  </w14:solidFill>
                </w14:textFill>
              </w:rPr>
            </w:pPr>
          </w:p>
        </w:tc>
        <w:tc>
          <w:tcPr>
            <w:tcW w:w="632" w:type="dxa"/>
            <w:vAlign w:val="center"/>
          </w:tcPr>
          <w:p w14:paraId="4CC5C01E">
            <w:pPr>
              <w:jc w:val="center"/>
              <w:rPr>
                <w:rFonts w:hint="eastAsia" w:eastAsia="宋体"/>
                <w:i w:val="0"/>
                <w:iCs/>
                <w:color w:val="auto"/>
                <w:sz w:val="18"/>
                <w:szCs w:val="18"/>
                <w:lang w:eastAsia="zh-CN"/>
              </w:rPr>
            </w:pPr>
            <w:r>
              <w:rPr>
                <w:rFonts w:hint="eastAsia"/>
                <w:i w:val="0"/>
                <w:iCs/>
                <w:color w:val="auto"/>
                <w:sz w:val="18"/>
                <w:szCs w:val="18"/>
                <w:lang w:val="en-US" w:eastAsia="zh-CN"/>
              </w:rPr>
              <w:t>4</w:t>
            </w:r>
          </w:p>
        </w:tc>
        <w:tc>
          <w:tcPr>
            <w:tcW w:w="1122" w:type="dxa"/>
            <w:vMerge w:val="restart"/>
            <w:vAlign w:val="center"/>
          </w:tcPr>
          <w:p w14:paraId="282FD48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144E3BB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CB8A5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0FCE78">
            <w:pPr>
              <w:rPr>
                <w:b/>
                <w:color w:val="000000" w:themeColor="text1"/>
                <w:sz w:val="18"/>
                <w:szCs w:val="18"/>
                <w14:textFill>
                  <w14:solidFill>
                    <w14:schemeClr w14:val="tx1"/>
                  </w14:solidFill>
                </w14:textFill>
              </w:rPr>
            </w:pPr>
          </w:p>
        </w:tc>
        <w:tc>
          <w:tcPr>
            <w:tcW w:w="1226" w:type="dxa"/>
            <w:vMerge w:val="continue"/>
            <w:vAlign w:val="center"/>
          </w:tcPr>
          <w:p w14:paraId="62F06F2B">
            <w:pPr>
              <w:jc w:val="center"/>
              <w:rPr>
                <w:b/>
                <w:color w:val="000000" w:themeColor="text1"/>
                <w:sz w:val="18"/>
                <w:szCs w:val="18"/>
                <w14:textFill>
                  <w14:solidFill>
                    <w14:schemeClr w14:val="tx1"/>
                  </w14:solidFill>
                </w14:textFill>
              </w:rPr>
            </w:pPr>
          </w:p>
        </w:tc>
        <w:tc>
          <w:tcPr>
            <w:tcW w:w="3516" w:type="dxa"/>
            <w:vAlign w:val="center"/>
          </w:tcPr>
          <w:p w14:paraId="2931EBA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1B2C5B97">
            <w:pPr>
              <w:jc w:val="center"/>
              <w:rPr>
                <w:color w:val="000000" w:themeColor="text1"/>
                <w:sz w:val="18"/>
                <w:szCs w:val="18"/>
                <w14:textFill>
                  <w14:solidFill>
                    <w14:schemeClr w14:val="tx1"/>
                  </w14:solidFill>
                </w14:textFill>
              </w:rPr>
            </w:pPr>
          </w:p>
        </w:tc>
        <w:tc>
          <w:tcPr>
            <w:tcW w:w="709" w:type="dxa"/>
            <w:vAlign w:val="center"/>
          </w:tcPr>
          <w:p w14:paraId="2EAE519D">
            <w:pPr>
              <w:jc w:val="center"/>
              <w:rPr>
                <w:color w:val="000000" w:themeColor="text1"/>
                <w:sz w:val="18"/>
                <w:szCs w:val="18"/>
                <w14:textFill>
                  <w14:solidFill>
                    <w14:schemeClr w14:val="tx1"/>
                  </w14:solidFill>
                </w14:textFill>
              </w:rPr>
            </w:pPr>
          </w:p>
        </w:tc>
        <w:tc>
          <w:tcPr>
            <w:tcW w:w="632" w:type="dxa"/>
            <w:vAlign w:val="center"/>
          </w:tcPr>
          <w:p w14:paraId="30C25FE5">
            <w:pPr>
              <w:jc w:val="center"/>
              <w:rPr>
                <w:rFonts w:hint="eastAsia" w:eastAsia="宋体"/>
                <w:i w:val="0"/>
                <w:iCs/>
                <w:color w:val="auto"/>
                <w:sz w:val="18"/>
                <w:szCs w:val="18"/>
                <w:lang w:eastAsia="zh-CN"/>
              </w:rPr>
            </w:pPr>
            <w:r>
              <w:rPr>
                <w:rFonts w:hint="eastAsia"/>
                <w:i w:val="0"/>
                <w:iCs/>
                <w:color w:val="auto"/>
                <w:sz w:val="18"/>
                <w:szCs w:val="18"/>
                <w:lang w:val="en-US" w:eastAsia="zh-CN"/>
              </w:rPr>
              <w:t>4</w:t>
            </w:r>
          </w:p>
        </w:tc>
        <w:tc>
          <w:tcPr>
            <w:tcW w:w="1122" w:type="dxa"/>
            <w:vMerge w:val="continue"/>
            <w:vAlign w:val="center"/>
          </w:tcPr>
          <w:p w14:paraId="0C9AD879">
            <w:pPr>
              <w:jc w:val="center"/>
              <w:rPr>
                <w:color w:val="000000" w:themeColor="text1"/>
                <w:sz w:val="18"/>
                <w:szCs w:val="18"/>
                <w14:textFill>
                  <w14:solidFill>
                    <w14:schemeClr w14:val="tx1"/>
                  </w14:solidFill>
                </w14:textFill>
              </w:rPr>
            </w:pPr>
          </w:p>
        </w:tc>
      </w:tr>
      <w:tr w14:paraId="668AAC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D1AC28E">
            <w:pPr>
              <w:rPr>
                <w:b/>
                <w:color w:val="000000" w:themeColor="text1"/>
                <w:sz w:val="18"/>
                <w:szCs w:val="18"/>
                <w14:textFill>
                  <w14:solidFill>
                    <w14:schemeClr w14:val="tx1"/>
                  </w14:solidFill>
                </w14:textFill>
              </w:rPr>
            </w:pPr>
          </w:p>
        </w:tc>
        <w:tc>
          <w:tcPr>
            <w:tcW w:w="1226" w:type="dxa"/>
            <w:vMerge w:val="continue"/>
            <w:vAlign w:val="center"/>
          </w:tcPr>
          <w:p w14:paraId="3F739F68">
            <w:pPr>
              <w:jc w:val="center"/>
              <w:rPr>
                <w:b/>
                <w:color w:val="000000" w:themeColor="text1"/>
                <w:sz w:val="18"/>
                <w:szCs w:val="18"/>
                <w14:textFill>
                  <w14:solidFill>
                    <w14:schemeClr w14:val="tx1"/>
                  </w14:solidFill>
                </w14:textFill>
              </w:rPr>
            </w:pPr>
          </w:p>
        </w:tc>
        <w:tc>
          <w:tcPr>
            <w:tcW w:w="3516" w:type="dxa"/>
            <w:vAlign w:val="center"/>
          </w:tcPr>
          <w:p w14:paraId="4FD2F368">
            <w:pPr>
              <w:rPr>
                <w:sz w:val="18"/>
                <w:szCs w:val="18"/>
              </w:rPr>
            </w:pPr>
            <w:r>
              <w:rPr>
                <w:sz w:val="18"/>
                <w:szCs w:val="18"/>
              </w:rPr>
              <w:t>论文中期进展报告</w:t>
            </w:r>
          </w:p>
        </w:tc>
        <w:tc>
          <w:tcPr>
            <w:tcW w:w="1081" w:type="dxa"/>
            <w:vAlign w:val="center"/>
          </w:tcPr>
          <w:p w14:paraId="4CCA7EC8">
            <w:pPr>
              <w:jc w:val="center"/>
              <w:rPr>
                <w:color w:val="000000" w:themeColor="text1"/>
                <w:sz w:val="18"/>
                <w:szCs w:val="18"/>
                <w14:textFill>
                  <w14:solidFill>
                    <w14:schemeClr w14:val="tx1"/>
                  </w14:solidFill>
                </w14:textFill>
              </w:rPr>
            </w:pPr>
          </w:p>
        </w:tc>
        <w:tc>
          <w:tcPr>
            <w:tcW w:w="709" w:type="dxa"/>
            <w:vAlign w:val="center"/>
          </w:tcPr>
          <w:p w14:paraId="3126B6A0">
            <w:pPr>
              <w:jc w:val="center"/>
              <w:rPr>
                <w:color w:val="000000" w:themeColor="text1"/>
                <w:sz w:val="18"/>
                <w:szCs w:val="18"/>
                <w14:textFill>
                  <w14:solidFill>
                    <w14:schemeClr w14:val="tx1"/>
                  </w14:solidFill>
                </w14:textFill>
              </w:rPr>
            </w:pPr>
          </w:p>
        </w:tc>
        <w:tc>
          <w:tcPr>
            <w:tcW w:w="632" w:type="dxa"/>
            <w:vAlign w:val="center"/>
          </w:tcPr>
          <w:p w14:paraId="5395195D">
            <w:pPr>
              <w:jc w:val="center"/>
              <w:rPr>
                <w:rFonts w:hint="eastAsia" w:eastAsia="宋体"/>
                <w:i w:val="0"/>
                <w:iCs/>
                <w:color w:val="auto"/>
                <w:sz w:val="18"/>
                <w:szCs w:val="18"/>
                <w:lang w:eastAsia="zh-CN"/>
              </w:rPr>
            </w:pPr>
            <w:r>
              <w:rPr>
                <w:rFonts w:hint="eastAsia"/>
                <w:i w:val="0"/>
                <w:iCs/>
                <w:color w:val="auto"/>
                <w:sz w:val="18"/>
                <w:szCs w:val="18"/>
                <w:lang w:val="en-US" w:eastAsia="zh-CN"/>
              </w:rPr>
              <w:t>5</w:t>
            </w:r>
          </w:p>
        </w:tc>
        <w:tc>
          <w:tcPr>
            <w:tcW w:w="1122" w:type="dxa"/>
            <w:vMerge w:val="continue"/>
          </w:tcPr>
          <w:p w14:paraId="2AC0CE0F">
            <w:pPr>
              <w:jc w:val="center"/>
              <w:rPr>
                <w:color w:val="000000" w:themeColor="text1"/>
                <w:sz w:val="18"/>
                <w:szCs w:val="18"/>
                <w14:textFill>
                  <w14:solidFill>
                    <w14:schemeClr w14:val="tx1"/>
                  </w14:solidFill>
                </w14:textFill>
              </w:rPr>
            </w:pPr>
          </w:p>
        </w:tc>
      </w:tr>
      <w:tr w14:paraId="1D9A92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591FA3">
            <w:pPr>
              <w:rPr>
                <w:b/>
                <w:color w:val="000000" w:themeColor="text1"/>
                <w:sz w:val="18"/>
                <w:szCs w:val="18"/>
                <w14:textFill>
                  <w14:solidFill>
                    <w14:schemeClr w14:val="tx1"/>
                  </w14:solidFill>
                </w14:textFill>
              </w:rPr>
            </w:pPr>
          </w:p>
        </w:tc>
        <w:tc>
          <w:tcPr>
            <w:tcW w:w="1226" w:type="dxa"/>
            <w:vMerge w:val="continue"/>
            <w:vAlign w:val="center"/>
          </w:tcPr>
          <w:p w14:paraId="339CBDC1">
            <w:pPr>
              <w:jc w:val="center"/>
              <w:rPr>
                <w:b/>
                <w:color w:val="000000" w:themeColor="text1"/>
                <w:sz w:val="18"/>
                <w:szCs w:val="18"/>
                <w14:textFill>
                  <w14:solidFill>
                    <w14:schemeClr w14:val="tx1"/>
                  </w14:solidFill>
                </w14:textFill>
              </w:rPr>
            </w:pPr>
          </w:p>
        </w:tc>
        <w:tc>
          <w:tcPr>
            <w:tcW w:w="3516" w:type="dxa"/>
            <w:vAlign w:val="center"/>
          </w:tcPr>
          <w:p w14:paraId="19ACBFE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3862A064">
            <w:pPr>
              <w:jc w:val="center"/>
              <w:rPr>
                <w:color w:val="000000" w:themeColor="text1"/>
                <w:sz w:val="18"/>
                <w:szCs w:val="18"/>
                <w14:textFill>
                  <w14:solidFill>
                    <w14:schemeClr w14:val="tx1"/>
                  </w14:solidFill>
                </w14:textFill>
              </w:rPr>
            </w:pPr>
          </w:p>
        </w:tc>
        <w:tc>
          <w:tcPr>
            <w:tcW w:w="709" w:type="dxa"/>
            <w:vAlign w:val="center"/>
          </w:tcPr>
          <w:p w14:paraId="2D3C9CFE">
            <w:pPr>
              <w:jc w:val="center"/>
              <w:rPr>
                <w:color w:val="000000" w:themeColor="text1"/>
                <w:sz w:val="18"/>
                <w:szCs w:val="18"/>
                <w14:textFill>
                  <w14:solidFill>
                    <w14:schemeClr w14:val="tx1"/>
                  </w14:solidFill>
                </w14:textFill>
              </w:rPr>
            </w:pPr>
          </w:p>
        </w:tc>
        <w:tc>
          <w:tcPr>
            <w:tcW w:w="632" w:type="dxa"/>
            <w:vAlign w:val="center"/>
          </w:tcPr>
          <w:p w14:paraId="6C63ECE7">
            <w:pPr>
              <w:jc w:val="center"/>
              <w:rPr>
                <w:rFonts w:hint="eastAsia" w:eastAsia="宋体"/>
                <w:i w:val="0"/>
                <w:iCs/>
                <w:color w:val="auto"/>
                <w:sz w:val="18"/>
                <w:szCs w:val="18"/>
                <w:lang w:eastAsia="zh-CN"/>
              </w:rPr>
            </w:pPr>
            <w:r>
              <w:rPr>
                <w:rFonts w:hint="eastAsia"/>
                <w:i w:val="0"/>
                <w:iCs/>
                <w:color w:val="auto"/>
                <w:sz w:val="18"/>
                <w:szCs w:val="18"/>
                <w:lang w:val="en-US" w:eastAsia="zh-CN"/>
              </w:rPr>
              <w:t>6</w:t>
            </w:r>
          </w:p>
        </w:tc>
        <w:tc>
          <w:tcPr>
            <w:tcW w:w="1122" w:type="dxa"/>
            <w:vMerge w:val="continue"/>
          </w:tcPr>
          <w:p w14:paraId="04B38FDF">
            <w:pPr>
              <w:jc w:val="center"/>
              <w:rPr>
                <w:color w:val="000000" w:themeColor="text1"/>
                <w:sz w:val="18"/>
                <w:szCs w:val="18"/>
                <w14:textFill>
                  <w14:solidFill>
                    <w14:schemeClr w14:val="tx1"/>
                  </w14:solidFill>
                </w14:textFill>
              </w:rPr>
            </w:pPr>
          </w:p>
        </w:tc>
      </w:tr>
      <w:tr w14:paraId="6F4E1E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1EEA56B">
            <w:pPr>
              <w:rPr>
                <w:color w:val="000000" w:themeColor="text1"/>
                <w:sz w:val="18"/>
                <w:szCs w:val="18"/>
                <w14:textFill>
                  <w14:solidFill>
                    <w14:schemeClr w14:val="tx1"/>
                  </w14:solidFill>
                </w14:textFill>
              </w:rPr>
            </w:pPr>
          </w:p>
        </w:tc>
        <w:tc>
          <w:tcPr>
            <w:tcW w:w="1226" w:type="dxa"/>
            <w:vMerge w:val="continue"/>
          </w:tcPr>
          <w:p w14:paraId="78FB6C92">
            <w:pPr>
              <w:jc w:val="center"/>
              <w:rPr>
                <w:color w:val="000000" w:themeColor="text1"/>
                <w:sz w:val="18"/>
                <w:szCs w:val="18"/>
                <w14:textFill>
                  <w14:solidFill>
                    <w14:schemeClr w14:val="tx1"/>
                  </w14:solidFill>
                </w14:textFill>
              </w:rPr>
            </w:pPr>
          </w:p>
        </w:tc>
        <w:tc>
          <w:tcPr>
            <w:tcW w:w="3516" w:type="dxa"/>
            <w:vAlign w:val="center"/>
          </w:tcPr>
          <w:p w14:paraId="225F993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254D401C">
            <w:pPr>
              <w:jc w:val="center"/>
              <w:rPr>
                <w:color w:val="000000" w:themeColor="text1"/>
                <w:sz w:val="18"/>
                <w:szCs w:val="18"/>
                <w14:textFill>
                  <w14:solidFill>
                    <w14:schemeClr w14:val="tx1"/>
                  </w14:solidFill>
                </w14:textFill>
              </w:rPr>
            </w:pPr>
          </w:p>
        </w:tc>
        <w:tc>
          <w:tcPr>
            <w:tcW w:w="709" w:type="dxa"/>
            <w:vAlign w:val="center"/>
          </w:tcPr>
          <w:p w14:paraId="1A174D09">
            <w:pPr>
              <w:jc w:val="center"/>
              <w:rPr>
                <w:color w:val="000000" w:themeColor="text1"/>
                <w:sz w:val="18"/>
                <w:szCs w:val="18"/>
                <w14:textFill>
                  <w14:solidFill>
                    <w14:schemeClr w14:val="tx1"/>
                  </w14:solidFill>
                </w14:textFill>
              </w:rPr>
            </w:pPr>
          </w:p>
        </w:tc>
        <w:tc>
          <w:tcPr>
            <w:tcW w:w="632" w:type="dxa"/>
            <w:vAlign w:val="center"/>
          </w:tcPr>
          <w:p w14:paraId="5332ABA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122" w:type="dxa"/>
            <w:vMerge w:val="continue"/>
          </w:tcPr>
          <w:p w14:paraId="188DEB3C">
            <w:pPr>
              <w:jc w:val="center"/>
              <w:rPr>
                <w:color w:val="000000" w:themeColor="text1"/>
                <w:sz w:val="18"/>
                <w:szCs w:val="18"/>
                <w14:textFill>
                  <w14:solidFill>
                    <w14:schemeClr w14:val="tx1"/>
                  </w14:solidFill>
                </w14:textFill>
              </w:rPr>
            </w:pPr>
          </w:p>
        </w:tc>
      </w:tr>
      <w:tr w14:paraId="0B47D3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D48AFA">
            <w:pPr>
              <w:rPr>
                <w:color w:val="000000" w:themeColor="text1"/>
                <w:sz w:val="18"/>
                <w:szCs w:val="18"/>
                <w14:textFill>
                  <w14:solidFill>
                    <w14:schemeClr w14:val="tx1"/>
                  </w14:solidFill>
                </w14:textFill>
              </w:rPr>
            </w:pPr>
          </w:p>
        </w:tc>
        <w:tc>
          <w:tcPr>
            <w:tcW w:w="1226" w:type="dxa"/>
            <w:vMerge w:val="continue"/>
          </w:tcPr>
          <w:p w14:paraId="309D4BD4">
            <w:pPr>
              <w:jc w:val="center"/>
              <w:rPr>
                <w:color w:val="000000" w:themeColor="text1"/>
                <w:sz w:val="18"/>
                <w:szCs w:val="18"/>
                <w14:textFill>
                  <w14:solidFill>
                    <w14:schemeClr w14:val="tx1"/>
                  </w14:solidFill>
                </w14:textFill>
              </w:rPr>
            </w:pPr>
          </w:p>
        </w:tc>
        <w:tc>
          <w:tcPr>
            <w:tcW w:w="3516" w:type="dxa"/>
            <w:vAlign w:val="center"/>
          </w:tcPr>
          <w:p w14:paraId="4FA4785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60C8D46F">
            <w:pPr>
              <w:jc w:val="center"/>
              <w:rPr>
                <w:color w:val="000000" w:themeColor="text1"/>
                <w:sz w:val="18"/>
                <w:szCs w:val="18"/>
                <w14:textFill>
                  <w14:solidFill>
                    <w14:schemeClr w14:val="tx1"/>
                  </w14:solidFill>
                </w14:textFill>
              </w:rPr>
            </w:pPr>
          </w:p>
        </w:tc>
        <w:tc>
          <w:tcPr>
            <w:tcW w:w="709" w:type="dxa"/>
            <w:vAlign w:val="center"/>
          </w:tcPr>
          <w:p w14:paraId="645601BD">
            <w:pPr>
              <w:jc w:val="center"/>
              <w:rPr>
                <w:color w:val="000000" w:themeColor="text1"/>
                <w:sz w:val="18"/>
                <w:szCs w:val="18"/>
                <w14:textFill>
                  <w14:solidFill>
                    <w14:schemeClr w14:val="tx1"/>
                  </w14:solidFill>
                </w14:textFill>
              </w:rPr>
            </w:pPr>
          </w:p>
        </w:tc>
        <w:tc>
          <w:tcPr>
            <w:tcW w:w="632" w:type="dxa"/>
            <w:vAlign w:val="center"/>
          </w:tcPr>
          <w:p w14:paraId="2BF9213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122" w:type="dxa"/>
            <w:vMerge w:val="continue"/>
          </w:tcPr>
          <w:p w14:paraId="213FC955">
            <w:pPr>
              <w:jc w:val="center"/>
              <w:rPr>
                <w:color w:val="000000" w:themeColor="text1"/>
                <w:sz w:val="18"/>
                <w:szCs w:val="18"/>
                <w14:textFill>
                  <w14:solidFill>
                    <w14:schemeClr w14:val="tx1"/>
                  </w14:solidFill>
                </w14:textFill>
              </w:rPr>
            </w:pPr>
          </w:p>
        </w:tc>
      </w:tr>
    </w:tbl>
    <w:p w14:paraId="4C3ECBF6">
      <w:pPr>
        <w:spacing w:line="440" w:lineRule="exact"/>
        <w:ind w:firstLine="480" w:firstLineChars="200"/>
        <w:rPr>
          <w:rFonts w:eastAsia="黑体"/>
          <w:bCs/>
          <w:sz w:val="28"/>
          <w:szCs w:val="28"/>
        </w:rPr>
      </w:pPr>
      <w:r>
        <w:rPr>
          <w:rFonts w:eastAsiaTheme="minorEastAsia"/>
          <w:bCs/>
          <w:sz w:val="24"/>
        </w:rPr>
        <w:t>*公共外语课程按入学时的外国语考试科目修读相关语种。</w:t>
      </w:r>
    </w:p>
    <w:p w14:paraId="44EE4B15">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75054133">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1D13121E">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422009EB">
      <w:pPr>
        <w:spacing w:line="440" w:lineRule="exact"/>
        <w:ind w:firstLine="480" w:firstLineChars="200"/>
        <w:rPr>
          <w:rFonts w:hint="eastAsia" w:eastAsiaTheme="minorEastAsia"/>
          <w:bCs/>
          <w:sz w:val="24"/>
          <w:lang w:val="en-US" w:eastAsia="zh-CN"/>
        </w:rPr>
      </w:pPr>
      <w:r>
        <w:rPr>
          <w:rFonts w:hint="eastAsia" w:eastAsiaTheme="minorEastAsia"/>
          <w:bCs/>
          <w:sz w:val="24"/>
          <w:lang w:val="en-US" w:eastAsia="zh-CN"/>
        </w:rPr>
        <w:t>3. 除学校认定的学科竞赛项目外，以下为本专业认定的学科竞赛项目：</w:t>
      </w:r>
    </w:p>
    <w:p w14:paraId="3A6FB8F7">
      <w:pPr>
        <w:spacing w:line="440" w:lineRule="exact"/>
        <w:ind w:firstLine="480" w:firstLineChars="200"/>
        <w:rPr>
          <w:rFonts w:hint="default" w:ascii="Calibri" w:hAnsi="Calibri" w:cs="Calibri" w:eastAsiaTheme="minorEastAsia"/>
          <w:bCs/>
          <w:sz w:val="24"/>
          <w:lang w:val="en-US" w:eastAsia="zh-CN"/>
        </w:rPr>
      </w:pPr>
      <w:r>
        <w:rPr>
          <w:rFonts w:hint="eastAsia" w:eastAsiaTheme="minorEastAsia"/>
          <w:bCs/>
          <w:sz w:val="24"/>
          <w:lang w:val="en-US" w:eastAsia="zh-CN"/>
        </w:rPr>
        <w:t xml:space="preserve">  （1）</w:t>
      </w:r>
      <w:r>
        <w:rPr>
          <w:rFonts w:hint="default" w:ascii="Calibri" w:hAnsi="Calibri" w:cs="Calibri" w:eastAsiaTheme="minorEastAsia"/>
          <w:bCs/>
          <w:sz w:val="24"/>
          <w:lang w:val="en-US" w:eastAsia="zh-CN"/>
        </w:rPr>
        <w:t>全国信息资源管理案例大赛</w:t>
      </w:r>
    </w:p>
    <w:p w14:paraId="734BE143">
      <w:pPr>
        <w:spacing w:line="440" w:lineRule="exact"/>
        <w:ind w:firstLine="720" w:firstLineChars="300"/>
        <w:rPr>
          <w:rFonts w:hint="default" w:ascii="Times New Roman" w:hAnsi="Times New Roman" w:cs="Times New Roman" w:eastAsiaTheme="minorEastAsia"/>
          <w:bCs/>
          <w:sz w:val="24"/>
          <w:lang w:val="en-US" w:eastAsia="zh-CN"/>
        </w:rPr>
      </w:pPr>
      <w:r>
        <w:rPr>
          <w:rFonts w:hint="eastAsia" w:ascii="Calibri" w:hAnsi="Calibri" w:cs="Calibri" w:eastAsiaTheme="minorEastAsia"/>
          <w:bCs/>
          <w:sz w:val="24"/>
          <w:lang w:val="en-US" w:eastAsia="zh-CN"/>
        </w:rPr>
        <w:t>（2）</w:t>
      </w:r>
      <w:r>
        <w:rPr>
          <w:rFonts w:hint="default" w:ascii="Calibri" w:hAnsi="Calibri" w:cs="Calibri" w:eastAsiaTheme="minorEastAsia"/>
          <w:bCs/>
          <w:sz w:val="24"/>
          <w:lang w:val="en-US" w:eastAsia="zh-CN"/>
        </w:rPr>
        <w:t>全国图书情报案例大赛</w:t>
      </w:r>
    </w:p>
    <w:p w14:paraId="0FEE5657">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BFE717"/>
    <w:multiLevelType w:val="singleLevel"/>
    <w:tmpl w:val="C0BFE71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BF588C"/>
    <w:rsid w:val="114F6F76"/>
    <w:rsid w:val="138F0D45"/>
    <w:rsid w:val="1C2A7637"/>
    <w:rsid w:val="1F5F3A9B"/>
    <w:rsid w:val="1FE96C05"/>
    <w:rsid w:val="23C24E74"/>
    <w:rsid w:val="260A758F"/>
    <w:rsid w:val="30D30BA7"/>
    <w:rsid w:val="31741628"/>
    <w:rsid w:val="4DD83A9D"/>
    <w:rsid w:val="5385202A"/>
    <w:rsid w:val="5CED210B"/>
    <w:rsid w:val="5FBA204D"/>
    <w:rsid w:val="5FDA20D0"/>
    <w:rsid w:val="60FA2528"/>
    <w:rsid w:val="67A9572F"/>
    <w:rsid w:val="6E085C25"/>
    <w:rsid w:val="6FB91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4165</Words>
  <Characters>4457</Characters>
  <Lines>137</Lines>
  <Paragraphs>38</Paragraphs>
  <TotalTime>44</TotalTime>
  <ScaleCrop>false</ScaleCrop>
  <LinksUpToDate>false</LinksUpToDate>
  <CharactersWithSpaces>4484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送送</cp:lastModifiedBy>
  <cp:lastPrinted>2025-04-21T01:51:00Z</cp:lastPrinted>
  <dcterms:modified xsi:type="dcterms:W3CDTF">2025-07-11T10:30:55Z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2869D421759C4A17BD43E7A9973F94BE_13</vt:lpwstr>
  </property>
</Properties>
</file>