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326DF">
      <w:pPr>
        <w:ind w:left="321" w:leftChars="153" w:right="227"/>
        <w:jc w:val="center"/>
        <w:rPr>
          <w:rFonts w:eastAsia="黑体"/>
          <w:b/>
          <w:bCs/>
          <w:sz w:val="36"/>
          <w:szCs w:val="36"/>
        </w:rPr>
      </w:pPr>
      <w:r>
        <w:rPr>
          <w:rFonts w:hint="eastAsia" w:eastAsia="黑体"/>
          <w:b/>
          <w:bCs/>
          <w:iCs/>
          <w:sz w:val="36"/>
          <w:szCs w:val="36"/>
          <w:u w:val="single"/>
        </w:rPr>
        <w:t>情报学</w:t>
      </w:r>
      <w:r>
        <w:rPr>
          <w:rFonts w:eastAsia="黑体"/>
          <w:b/>
          <w:bCs/>
          <w:sz w:val="36"/>
          <w:szCs w:val="36"/>
        </w:rPr>
        <w:t>专业学术学位硕士研究生培养方案</w:t>
      </w:r>
    </w:p>
    <w:p w14:paraId="338BAB92">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1EE5AD17">
      <w:pPr>
        <w:spacing w:line="360" w:lineRule="auto"/>
        <w:ind w:firstLine="560"/>
        <w:rPr>
          <w:rFonts w:eastAsia="黑体"/>
          <w:bCs/>
          <w:sz w:val="28"/>
          <w:szCs w:val="28"/>
        </w:rPr>
      </w:pPr>
      <w:r>
        <w:rPr>
          <w:rFonts w:eastAsia="黑体"/>
          <w:bCs/>
          <w:sz w:val="28"/>
          <w:szCs w:val="28"/>
        </w:rPr>
        <w:t>一、专业名称、代码</w:t>
      </w:r>
    </w:p>
    <w:p w14:paraId="42730AB6">
      <w:pPr>
        <w:widowControl/>
        <w:spacing w:before="100" w:beforeAutospacing="1" w:after="100" w:afterAutospacing="1"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情报学</w:t>
      </w:r>
    </w:p>
    <w:p w14:paraId="0814D0B8">
      <w:pPr>
        <w:widowControl/>
        <w:spacing w:before="100" w:beforeAutospacing="1" w:after="100" w:afterAutospacing="1"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120502</w:t>
      </w:r>
    </w:p>
    <w:p w14:paraId="58F38D95">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10668785">
      <w:pPr>
        <w:spacing w:line="360" w:lineRule="auto"/>
        <w:ind w:firstLine="480" w:firstLineChars="200"/>
        <w:rPr>
          <w:rFonts w:hint="eastAsia" w:ascii="宋体" w:hAnsi="宋体" w:cs="宋体"/>
          <w:sz w:val="24"/>
        </w:rPr>
      </w:pPr>
      <w:r>
        <w:rPr>
          <w:rFonts w:hint="eastAsia" w:ascii="宋体" w:hAnsi="宋体" w:cs="宋体"/>
          <w:sz w:val="24"/>
        </w:rPr>
        <w:t>情报学以数据、信息、知识、情报等核心概念为基础，以人类社会中的信息与情报现象、信息与情报活动为研究对象，研究情报的获取、传递与利用规律以及现代信息技术在情报流通过程及情报系统中的应用问题，关注与信息的产生、收集、组织、存储、检索、阐释、传递与利用等相关的知识体系。</w:t>
      </w:r>
    </w:p>
    <w:p w14:paraId="7A106439">
      <w:pPr>
        <w:spacing w:line="360" w:lineRule="auto"/>
        <w:ind w:firstLine="480" w:firstLineChars="200"/>
        <w:rPr>
          <w:rFonts w:hint="eastAsia" w:ascii="宋体" w:hAnsi="宋体" w:cs="宋体"/>
          <w:sz w:val="24"/>
        </w:rPr>
      </w:pPr>
      <w:r>
        <w:rPr>
          <w:rFonts w:hint="eastAsia" w:ascii="宋体" w:hAnsi="宋体" w:cs="宋体"/>
          <w:sz w:val="24"/>
        </w:rPr>
        <w:t>情报学是研究情报的构成、组织、交流、开发利用及社会情报活动规律的一门科学。信息技术和人工智能等新技术的发展，使得情报学的研究已深入到各个学科领域。本学位点师资结构合理，科研能力和社会服务能力兼具。研究特色既保持了传统情报学研究基础，又积极借鉴其他学科的方法，在信息组织和信息检索技术、信息行为、数据管理和治理、人工智能治理等方面进行诸多创新性研究。本学位点致力于培养一些具有扎实的情报学基本理论，基础知识和技能，对情报学发展中的前沿课题能深入进行研究并获得进展，满足社会对情报信息分析及开发利用需要的高层次专门人才。</w:t>
      </w:r>
    </w:p>
    <w:p w14:paraId="7CDD300C">
      <w:pPr>
        <w:spacing w:line="360" w:lineRule="auto"/>
        <w:ind w:firstLine="560" w:firstLineChars="200"/>
        <w:rPr>
          <w:rFonts w:eastAsia="黑体"/>
          <w:bCs/>
          <w:sz w:val="28"/>
          <w:szCs w:val="28"/>
        </w:rPr>
      </w:pPr>
      <w:r>
        <w:rPr>
          <w:rFonts w:eastAsia="黑体"/>
          <w:bCs/>
          <w:sz w:val="28"/>
          <w:szCs w:val="28"/>
        </w:rPr>
        <w:t>三、研究方向</w:t>
      </w:r>
    </w:p>
    <w:p w14:paraId="1A00ECE5">
      <w:pPr>
        <w:spacing w:line="360" w:lineRule="auto"/>
        <w:ind w:firstLine="480" w:firstLineChars="200"/>
        <w:rPr>
          <w:rFonts w:hint="eastAsia" w:ascii="宋体" w:hAnsi="宋体" w:cs="宋体"/>
          <w:sz w:val="24"/>
        </w:rPr>
      </w:pPr>
      <w:r>
        <w:rPr>
          <w:rFonts w:hint="eastAsia" w:ascii="宋体" w:hAnsi="宋体" w:cs="宋体"/>
          <w:sz w:val="24"/>
        </w:rPr>
        <w:t>1. 信息组织与检索技术研究</w:t>
      </w:r>
    </w:p>
    <w:p w14:paraId="79173318">
      <w:pPr>
        <w:spacing w:line="360" w:lineRule="auto"/>
        <w:ind w:firstLine="480" w:firstLineChars="200"/>
        <w:rPr>
          <w:rFonts w:hint="eastAsia" w:ascii="宋体" w:hAnsi="宋体" w:cs="宋体"/>
          <w:sz w:val="24"/>
        </w:rPr>
      </w:pPr>
      <w:r>
        <w:rPr>
          <w:rFonts w:hint="eastAsia" w:ascii="宋体" w:hAnsi="宋体" w:cs="宋体"/>
          <w:sz w:val="24"/>
        </w:rPr>
        <w:t>该方向主要研究分类法和主题法等经典方法在数智环境下的发展与应用，数智环境下信息组织新方法与技术，信息组织在各个领域的应用问题，信息检索方法与技术，信息检索系统建设与管理，信息推荐及智能问答等。该方向面向数智社会的信息、知识和内容序化、转化、获取与利用需求，培养具备信息/知识组织与检索理论知识、技术开发与系统管理的高层次复合型专门人才。</w:t>
      </w:r>
    </w:p>
    <w:p w14:paraId="1524DE20">
      <w:pPr>
        <w:spacing w:line="360" w:lineRule="auto"/>
        <w:ind w:firstLine="480" w:firstLineChars="200"/>
        <w:rPr>
          <w:rFonts w:hint="eastAsia" w:ascii="宋体" w:hAnsi="宋体" w:cs="宋体"/>
          <w:sz w:val="24"/>
        </w:rPr>
      </w:pPr>
      <w:r>
        <w:rPr>
          <w:rFonts w:hint="eastAsia" w:ascii="宋体" w:hAnsi="宋体" w:cs="宋体"/>
          <w:sz w:val="24"/>
        </w:rPr>
        <w:t>2.信息管理与信息服务研究</w:t>
      </w:r>
    </w:p>
    <w:p w14:paraId="0BD8883F">
      <w:pPr>
        <w:spacing w:line="360" w:lineRule="auto"/>
        <w:ind w:firstLine="480" w:firstLineChars="200"/>
        <w:rPr>
          <w:rFonts w:hint="eastAsia" w:ascii="宋体" w:hAnsi="宋体" w:cs="宋体"/>
          <w:sz w:val="24"/>
        </w:rPr>
      </w:pPr>
      <w:r>
        <w:rPr>
          <w:rFonts w:hint="eastAsia" w:ascii="宋体" w:hAnsi="宋体" w:cs="宋体"/>
          <w:sz w:val="24"/>
        </w:rPr>
        <w:t>主要研究信息管理理论与方法，不同类型用户信息需求识别与分析、信息行为理论与方法，信息服务和智库服务理论与实践，用户体验及信息服务模式，信息服务政策与法律保障等。该方向为各级政府、企业和公共部门提供掌握信息管理、信息服务与实施、信息产品设计与运营等理论与方法，从而解决相关问题的高层次复合型专门人才。</w:t>
      </w:r>
    </w:p>
    <w:p w14:paraId="761B813E">
      <w:pPr>
        <w:spacing w:line="360" w:lineRule="auto"/>
        <w:ind w:firstLine="480" w:firstLineChars="200"/>
        <w:rPr>
          <w:rFonts w:hint="eastAsia" w:ascii="宋体" w:hAnsi="宋体" w:cs="宋体"/>
          <w:sz w:val="24"/>
        </w:rPr>
      </w:pPr>
      <w:r>
        <w:rPr>
          <w:rFonts w:hint="eastAsia" w:ascii="宋体" w:hAnsi="宋体" w:cs="宋体"/>
          <w:sz w:val="24"/>
        </w:rPr>
        <w:t>3.数据管理与治理研究</w:t>
      </w:r>
    </w:p>
    <w:p w14:paraId="110A5D24">
      <w:pPr>
        <w:spacing w:line="360" w:lineRule="auto"/>
        <w:ind w:firstLine="480" w:firstLineChars="200"/>
        <w:rPr>
          <w:rFonts w:hint="eastAsia" w:ascii="宋体" w:hAnsi="宋体" w:cs="宋体"/>
          <w:sz w:val="24"/>
        </w:rPr>
      </w:pPr>
      <w:r>
        <w:rPr>
          <w:rFonts w:hint="eastAsia" w:ascii="宋体" w:hAnsi="宋体" w:cs="宋体"/>
          <w:sz w:val="24"/>
        </w:rPr>
        <w:t xml:space="preserve"> 以数据、大数据、人工智能数据等为研究对象，以数据分析和挖掘方法等为工具，进行政府数据、企业数据和用户行为数据等治理理论和管理实践的研究，核心内容包括数据标注和数据挖掘，数据分析及应用，数据治理体系，人工智能治理与规则、数字孪生与应用等。该方向为各类社会组织培养能够利用现代数据方法与工具进行分析、挖掘和管理的高层次专门人才。</w:t>
      </w:r>
    </w:p>
    <w:p w14:paraId="527C022A">
      <w:pPr>
        <w:spacing w:line="360" w:lineRule="auto"/>
        <w:ind w:firstLine="560" w:firstLineChars="200"/>
        <w:rPr>
          <w:rFonts w:eastAsia="黑体"/>
          <w:bCs/>
          <w:sz w:val="28"/>
          <w:szCs w:val="28"/>
        </w:rPr>
      </w:pPr>
      <w:r>
        <w:rPr>
          <w:rFonts w:eastAsia="黑体"/>
          <w:bCs/>
          <w:sz w:val="28"/>
          <w:szCs w:val="28"/>
        </w:rPr>
        <w:t>四、学制及学习年限</w:t>
      </w:r>
    </w:p>
    <w:p w14:paraId="17285E41">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8DC4E8E">
      <w:pPr>
        <w:spacing w:line="360" w:lineRule="auto"/>
        <w:ind w:firstLine="560" w:firstLineChars="200"/>
        <w:rPr>
          <w:rFonts w:eastAsia="黑体"/>
          <w:bCs/>
          <w:sz w:val="28"/>
          <w:szCs w:val="28"/>
        </w:rPr>
      </w:pPr>
      <w:r>
        <w:rPr>
          <w:rFonts w:eastAsia="黑体"/>
          <w:bCs/>
          <w:sz w:val="28"/>
          <w:szCs w:val="28"/>
        </w:rPr>
        <w:t>五、培养目标</w:t>
      </w:r>
    </w:p>
    <w:p w14:paraId="7408670E">
      <w:pPr>
        <w:spacing w:line="360" w:lineRule="auto"/>
        <w:ind w:firstLine="480" w:firstLineChars="200"/>
        <w:rPr>
          <w:rFonts w:hint="eastAsia" w:ascii="宋体" w:hAnsi="宋体" w:cs="宋体"/>
          <w:sz w:val="24"/>
        </w:rPr>
      </w:pPr>
      <w:r>
        <w:rPr>
          <w:rFonts w:hint="eastAsia" w:ascii="宋体" w:hAnsi="宋体" w:cs="宋体"/>
          <w:sz w:val="24"/>
        </w:rPr>
        <w:t>1. 全面、准确地掌握马克思主义的基本理论，拥护中国共产党的领导，拥护社会主义的制度，热爱祖国，遵纪守法，品行端正，具有良好的政治素养、高尚的职业道德和敬业精神；</w:t>
      </w:r>
    </w:p>
    <w:p w14:paraId="7BA22371">
      <w:pPr>
        <w:spacing w:line="360" w:lineRule="auto"/>
        <w:ind w:firstLine="480" w:firstLineChars="200"/>
        <w:rPr>
          <w:rFonts w:hint="eastAsia" w:ascii="宋体" w:hAnsi="宋体" w:cs="宋体"/>
          <w:sz w:val="24"/>
        </w:rPr>
      </w:pPr>
      <w:r>
        <w:rPr>
          <w:rFonts w:hint="eastAsia" w:ascii="宋体" w:hAnsi="宋体" w:cs="宋体"/>
          <w:sz w:val="24"/>
        </w:rPr>
        <w:t>2. 掌握坚实宽广的情报学基础理论和系统深入的专门知识，掌握情报学研究方法及相关工具和技术，熟悉情报学前沿研究领域，具有独立从事情报理论研究和运用专业知识解决实际问题的能力。</w:t>
      </w:r>
    </w:p>
    <w:p w14:paraId="10C35F08">
      <w:pPr>
        <w:spacing w:line="360" w:lineRule="auto"/>
        <w:ind w:firstLine="480" w:firstLineChars="200"/>
        <w:rPr>
          <w:rFonts w:hint="eastAsia" w:ascii="宋体" w:hAnsi="宋体" w:cs="宋体"/>
          <w:sz w:val="24"/>
        </w:rPr>
      </w:pPr>
      <w:r>
        <w:rPr>
          <w:rFonts w:hint="eastAsia" w:ascii="宋体" w:hAnsi="宋体" w:cs="宋体"/>
          <w:sz w:val="24"/>
        </w:rPr>
        <w:t>3. 至少掌握一门外国语，能熟练阅读本专业的外文资料，具有撰写学术论文和进行国际学术交流的能力。</w:t>
      </w:r>
    </w:p>
    <w:p w14:paraId="40692B10">
      <w:pPr>
        <w:spacing w:line="360" w:lineRule="auto"/>
        <w:ind w:firstLine="480" w:firstLineChars="200"/>
        <w:rPr>
          <w:rFonts w:hint="eastAsia" w:ascii="宋体" w:hAnsi="宋体" w:cs="宋体"/>
          <w:sz w:val="24"/>
        </w:rPr>
      </w:pPr>
      <w:r>
        <w:rPr>
          <w:rFonts w:hint="eastAsia" w:ascii="宋体" w:hAnsi="宋体" w:cs="宋体"/>
          <w:sz w:val="24"/>
        </w:rPr>
        <w:t>4. 具有良好的团队意识和团队合作精神。</w:t>
      </w:r>
    </w:p>
    <w:p w14:paraId="2ECED55B">
      <w:pPr>
        <w:spacing w:line="360" w:lineRule="auto"/>
        <w:ind w:firstLine="480" w:firstLineChars="200"/>
        <w:rPr>
          <w:rFonts w:eastAsiaTheme="minorEastAsia"/>
          <w:i/>
          <w:color w:val="FF0000"/>
          <w:sz w:val="24"/>
        </w:rPr>
      </w:pPr>
      <w:r>
        <w:rPr>
          <w:rFonts w:hint="eastAsia" w:ascii="宋体" w:hAnsi="宋体" w:cs="宋体"/>
          <w:sz w:val="24"/>
        </w:rPr>
        <w:t>5. 具有健康的身体和良好的心理素质。</w:t>
      </w:r>
    </w:p>
    <w:p w14:paraId="7C503C2B">
      <w:pPr>
        <w:spacing w:line="360" w:lineRule="auto"/>
        <w:ind w:firstLine="560" w:firstLineChars="200"/>
        <w:rPr>
          <w:rFonts w:eastAsia="黑体"/>
          <w:bCs/>
          <w:sz w:val="28"/>
          <w:szCs w:val="28"/>
        </w:rPr>
      </w:pPr>
      <w:r>
        <w:rPr>
          <w:rFonts w:eastAsia="黑体"/>
          <w:bCs/>
          <w:sz w:val="28"/>
          <w:szCs w:val="28"/>
        </w:rPr>
        <w:t>六、培养方式</w:t>
      </w:r>
    </w:p>
    <w:p w14:paraId="08D02902">
      <w:pPr>
        <w:spacing w:line="360" w:lineRule="auto"/>
        <w:ind w:firstLine="480" w:firstLineChars="200"/>
        <w:rPr>
          <w:rFonts w:hint="eastAsia" w:ascii="宋体" w:hAnsi="宋体" w:cs="宋体"/>
          <w:sz w:val="24"/>
        </w:rPr>
      </w:pPr>
      <w:r>
        <w:rPr>
          <w:rFonts w:hint="eastAsia" w:ascii="宋体" w:hAnsi="宋体" w:cs="宋体"/>
          <w:sz w:val="24"/>
        </w:rPr>
        <w:t>1.导师指导。实行导师个别指导与导师组集体培养相结合的方式。在学生入学后经过双向选择确定导师，导师与学生共同制定学习规划，同时建立导师组定期集体指导活动。</w:t>
      </w:r>
    </w:p>
    <w:p w14:paraId="15AF4C52">
      <w:pPr>
        <w:spacing w:line="360" w:lineRule="auto"/>
        <w:ind w:firstLine="480" w:firstLineChars="200"/>
        <w:rPr>
          <w:rFonts w:hint="eastAsia" w:ascii="宋体" w:hAnsi="宋体" w:cs="宋体"/>
          <w:sz w:val="24"/>
        </w:rPr>
      </w:pPr>
      <w:r>
        <w:rPr>
          <w:rFonts w:hint="eastAsia" w:ascii="宋体" w:hAnsi="宋体" w:cs="宋体"/>
          <w:sz w:val="24"/>
        </w:rPr>
        <w:t>2.课程教学。采用课堂讲授、专题讨论、案例分析等多种教学方法。多门课程由导师组共同授课，保证教学内容和教学方法的科学性和先进性。鼓励学生跨学科、跨专业选修相关课程，拓宽学术视野。</w:t>
      </w:r>
    </w:p>
    <w:p w14:paraId="4067B962">
      <w:pPr>
        <w:spacing w:line="360" w:lineRule="auto"/>
        <w:ind w:firstLine="480" w:firstLineChars="200"/>
        <w:rPr>
          <w:rFonts w:hint="eastAsia" w:ascii="宋体" w:hAnsi="宋体" w:cs="宋体"/>
          <w:sz w:val="24"/>
        </w:rPr>
      </w:pPr>
      <w:r>
        <w:rPr>
          <w:rFonts w:hint="eastAsia" w:ascii="宋体" w:hAnsi="宋体" w:cs="宋体"/>
          <w:sz w:val="24"/>
        </w:rPr>
        <w:t>3.科研训练。要求学生参与导师科研项目，定期参加学术报告会，鼓励学生参与国内外学术会议，发表学术论文。</w:t>
      </w:r>
    </w:p>
    <w:p w14:paraId="1C525496">
      <w:pPr>
        <w:spacing w:line="360" w:lineRule="auto"/>
        <w:ind w:firstLine="480" w:firstLineChars="200"/>
        <w:rPr>
          <w:rFonts w:hint="eastAsia" w:ascii="宋体" w:hAnsi="宋体" w:cs="宋体"/>
          <w:sz w:val="24"/>
        </w:rPr>
      </w:pPr>
      <w:r>
        <w:rPr>
          <w:rFonts w:hint="eastAsia" w:ascii="宋体" w:hAnsi="宋体" w:cs="宋体"/>
          <w:sz w:val="24"/>
        </w:rPr>
        <w:t>4.考核方式。采取考试、考查、综合作业、案例分析、课堂讨论、撰写学术论文等形式综合评定学生的学习成绩。</w:t>
      </w:r>
    </w:p>
    <w:p w14:paraId="486A1143">
      <w:pPr>
        <w:spacing w:line="360" w:lineRule="auto"/>
        <w:ind w:firstLine="560" w:firstLineChars="200"/>
        <w:rPr>
          <w:rFonts w:eastAsia="黑体"/>
          <w:bCs/>
          <w:sz w:val="28"/>
          <w:szCs w:val="28"/>
        </w:rPr>
      </w:pPr>
      <w:r>
        <w:rPr>
          <w:rFonts w:eastAsia="黑体"/>
          <w:bCs/>
          <w:sz w:val="28"/>
          <w:szCs w:val="28"/>
        </w:rPr>
        <w:t>七、中期筛选</w:t>
      </w:r>
    </w:p>
    <w:p w14:paraId="5869B8CB">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3F6C0FBF">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40007DAF">
      <w:pPr>
        <w:widowControl/>
        <w:spacing w:before="105" w:after="105" w:line="360" w:lineRule="auto"/>
        <w:ind w:firstLine="480"/>
        <w:jc w:val="left"/>
        <w:rPr>
          <w:i/>
          <w:color w:val="FF0000"/>
          <w:kern w:val="0"/>
          <w:sz w:val="18"/>
          <w:szCs w:val="18"/>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〔2025〕*号</w:t>
      </w:r>
      <w:r>
        <w:rPr>
          <w:color w:val="000000" w:themeColor="text1"/>
          <w:kern w:val="0"/>
          <w:sz w:val="24"/>
          <w14:textFill>
            <w14:solidFill>
              <w14:schemeClr w14:val="tx1"/>
            </w14:solidFill>
          </w14:textFill>
        </w:rPr>
        <w:t>）规定，硕士研究生论文开题与答辩时间间隔原则上不少于12个月。</w:t>
      </w:r>
    </w:p>
    <w:p w14:paraId="1769DFDA">
      <w:pPr>
        <w:widowControl/>
        <w:spacing w:before="105" w:after="105" w:line="360" w:lineRule="auto"/>
        <w:ind w:firstLine="480"/>
        <w:jc w:val="left"/>
        <w:rPr>
          <w:i/>
          <w:color w:val="FF0000"/>
          <w:kern w:val="0"/>
          <w:sz w:val="18"/>
          <w:szCs w:val="18"/>
        </w:rPr>
      </w:pPr>
      <w:r>
        <w:rPr>
          <w:bCs/>
          <w:color w:val="222222"/>
          <w:kern w:val="0"/>
          <w:sz w:val="24"/>
        </w:rPr>
        <w:t>2.开题：</w:t>
      </w:r>
      <w:r>
        <w:rPr>
          <w:color w:val="000000" w:themeColor="text1"/>
          <w:kern w:val="0"/>
          <w:sz w:val="24"/>
          <w14:textFill>
            <w14:solidFill>
              <w14:schemeClr w14:val="tx1"/>
            </w14:solidFill>
          </w14:textFill>
        </w:rPr>
        <w:t>研究生</w:t>
      </w:r>
      <w:r>
        <w:rPr>
          <w:rFonts w:hint="eastAsia"/>
          <w:color w:val="000000" w:themeColor="text1"/>
          <w:kern w:val="0"/>
          <w:sz w:val="24"/>
          <w14:textFill>
            <w14:solidFill>
              <w14:schemeClr w14:val="tx1"/>
            </w14:solidFill>
          </w14:textFill>
        </w:rPr>
        <w:t>应</w:t>
      </w:r>
      <w:r>
        <w:rPr>
          <w:color w:val="000000" w:themeColor="text1"/>
          <w:kern w:val="0"/>
          <w:sz w:val="24"/>
          <w14:textFill>
            <w14:solidFill>
              <w14:schemeClr w14:val="tx1"/>
            </w14:solidFill>
          </w14:textFill>
        </w:rPr>
        <w:t>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26626E51">
      <w:pPr>
        <w:widowControl/>
        <w:spacing w:before="105" w:after="105" w:line="360" w:lineRule="auto"/>
        <w:ind w:firstLine="480"/>
        <w:jc w:val="left"/>
        <w:rPr>
          <w:i/>
          <w:color w:val="FF0000"/>
          <w:kern w:val="0"/>
          <w:sz w:val="18"/>
          <w:szCs w:val="18"/>
        </w:rPr>
      </w:pPr>
      <w:r>
        <w:rPr>
          <w:bCs/>
          <w:color w:val="222222"/>
          <w:kern w:val="0"/>
          <w:sz w:val="24"/>
        </w:rPr>
        <w:t>3.中期进展报告：中期进展报告原则上应在入学后第5学期进行；</w:t>
      </w:r>
      <w:r>
        <w:rPr>
          <w:rFonts w:hint="eastAsia"/>
          <w:bCs/>
          <w:color w:val="222222"/>
          <w:kern w:val="0"/>
          <w:sz w:val="24"/>
        </w:rPr>
        <w:t>按照管理学院</w:t>
      </w:r>
      <w:r>
        <w:rPr>
          <w:bCs/>
          <w:color w:val="222222"/>
          <w:kern w:val="0"/>
          <w:sz w:val="24"/>
        </w:rPr>
        <w:t>制定</w:t>
      </w:r>
      <w:r>
        <w:rPr>
          <w:rFonts w:hint="eastAsia"/>
          <w:bCs/>
          <w:color w:val="222222"/>
          <w:kern w:val="0"/>
          <w:sz w:val="24"/>
        </w:rPr>
        <w:t>的</w:t>
      </w:r>
      <w:r>
        <w:rPr>
          <w:bCs/>
          <w:color w:val="222222"/>
          <w:kern w:val="0"/>
          <w:sz w:val="24"/>
        </w:rPr>
        <w:t>中期考核办法组织考核。</w:t>
      </w:r>
    </w:p>
    <w:p w14:paraId="283A5A4F">
      <w:pPr>
        <w:widowControl/>
        <w:spacing w:before="100" w:beforeAutospacing="1" w:after="100" w:afterAutospacing="1" w:line="360" w:lineRule="auto"/>
        <w:ind w:firstLine="480"/>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006359CC">
      <w:pPr>
        <w:widowControl/>
        <w:spacing w:before="100" w:beforeAutospacing="1" w:after="100" w:afterAutospacing="1" w:line="360" w:lineRule="auto"/>
        <w:ind w:firstLine="480"/>
        <w:jc w:val="left"/>
        <w:rPr>
          <w:bCs/>
          <w:color w:val="222222"/>
          <w:kern w:val="0"/>
          <w:sz w:val="24"/>
        </w:rPr>
      </w:pPr>
      <w:r>
        <w:rPr>
          <w:bCs/>
          <w:color w:val="222222"/>
          <w:kern w:val="0"/>
          <w:sz w:val="24"/>
        </w:rPr>
        <w:t>5.预答辩：学位申请人须进行学位论文预答辩。预答辩通过者，方可进入学位论文评阅、学位论文答辩等环节。学位（毕业）论文预答辩在正式答辩前3个月进行。</w:t>
      </w:r>
    </w:p>
    <w:p w14:paraId="2F58CB57">
      <w:pPr>
        <w:widowControl/>
        <w:spacing w:before="100" w:beforeAutospacing="1" w:after="100" w:afterAutospacing="1" w:line="360" w:lineRule="auto"/>
        <w:ind w:firstLine="480"/>
        <w:jc w:val="left"/>
        <w:rPr>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w:t>
      </w:r>
      <w:r>
        <w:rPr>
          <w:color w:val="222222"/>
          <w:kern w:val="0"/>
          <w:sz w:val="24"/>
        </w:rPr>
        <w:t>阅结果及异议处理按照《河北大学研究生学位论文或者实践成果评审管理办法》（校政字〔2025〕8号）执行。</w:t>
      </w:r>
    </w:p>
    <w:p w14:paraId="451F742F">
      <w:pPr>
        <w:widowControl/>
        <w:spacing w:before="100" w:beforeAutospacing="1" w:after="100" w:afterAutospacing="1"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1DF746D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FAFACA5">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A8F0AAC">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在读期间参加不少于1</w:t>
      </w:r>
      <w:r>
        <w:rPr>
          <w:rFonts w:hint="eastAsia" w:eastAsiaTheme="minorEastAsia"/>
          <w:color w:val="000000"/>
          <w:sz w:val="24"/>
        </w:rPr>
        <w:t>0</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53C9CC23">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D042774">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8F52237">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6AA4AB2">
      <w:pPr>
        <w:spacing w:line="360" w:lineRule="auto"/>
        <w:ind w:firstLine="480" w:firstLineChars="200"/>
        <w:rPr>
          <w:rFonts w:eastAsiaTheme="minorEastAsia"/>
          <w:bCs/>
          <w:sz w:val="24"/>
        </w:rPr>
      </w:pPr>
      <w:r>
        <w:rPr>
          <w:rFonts w:hint="eastAsia" w:eastAsiaTheme="minorEastAsia"/>
          <w:bCs/>
          <w:sz w:val="24"/>
        </w:rPr>
        <w:t>为体现创新性成果的多元化，要求情报学专业的硕士研究生完成的成果包括但不限于学术论文、专利、软件著作权、竞赛获奖、实践项目报告、政策咨询报告等。</w:t>
      </w:r>
    </w:p>
    <w:p w14:paraId="0F919406">
      <w:pPr>
        <w:spacing w:line="360" w:lineRule="auto"/>
        <w:ind w:firstLine="560" w:firstLineChars="200"/>
        <w:rPr>
          <w:rFonts w:eastAsia="黑体"/>
          <w:bCs/>
          <w:sz w:val="28"/>
          <w:szCs w:val="28"/>
        </w:rPr>
      </w:pPr>
      <w:r>
        <w:rPr>
          <w:rFonts w:eastAsia="黑体"/>
          <w:bCs/>
          <w:sz w:val="28"/>
          <w:szCs w:val="28"/>
        </w:rPr>
        <w:t>十一、学位授予</w:t>
      </w:r>
    </w:p>
    <w:p w14:paraId="7D4870E4">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0552E55">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536930F">
      <w:pPr>
        <w:spacing w:line="360" w:lineRule="auto"/>
        <w:ind w:firstLine="480" w:firstLineChars="200"/>
        <w:rPr>
          <w:color w:val="222222"/>
          <w:kern w:val="0"/>
          <w:sz w:val="24"/>
        </w:rPr>
      </w:pPr>
      <w:r>
        <w:rPr>
          <w:color w:val="222222"/>
          <w:kern w:val="0"/>
          <w:sz w:val="24"/>
        </w:rPr>
        <w:t>本专业最低毕业学分为</w:t>
      </w:r>
      <w:r>
        <w:rPr>
          <w:rFonts w:hint="eastAsia"/>
          <w:color w:val="222222"/>
          <w:kern w:val="0"/>
          <w:sz w:val="24"/>
        </w:rPr>
        <w:t>2</w:t>
      </w:r>
      <w:r>
        <w:rPr>
          <w:rFonts w:hint="eastAsia"/>
          <w:color w:val="222222"/>
          <w:kern w:val="0"/>
          <w:sz w:val="24"/>
          <w:lang w:val="en-US" w:eastAsia="zh-CN"/>
        </w:rPr>
        <w:t>9</w:t>
      </w:r>
      <w:r>
        <w:rPr>
          <w:color w:val="222222"/>
          <w:kern w:val="0"/>
          <w:sz w:val="24"/>
        </w:rPr>
        <w:t>分，其中学位课</w:t>
      </w:r>
      <w:r>
        <w:rPr>
          <w:rFonts w:hint="eastAsia"/>
          <w:color w:val="222222"/>
          <w:kern w:val="0"/>
          <w:sz w:val="24"/>
        </w:rPr>
        <w:t>17</w:t>
      </w:r>
      <w:r>
        <w:rPr>
          <w:color w:val="222222"/>
          <w:kern w:val="0"/>
          <w:sz w:val="24"/>
        </w:rPr>
        <w:t>学分，非学位课</w:t>
      </w:r>
      <w:r>
        <w:rPr>
          <w:rFonts w:hint="eastAsia"/>
          <w:color w:val="222222"/>
          <w:kern w:val="0"/>
          <w:sz w:val="24"/>
        </w:rPr>
        <w:t>10</w:t>
      </w:r>
      <w:r>
        <w:rPr>
          <w:color w:val="222222"/>
          <w:kern w:val="0"/>
          <w:sz w:val="24"/>
        </w:rPr>
        <w:t>学分，必修环节</w:t>
      </w:r>
      <w:r>
        <w:rPr>
          <w:rFonts w:hint="eastAsia"/>
          <w:color w:val="222222"/>
          <w:kern w:val="0"/>
          <w:sz w:val="24"/>
          <w:lang w:val="en-US" w:eastAsia="zh-CN"/>
        </w:rPr>
        <w:t>2</w:t>
      </w:r>
      <w:r>
        <w:rPr>
          <w:color w:val="222222"/>
          <w:kern w:val="0"/>
          <w:sz w:val="24"/>
        </w:rPr>
        <w:t>分。</w:t>
      </w:r>
    </w:p>
    <w:p w14:paraId="12334508">
      <w:pPr>
        <w:spacing w:line="360" w:lineRule="auto"/>
        <w:ind w:firstLine="480"/>
        <w:rPr>
          <w:color w:val="FF0000"/>
          <w:sz w:val="24"/>
        </w:rPr>
      </w:pPr>
      <w:r>
        <w:rPr>
          <w:rFonts w:eastAsiaTheme="minorEastAsia"/>
          <w:color w:val="000000"/>
          <w:sz w:val="24"/>
        </w:rPr>
        <w:t>课程考试不设补考环节，</w:t>
      </w:r>
      <w:r>
        <w:rPr>
          <w:color w:val="000000"/>
          <w:sz w:val="24"/>
        </w:rPr>
        <w:t>考试成绩低于60分的需重修。</w:t>
      </w:r>
    </w:p>
    <w:p w14:paraId="532905B0">
      <w:pPr>
        <w:spacing w:line="360" w:lineRule="auto"/>
        <w:ind w:firstLine="480"/>
        <w:rPr>
          <w:color w:val="FF0000"/>
          <w:sz w:val="24"/>
        </w:rPr>
      </w:pPr>
    </w:p>
    <w:p w14:paraId="738C5C41">
      <w:pPr>
        <w:spacing w:after="156" w:afterLines="50" w:line="440" w:lineRule="exact"/>
        <w:ind w:firstLine="482" w:firstLineChars="200"/>
        <w:jc w:val="center"/>
        <w:rPr>
          <w:rFonts w:eastAsiaTheme="minorEastAsia"/>
          <w:b/>
          <w:bCs/>
          <w:sz w:val="24"/>
        </w:rPr>
      </w:pPr>
      <w:r>
        <w:rPr>
          <w:rFonts w:hint="eastAsia" w:eastAsiaTheme="minorEastAsia"/>
          <w:b/>
          <w:bCs/>
          <w:sz w:val="24"/>
        </w:rPr>
        <w:t>情报学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9C9B8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617F81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7D34FC1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1035547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0EB6878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7BC186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B17A5D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6D9022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753DF6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249C01A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63F4EB7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CD3FC8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358E292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7BEC81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2B1F21B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DA54DB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2989B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C3E8325">
            <w:pPr>
              <w:jc w:val="center"/>
              <w:rPr>
                <w:b/>
                <w:color w:val="000000" w:themeColor="text1"/>
                <w:sz w:val="18"/>
                <w:szCs w:val="18"/>
                <w14:textFill>
                  <w14:solidFill>
                    <w14:schemeClr w14:val="tx1"/>
                  </w14:solidFill>
                </w14:textFill>
              </w:rPr>
            </w:pPr>
          </w:p>
        </w:tc>
        <w:tc>
          <w:tcPr>
            <w:tcW w:w="1226" w:type="dxa"/>
            <w:vMerge w:val="continue"/>
            <w:vAlign w:val="center"/>
          </w:tcPr>
          <w:p w14:paraId="3E1F53DE">
            <w:pPr>
              <w:jc w:val="center"/>
              <w:rPr>
                <w:b/>
                <w:color w:val="000000" w:themeColor="text1"/>
                <w:sz w:val="18"/>
                <w:szCs w:val="18"/>
                <w14:textFill>
                  <w14:solidFill>
                    <w14:schemeClr w14:val="tx1"/>
                  </w14:solidFill>
                </w14:textFill>
              </w:rPr>
            </w:pPr>
          </w:p>
        </w:tc>
        <w:tc>
          <w:tcPr>
            <w:tcW w:w="3516" w:type="dxa"/>
            <w:vAlign w:val="center"/>
          </w:tcPr>
          <w:p w14:paraId="51C2A988">
            <w:pPr>
              <w:rPr>
                <w:sz w:val="18"/>
                <w:szCs w:val="18"/>
              </w:rPr>
            </w:pPr>
            <w:r>
              <w:rPr>
                <w:sz w:val="18"/>
                <w:szCs w:val="18"/>
              </w:rPr>
              <w:t>通用学术英语</w:t>
            </w:r>
          </w:p>
        </w:tc>
        <w:tc>
          <w:tcPr>
            <w:tcW w:w="1081" w:type="dxa"/>
            <w:vAlign w:val="center"/>
          </w:tcPr>
          <w:p w14:paraId="18C67818">
            <w:pPr>
              <w:jc w:val="center"/>
              <w:rPr>
                <w:sz w:val="18"/>
                <w:szCs w:val="18"/>
              </w:rPr>
            </w:pPr>
            <w:r>
              <w:rPr>
                <w:sz w:val="18"/>
                <w:szCs w:val="18"/>
              </w:rPr>
              <w:t>TS0000002</w:t>
            </w:r>
          </w:p>
        </w:tc>
        <w:tc>
          <w:tcPr>
            <w:tcW w:w="709" w:type="dxa"/>
            <w:vAlign w:val="center"/>
          </w:tcPr>
          <w:p w14:paraId="3BDEEE94">
            <w:pPr>
              <w:jc w:val="center"/>
              <w:rPr>
                <w:sz w:val="18"/>
                <w:szCs w:val="18"/>
              </w:rPr>
            </w:pPr>
            <w:r>
              <w:rPr>
                <w:sz w:val="18"/>
                <w:szCs w:val="18"/>
              </w:rPr>
              <w:t>2</w:t>
            </w:r>
          </w:p>
        </w:tc>
        <w:tc>
          <w:tcPr>
            <w:tcW w:w="709" w:type="dxa"/>
            <w:vAlign w:val="center"/>
          </w:tcPr>
          <w:p w14:paraId="7F77CDD4">
            <w:pPr>
              <w:jc w:val="center"/>
              <w:rPr>
                <w:sz w:val="18"/>
                <w:szCs w:val="18"/>
              </w:rPr>
            </w:pPr>
            <w:r>
              <w:rPr>
                <w:sz w:val="18"/>
                <w:szCs w:val="18"/>
              </w:rPr>
              <w:t>1</w:t>
            </w:r>
          </w:p>
        </w:tc>
        <w:tc>
          <w:tcPr>
            <w:tcW w:w="1045" w:type="dxa"/>
            <w:vAlign w:val="center"/>
          </w:tcPr>
          <w:p w14:paraId="6649EB7D">
            <w:pPr>
              <w:jc w:val="center"/>
              <w:rPr>
                <w:sz w:val="18"/>
                <w:szCs w:val="18"/>
              </w:rPr>
            </w:pPr>
            <w:r>
              <w:rPr>
                <w:rFonts w:hint="eastAsia"/>
                <w:sz w:val="18"/>
                <w:szCs w:val="18"/>
              </w:rPr>
              <w:t>考查</w:t>
            </w:r>
          </w:p>
        </w:tc>
      </w:tr>
      <w:tr w14:paraId="38BEB2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FC7EFE0">
            <w:pPr>
              <w:jc w:val="center"/>
              <w:rPr>
                <w:b/>
                <w:color w:val="000000" w:themeColor="text1"/>
                <w:sz w:val="18"/>
                <w:szCs w:val="18"/>
                <w14:textFill>
                  <w14:solidFill>
                    <w14:schemeClr w14:val="tx1"/>
                  </w14:solidFill>
                </w14:textFill>
              </w:rPr>
            </w:pPr>
          </w:p>
        </w:tc>
        <w:tc>
          <w:tcPr>
            <w:tcW w:w="1226" w:type="dxa"/>
            <w:vMerge w:val="restart"/>
            <w:vAlign w:val="center"/>
          </w:tcPr>
          <w:p w14:paraId="4D39CB0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4BA9591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7</w:t>
            </w:r>
            <w:r>
              <w:rPr>
                <w:b/>
                <w:color w:val="000000" w:themeColor="text1"/>
                <w:sz w:val="18"/>
                <w:szCs w:val="18"/>
                <w14:textFill>
                  <w14:solidFill>
                    <w14:schemeClr w14:val="tx1"/>
                  </w14:solidFill>
                </w14:textFill>
              </w:rPr>
              <w:t>学分）</w:t>
            </w:r>
          </w:p>
        </w:tc>
        <w:tc>
          <w:tcPr>
            <w:tcW w:w="3516" w:type="dxa"/>
            <w:vAlign w:val="center"/>
          </w:tcPr>
          <w:p w14:paraId="778131F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shd w:val="clear" w:color="auto" w:fill="auto"/>
            <w:vAlign w:val="center"/>
          </w:tcPr>
          <w:p w14:paraId="5A62DAB3">
            <w:pPr>
              <w:jc w:val="center"/>
              <w:rPr>
                <w:rFonts w:hint="eastAsia" w:eastAsia="宋体"/>
                <w:i/>
                <w:color w:val="FF0000"/>
                <w:sz w:val="18"/>
                <w:szCs w:val="18"/>
                <w:lang w:val="en-US" w:eastAsia="zh-CN"/>
              </w:rPr>
            </w:pPr>
            <w:r>
              <w:rPr>
                <w:rFonts w:hint="eastAsia"/>
                <w:sz w:val="18"/>
                <w:szCs w:val="18"/>
              </w:rPr>
              <w:t>XS</w:t>
            </w:r>
            <w:r>
              <w:rPr>
                <w:color w:val="000000"/>
                <w:kern w:val="0"/>
                <w:sz w:val="18"/>
                <w:szCs w:val="18"/>
              </w:rPr>
              <w:t>04</w:t>
            </w:r>
            <w:r>
              <w:rPr>
                <w:rFonts w:hint="eastAsia"/>
                <w:color w:val="000000"/>
                <w:kern w:val="0"/>
                <w:sz w:val="18"/>
                <w:szCs w:val="18"/>
              </w:rPr>
              <w:t>2000</w:t>
            </w:r>
            <w:r>
              <w:rPr>
                <w:rFonts w:hint="eastAsia"/>
                <w:color w:val="000000"/>
                <w:kern w:val="0"/>
                <w:sz w:val="18"/>
                <w:szCs w:val="18"/>
                <w:lang w:val="en-US" w:eastAsia="zh-CN"/>
              </w:rPr>
              <w:t>5</w:t>
            </w:r>
          </w:p>
        </w:tc>
        <w:tc>
          <w:tcPr>
            <w:tcW w:w="709" w:type="dxa"/>
            <w:shd w:val="clear" w:color="auto" w:fill="auto"/>
            <w:vAlign w:val="center"/>
          </w:tcPr>
          <w:p w14:paraId="7ED38D92">
            <w:pPr>
              <w:jc w:val="center"/>
              <w:rPr>
                <w:color w:val="FF0000"/>
              </w:rPr>
            </w:pPr>
            <w:r>
              <w:rPr>
                <w:rFonts w:hint="eastAsia"/>
                <w:sz w:val="18"/>
                <w:szCs w:val="18"/>
              </w:rPr>
              <w:t>1</w:t>
            </w:r>
          </w:p>
        </w:tc>
        <w:tc>
          <w:tcPr>
            <w:tcW w:w="709" w:type="dxa"/>
            <w:shd w:val="clear" w:color="auto" w:fill="auto"/>
            <w:vAlign w:val="center"/>
          </w:tcPr>
          <w:p w14:paraId="20D1E836">
            <w:pPr>
              <w:jc w:val="center"/>
              <w:rPr>
                <w:color w:val="FF0000"/>
              </w:rPr>
            </w:pPr>
            <w:r>
              <w:rPr>
                <w:rFonts w:hint="eastAsia"/>
                <w:sz w:val="18"/>
                <w:szCs w:val="18"/>
              </w:rPr>
              <w:t>1</w:t>
            </w:r>
          </w:p>
        </w:tc>
        <w:tc>
          <w:tcPr>
            <w:tcW w:w="1045" w:type="dxa"/>
            <w:shd w:val="clear" w:color="auto" w:fill="auto"/>
            <w:vAlign w:val="center"/>
          </w:tcPr>
          <w:p w14:paraId="504A3982">
            <w:pPr>
              <w:jc w:val="center"/>
              <w:rPr>
                <w:i/>
                <w:color w:val="FF0000"/>
                <w:sz w:val="18"/>
                <w:szCs w:val="18"/>
              </w:rPr>
            </w:pPr>
            <w:r>
              <w:rPr>
                <w:rFonts w:hint="eastAsia"/>
                <w:iCs/>
                <w:sz w:val="18"/>
                <w:szCs w:val="18"/>
              </w:rPr>
              <w:t>考查</w:t>
            </w:r>
          </w:p>
        </w:tc>
      </w:tr>
      <w:tr w14:paraId="7182AA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5D18D3">
            <w:pPr>
              <w:jc w:val="center"/>
              <w:rPr>
                <w:b/>
                <w:color w:val="000000" w:themeColor="text1"/>
                <w:sz w:val="18"/>
                <w:szCs w:val="18"/>
                <w14:textFill>
                  <w14:solidFill>
                    <w14:schemeClr w14:val="tx1"/>
                  </w14:solidFill>
                </w14:textFill>
              </w:rPr>
            </w:pPr>
          </w:p>
        </w:tc>
        <w:tc>
          <w:tcPr>
            <w:tcW w:w="1226" w:type="dxa"/>
            <w:vMerge w:val="continue"/>
            <w:vAlign w:val="center"/>
          </w:tcPr>
          <w:p w14:paraId="44DF824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9C8AF52">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信息资源与数据管理 </w:t>
            </w:r>
          </w:p>
        </w:tc>
        <w:tc>
          <w:tcPr>
            <w:tcW w:w="1081" w:type="dxa"/>
            <w:shd w:val="clear" w:color="auto" w:fill="auto"/>
            <w:vAlign w:val="center"/>
          </w:tcPr>
          <w:p w14:paraId="183F47B1">
            <w:pPr>
              <w:jc w:val="center"/>
              <w:rPr>
                <w:sz w:val="18"/>
                <w:szCs w:val="18"/>
              </w:rPr>
            </w:pPr>
            <w:r>
              <w:rPr>
                <w:rFonts w:hint="eastAsia"/>
                <w:sz w:val="18"/>
                <w:szCs w:val="18"/>
              </w:rPr>
              <w:t>XS</w:t>
            </w:r>
            <w:r>
              <w:rPr>
                <w:color w:val="000000"/>
                <w:kern w:val="0"/>
                <w:sz w:val="18"/>
                <w:szCs w:val="18"/>
              </w:rPr>
              <w:t>04</w:t>
            </w:r>
            <w:r>
              <w:rPr>
                <w:rFonts w:hint="eastAsia"/>
                <w:color w:val="000000"/>
                <w:kern w:val="0"/>
                <w:sz w:val="18"/>
                <w:szCs w:val="18"/>
              </w:rPr>
              <w:t>20002</w:t>
            </w:r>
          </w:p>
        </w:tc>
        <w:tc>
          <w:tcPr>
            <w:tcW w:w="709" w:type="dxa"/>
            <w:shd w:val="clear" w:color="auto" w:fill="auto"/>
            <w:vAlign w:val="center"/>
          </w:tcPr>
          <w:p w14:paraId="03AB09B4">
            <w:pPr>
              <w:jc w:val="center"/>
              <w:rPr>
                <w:sz w:val="18"/>
                <w:szCs w:val="18"/>
              </w:rPr>
            </w:pPr>
            <w:r>
              <w:rPr>
                <w:rFonts w:hint="eastAsia"/>
                <w:sz w:val="18"/>
                <w:szCs w:val="18"/>
              </w:rPr>
              <w:t>2</w:t>
            </w:r>
          </w:p>
        </w:tc>
        <w:tc>
          <w:tcPr>
            <w:tcW w:w="709" w:type="dxa"/>
            <w:shd w:val="clear" w:color="auto" w:fill="auto"/>
            <w:vAlign w:val="center"/>
          </w:tcPr>
          <w:p w14:paraId="42966EE6">
            <w:pPr>
              <w:jc w:val="center"/>
              <w:rPr>
                <w:sz w:val="18"/>
                <w:szCs w:val="18"/>
              </w:rPr>
            </w:pPr>
            <w:r>
              <w:rPr>
                <w:rFonts w:hint="eastAsia"/>
                <w:sz w:val="18"/>
                <w:szCs w:val="18"/>
              </w:rPr>
              <w:t>1</w:t>
            </w:r>
          </w:p>
        </w:tc>
        <w:tc>
          <w:tcPr>
            <w:tcW w:w="1045" w:type="dxa"/>
            <w:shd w:val="clear" w:color="auto" w:fill="auto"/>
            <w:vAlign w:val="center"/>
          </w:tcPr>
          <w:p w14:paraId="4F1AC719">
            <w:pPr>
              <w:jc w:val="center"/>
              <w:rPr>
                <w:iCs/>
                <w:sz w:val="18"/>
                <w:szCs w:val="18"/>
              </w:rPr>
            </w:pPr>
            <w:r>
              <w:rPr>
                <w:rFonts w:hint="eastAsia"/>
                <w:iCs/>
                <w:sz w:val="18"/>
                <w:szCs w:val="18"/>
              </w:rPr>
              <w:t>考试</w:t>
            </w:r>
          </w:p>
        </w:tc>
      </w:tr>
      <w:tr w14:paraId="0F2C1B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A19EF0A">
            <w:pPr>
              <w:jc w:val="center"/>
              <w:rPr>
                <w:b/>
                <w:color w:val="000000" w:themeColor="text1"/>
                <w:sz w:val="18"/>
                <w:szCs w:val="18"/>
                <w14:textFill>
                  <w14:solidFill>
                    <w14:schemeClr w14:val="tx1"/>
                  </w14:solidFill>
                </w14:textFill>
              </w:rPr>
            </w:pPr>
          </w:p>
        </w:tc>
        <w:tc>
          <w:tcPr>
            <w:tcW w:w="1226" w:type="dxa"/>
            <w:vMerge w:val="continue"/>
            <w:vAlign w:val="center"/>
          </w:tcPr>
          <w:p w14:paraId="4CAE486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ED2D430">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信息组织与检索</w:t>
            </w:r>
          </w:p>
        </w:tc>
        <w:tc>
          <w:tcPr>
            <w:tcW w:w="1081" w:type="dxa"/>
            <w:shd w:val="clear" w:color="auto" w:fill="auto"/>
            <w:vAlign w:val="center"/>
          </w:tcPr>
          <w:p w14:paraId="3AFCF9F2">
            <w:pPr>
              <w:jc w:val="center"/>
              <w:rPr>
                <w:sz w:val="18"/>
                <w:szCs w:val="18"/>
              </w:rPr>
            </w:pPr>
            <w:r>
              <w:rPr>
                <w:rFonts w:hint="eastAsia"/>
                <w:sz w:val="18"/>
                <w:szCs w:val="18"/>
              </w:rPr>
              <w:t>XS</w:t>
            </w:r>
            <w:r>
              <w:rPr>
                <w:color w:val="000000"/>
                <w:kern w:val="0"/>
                <w:sz w:val="18"/>
                <w:szCs w:val="18"/>
              </w:rPr>
              <w:t>04</w:t>
            </w:r>
            <w:r>
              <w:rPr>
                <w:rFonts w:hint="eastAsia"/>
                <w:color w:val="000000"/>
                <w:kern w:val="0"/>
                <w:sz w:val="18"/>
                <w:szCs w:val="18"/>
              </w:rPr>
              <w:t>20003</w:t>
            </w:r>
          </w:p>
        </w:tc>
        <w:tc>
          <w:tcPr>
            <w:tcW w:w="709" w:type="dxa"/>
            <w:shd w:val="clear" w:color="auto" w:fill="auto"/>
            <w:vAlign w:val="center"/>
          </w:tcPr>
          <w:p w14:paraId="1D537F14">
            <w:pPr>
              <w:jc w:val="center"/>
              <w:rPr>
                <w:sz w:val="18"/>
                <w:szCs w:val="18"/>
              </w:rPr>
            </w:pPr>
            <w:r>
              <w:rPr>
                <w:rFonts w:hint="eastAsia"/>
                <w:sz w:val="18"/>
                <w:szCs w:val="18"/>
              </w:rPr>
              <w:t>2</w:t>
            </w:r>
          </w:p>
        </w:tc>
        <w:tc>
          <w:tcPr>
            <w:tcW w:w="709" w:type="dxa"/>
            <w:shd w:val="clear" w:color="auto" w:fill="auto"/>
            <w:vAlign w:val="center"/>
          </w:tcPr>
          <w:p w14:paraId="21A0257E">
            <w:pPr>
              <w:jc w:val="center"/>
              <w:rPr>
                <w:sz w:val="18"/>
                <w:szCs w:val="18"/>
              </w:rPr>
            </w:pPr>
            <w:r>
              <w:rPr>
                <w:rFonts w:hint="eastAsia"/>
                <w:sz w:val="18"/>
                <w:szCs w:val="18"/>
              </w:rPr>
              <w:t>1</w:t>
            </w:r>
          </w:p>
        </w:tc>
        <w:tc>
          <w:tcPr>
            <w:tcW w:w="1045" w:type="dxa"/>
            <w:shd w:val="clear" w:color="auto" w:fill="auto"/>
            <w:vAlign w:val="center"/>
          </w:tcPr>
          <w:p w14:paraId="4471B09C">
            <w:pPr>
              <w:jc w:val="center"/>
              <w:rPr>
                <w:iCs/>
                <w:sz w:val="18"/>
                <w:szCs w:val="18"/>
              </w:rPr>
            </w:pPr>
            <w:r>
              <w:rPr>
                <w:rFonts w:hint="eastAsia"/>
                <w:iCs/>
                <w:sz w:val="18"/>
                <w:szCs w:val="18"/>
              </w:rPr>
              <w:t>考试</w:t>
            </w:r>
          </w:p>
        </w:tc>
      </w:tr>
      <w:tr w14:paraId="0E10C2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D33ABE4">
            <w:pPr>
              <w:jc w:val="center"/>
              <w:rPr>
                <w:b/>
                <w:color w:val="000000" w:themeColor="text1"/>
                <w:sz w:val="18"/>
                <w:szCs w:val="18"/>
                <w14:textFill>
                  <w14:solidFill>
                    <w14:schemeClr w14:val="tx1"/>
                  </w14:solidFill>
                </w14:textFill>
              </w:rPr>
            </w:pPr>
          </w:p>
        </w:tc>
        <w:tc>
          <w:tcPr>
            <w:tcW w:w="1226" w:type="dxa"/>
            <w:vMerge w:val="continue"/>
            <w:vAlign w:val="center"/>
          </w:tcPr>
          <w:p w14:paraId="57C0178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2139A8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信息分析</w:t>
            </w:r>
          </w:p>
        </w:tc>
        <w:tc>
          <w:tcPr>
            <w:tcW w:w="1081" w:type="dxa"/>
            <w:shd w:val="clear" w:color="auto" w:fill="auto"/>
            <w:vAlign w:val="center"/>
          </w:tcPr>
          <w:p w14:paraId="0D86FA45">
            <w:pPr>
              <w:jc w:val="center"/>
              <w:rPr>
                <w:color w:val="FF0000"/>
                <w:sz w:val="18"/>
                <w:szCs w:val="18"/>
              </w:rPr>
            </w:pPr>
            <w:r>
              <w:rPr>
                <w:rFonts w:hint="eastAsia"/>
                <w:sz w:val="18"/>
                <w:szCs w:val="18"/>
              </w:rPr>
              <w:t>XS</w:t>
            </w:r>
            <w:r>
              <w:rPr>
                <w:color w:val="000000"/>
                <w:kern w:val="0"/>
                <w:sz w:val="18"/>
                <w:szCs w:val="18"/>
              </w:rPr>
              <w:t>04</w:t>
            </w:r>
            <w:r>
              <w:rPr>
                <w:rFonts w:hint="eastAsia"/>
                <w:color w:val="000000"/>
                <w:kern w:val="0"/>
                <w:sz w:val="18"/>
                <w:szCs w:val="18"/>
              </w:rPr>
              <w:t>20004</w:t>
            </w:r>
          </w:p>
        </w:tc>
        <w:tc>
          <w:tcPr>
            <w:tcW w:w="709" w:type="dxa"/>
            <w:shd w:val="clear" w:color="auto" w:fill="auto"/>
          </w:tcPr>
          <w:p w14:paraId="65F30CF1">
            <w:pPr>
              <w:jc w:val="center"/>
            </w:pPr>
            <w:r>
              <w:rPr>
                <w:rFonts w:hint="eastAsia"/>
                <w:sz w:val="18"/>
                <w:szCs w:val="18"/>
              </w:rPr>
              <w:t>2</w:t>
            </w:r>
          </w:p>
        </w:tc>
        <w:tc>
          <w:tcPr>
            <w:tcW w:w="709" w:type="dxa"/>
            <w:shd w:val="clear" w:color="auto" w:fill="auto"/>
          </w:tcPr>
          <w:p w14:paraId="75C36B02">
            <w:pPr>
              <w:jc w:val="center"/>
            </w:pPr>
            <w:r>
              <w:rPr>
                <w:rFonts w:hint="eastAsia"/>
                <w:sz w:val="18"/>
                <w:szCs w:val="18"/>
              </w:rPr>
              <w:t>2</w:t>
            </w:r>
          </w:p>
        </w:tc>
        <w:tc>
          <w:tcPr>
            <w:tcW w:w="1045" w:type="dxa"/>
            <w:shd w:val="clear" w:color="auto" w:fill="auto"/>
          </w:tcPr>
          <w:p w14:paraId="1524EADB">
            <w:pPr>
              <w:jc w:val="center"/>
              <w:rPr>
                <w:iCs/>
                <w:sz w:val="18"/>
                <w:szCs w:val="18"/>
              </w:rPr>
            </w:pPr>
            <w:r>
              <w:rPr>
                <w:rFonts w:hint="eastAsia"/>
                <w:iCs/>
                <w:sz w:val="18"/>
                <w:szCs w:val="18"/>
              </w:rPr>
              <w:t>考试</w:t>
            </w:r>
          </w:p>
        </w:tc>
      </w:tr>
      <w:tr w14:paraId="0A8407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EA3B705">
            <w:pPr>
              <w:jc w:val="center"/>
              <w:rPr>
                <w:b/>
                <w:color w:val="000000" w:themeColor="text1"/>
                <w:sz w:val="18"/>
                <w:szCs w:val="18"/>
                <w14:textFill>
                  <w14:solidFill>
                    <w14:schemeClr w14:val="tx1"/>
                  </w14:solidFill>
                </w14:textFill>
              </w:rPr>
            </w:pPr>
          </w:p>
        </w:tc>
        <w:tc>
          <w:tcPr>
            <w:tcW w:w="1226" w:type="dxa"/>
            <w:vMerge w:val="restart"/>
            <w:vAlign w:val="center"/>
          </w:tcPr>
          <w:p w14:paraId="2838505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4CD8140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shd w:val="clear" w:color="auto" w:fill="auto"/>
            <w:vAlign w:val="center"/>
          </w:tcPr>
          <w:p w14:paraId="730FA41C">
            <w:pPr>
              <w:rPr>
                <w:iCs/>
                <w:sz w:val="18"/>
                <w:szCs w:val="18"/>
              </w:rPr>
            </w:pPr>
            <w:r>
              <w:rPr>
                <w:rFonts w:hint="eastAsia"/>
                <w:iCs/>
                <w:sz w:val="18"/>
                <w:szCs w:val="18"/>
              </w:rPr>
              <w:t>情报学理论研究</w:t>
            </w:r>
          </w:p>
        </w:tc>
        <w:tc>
          <w:tcPr>
            <w:tcW w:w="1081" w:type="dxa"/>
            <w:shd w:val="clear" w:color="auto" w:fill="auto"/>
            <w:vAlign w:val="center"/>
          </w:tcPr>
          <w:p w14:paraId="6F476A67">
            <w:pPr>
              <w:rPr>
                <w:rFonts w:hint="default"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201</w:t>
            </w:r>
          </w:p>
        </w:tc>
        <w:tc>
          <w:tcPr>
            <w:tcW w:w="709" w:type="dxa"/>
            <w:shd w:val="clear" w:color="auto" w:fill="auto"/>
            <w:vAlign w:val="center"/>
          </w:tcPr>
          <w:p w14:paraId="7F5CD09D">
            <w:pPr>
              <w:jc w:val="center"/>
              <w:rPr>
                <w:iCs/>
                <w:sz w:val="18"/>
                <w:szCs w:val="18"/>
              </w:rPr>
            </w:pPr>
            <w:r>
              <w:rPr>
                <w:rFonts w:hint="eastAsia"/>
                <w:iCs/>
                <w:sz w:val="18"/>
                <w:szCs w:val="18"/>
              </w:rPr>
              <w:t>2</w:t>
            </w:r>
          </w:p>
        </w:tc>
        <w:tc>
          <w:tcPr>
            <w:tcW w:w="709" w:type="dxa"/>
            <w:shd w:val="clear" w:color="auto" w:fill="auto"/>
            <w:vAlign w:val="center"/>
          </w:tcPr>
          <w:p w14:paraId="69D995AB">
            <w:pPr>
              <w:jc w:val="center"/>
              <w:rPr>
                <w:iCs/>
                <w:sz w:val="18"/>
                <w:szCs w:val="18"/>
              </w:rPr>
            </w:pPr>
            <w:r>
              <w:rPr>
                <w:rFonts w:hint="eastAsia"/>
                <w:iCs/>
                <w:sz w:val="18"/>
                <w:szCs w:val="18"/>
              </w:rPr>
              <w:t>1</w:t>
            </w:r>
          </w:p>
        </w:tc>
        <w:tc>
          <w:tcPr>
            <w:tcW w:w="1045" w:type="dxa"/>
            <w:vAlign w:val="center"/>
          </w:tcPr>
          <w:p w14:paraId="72A680D2">
            <w:pPr>
              <w:jc w:val="center"/>
              <w:rPr>
                <w:sz w:val="18"/>
                <w:szCs w:val="18"/>
              </w:rPr>
            </w:pPr>
            <w:r>
              <w:rPr>
                <w:rFonts w:hint="eastAsia"/>
                <w:sz w:val="18"/>
                <w:szCs w:val="18"/>
              </w:rPr>
              <w:t>考查</w:t>
            </w:r>
          </w:p>
        </w:tc>
      </w:tr>
      <w:tr w14:paraId="677C92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7460FB9">
            <w:pPr>
              <w:jc w:val="center"/>
              <w:rPr>
                <w:b/>
                <w:color w:val="000000" w:themeColor="text1"/>
                <w:sz w:val="18"/>
                <w:szCs w:val="18"/>
                <w14:textFill>
                  <w14:solidFill>
                    <w14:schemeClr w14:val="tx1"/>
                  </w14:solidFill>
                </w14:textFill>
              </w:rPr>
            </w:pPr>
          </w:p>
        </w:tc>
        <w:tc>
          <w:tcPr>
            <w:tcW w:w="1226" w:type="dxa"/>
            <w:vMerge w:val="continue"/>
            <w:vAlign w:val="center"/>
          </w:tcPr>
          <w:p w14:paraId="06F1FD5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344BB79">
            <w:pPr>
              <w:rPr>
                <w:iCs/>
                <w:sz w:val="18"/>
                <w:szCs w:val="18"/>
              </w:rPr>
            </w:pPr>
            <w:r>
              <w:rPr>
                <w:rFonts w:hint="eastAsia"/>
                <w:iCs/>
                <w:sz w:val="18"/>
                <w:szCs w:val="18"/>
              </w:rPr>
              <w:t>情报学研究方法</w:t>
            </w:r>
          </w:p>
        </w:tc>
        <w:tc>
          <w:tcPr>
            <w:tcW w:w="1081" w:type="dxa"/>
            <w:shd w:val="clear" w:color="auto" w:fill="auto"/>
            <w:vAlign w:val="center"/>
          </w:tcPr>
          <w:p w14:paraId="503E20E6">
            <w:pPr>
              <w:rPr>
                <w:rFonts w:hint="default"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203</w:t>
            </w:r>
          </w:p>
        </w:tc>
        <w:tc>
          <w:tcPr>
            <w:tcW w:w="709" w:type="dxa"/>
            <w:shd w:val="clear" w:color="auto" w:fill="auto"/>
            <w:vAlign w:val="center"/>
          </w:tcPr>
          <w:p w14:paraId="463E2062">
            <w:pPr>
              <w:jc w:val="center"/>
              <w:rPr>
                <w:iCs/>
                <w:sz w:val="18"/>
                <w:szCs w:val="18"/>
              </w:rPr>
            </w:pPr>
            <w:r>
              <w:rPr>
                <w:rFonts w:hint="eastAsia"/>
                <w:iCs/>
                <w:sz w:val="18"/>
                <w:szCs w:val="18"/>
              </w:rPr>
              <w:t>2</w:t>
            </w:r>
          </w:p>
        </w:tc>
        <w:tc>
          <w:tcPr>
            <w:tcW w:w="709" w:type="dxa"/>
            <w:shd w:val="clear" w:color="auto" w:fill="auto"/>
            <w:vAlign w:val="center"/>
          </w:tcPr>
          <w:p w14:paraId="5BFA721D">
            <w:pPr>
              <w:jc w:val="center"/>
              <w:rPr>
                <w:iCs/>
                <w:sz w:val="18"/>
                <w:szCs w:val="18"/>
              </w:rPr>
            </w:pPr>
            <w:r>
              <w:rPr>
                <w:rFonts w:hint="eastAsia"/>
                <w:iCs/>
                <w:sz w:val="18"/>
                <w:szCs w:val="18"/>
              </w:rPr>
              <w:t>1</w:t>
            </w:r>
          </w:p>
        </w:tc>
        <w:tc>
          <w:tcPr>
            <w:tcW w:w="1045" w:type="dxa"/>
            <w:vAlign w:val="center"/>
          </w:tcPr>
          <w:p w14:paraId="2DF70338">
            <w:pPr>
              <w:jc w:val="center"/>
              <w:rPr>
                <w:sz w:val="18"/>
                <w:szCs w:val="18"/>
              </w:rPr>
            </w:pPr>
            <w:r>
              <w:rPr>
                <w:rFonts w:hint="eastAsia"/>
                <w:sz w:val="18"/>
                <w:szCs w:val="18"/>
              </w:rPr>
              <w:t>考查</w:t>
            </w:r>
          </w:p>
        </w:tc>
      </w:tr>
      <w:tr w14:paraId="4DCB22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9E8F07A">
            <w:pPr>
              <w:jc w:val="center"/>
              <w:rPr>
                <w:b/>
                <w:color w:val="000000" w:themeColor="text1"/>
                <w:sz w:val="18"/>
                <w:szCs w:val="18"/>
                <w14:textFill>
                  <w14:solidFill>
                    <w14:schemeClr w14:val="tx1"/>
                  </w14:solidFill>
                </w14:textFill>
              </w:rPr>
            </w:pPr>
          </w:p>
        </w:tc>
        <w:tc>
          <w:tcPr>
            <w:tcW w:w="1226" w:type="dxa"/>
            <w:vMerge w:val="continue"/>
            <w:vAlign w:val="center"/>
          </w:tcPr>
          <w:p w14:paraId="248A7C5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6D87C8A">
            <w:pPr>
              <w:rPr>
                <w:iCs/>
                <w:sz w:val="18"/>
                <w:szCs w:val="18"/>
              </w:rPr>
            </w:pPr>
            <w:r>
              <w:rPr>
                <w:rFonts w:hint="eastAsia"/>
                <w:iCs/>
                <w:sz w:val="18"/>
                <w:szCs w:val="18"/>
              </w:rPr>
              <w:t>情报学研究前沿</w:t>
            </w:r>
          </w:p>
        </w:tc>
        <w:tc>
          <w:tcPr>
            <w:tcW w:w="1081" w:type="dxa"/>
            <w:shd w:val="clear" w:color="auto" w:fill="auto"/>
            <w:vAlign w:val="center"/>
          </w:tcPr>
          <w:p w14:paraId="6482ECF0">
            <w:pPr>
              <w:rPr>
                <w:rFonts w:hint="eastAsia"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w:t>
            </w:r>
            <w:r>
              <w:rPr>
                <w:rFonts w:hint="eastAsia"/>
                <w:iCs/>
                <w:sz w:val="18"/>
                <w:szCs w:val="18"/>
              </w:rPr>
              <w:t>0</w:t>
            </w:r>
            <w:r>
              <w:rPr>
                <w:rFonts w:hint="eastAsia"/>
                <w:iCs/>
                <w:sz w:val="18"/>
                <w:szCs w:val="18"/>
                <w:lang w:val="en-US" w:eastAsia="zh-CN"/>
              </w:rPr>
              <w:t>4</w:t>
            </w:r>
          </w:p>
        </w:tc>
        <w:tc>
          <w:tcPr>
            <w:tcW w:w="709" w:type="dxa"/>
            <w:shd w:val="clear" w:color="auto" w:fill="auto"/>
            <w:vAlign w:val="center"/>
          </w:tcPr>
          <w:p w14:paraId="21E2A5EB">
            <w:pPr>
              <w:jc w:val="center"/>
              <w:rPr>
                <w:iCs/>
                <w:sz w:val="18"/>
                <w:szCs w:val="18"/>
              </w:rPr>
            </w:pPr>
            <w:r>
              <w:rPr>
                <w:rFonts w:hint="eastAsia"/>
                <w:iCs/>
                <w:sz w:val="18"/>
                <w:szCs w:val="18"/>
              </w:rPr>
              <w:t>2</w:t>
            </w:r>
          </w:p>
        </w:tc>
        <w:tc>
          <w:tcPr>
            <w:tcW w:w="709" w:type="dxa"/>
            <w:shd w:val="clear" w:color="auto" w:fill="auto"/>
            <w:vAlign w:val="center"/>
          </w:tcPr>
          <w:p w14:paraId="13AD5816">
            <w:pPr>
              <w:jc w:val="center"/>
              <w:rPr>
                <w:iCs/>
                <w:sz w:val="18"/>
                <w:szCs w:val="18"/>
              </w:rPr>
            </w:pPr>
            <w:r>
              <w:rPr>
                <w:rFonts w:hint="eastAsia"/>
                <w:iCs/>
                <w:sz w:val="18"/>
                <w:szCs w:val="18"/>
              </w:rPr>
              <w:t>2</w:t>
            </w:r>
          </w:p>
        </w:tc>
        <w:tc>
          <w:tcPr>
            <w:tcW w:w="1045" w:type="dxa"/>
            <w:vAlign w:val="center"/>
          </w:tcPr>
          <w:p w14:paraId="1A632761">
            <w:pPr>
              <w:jc w:val="center"/>
              <w:rPr>
                <w:sz w:val="18"/>
                <w:szCs w:val="18"/>
              </w:rPr>
            </w:pPr>
            <w:r>
              <w:rPr>
                <w:rFonts w:hint="eastAsia"/>
                <w:sz w:val="18"/>
                <w:szCs w:val="18"/>
              </w:rPr>
              <w:t>考查</w:t>
            </w:r>
          </w:p>
        </w:tc>
      </w:tr>
      <w:tr w14:paraId="1FAE47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6D0E9A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74331A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0E74D00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24F34A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5CFE34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2E98C6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E4AFC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25F50E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D0055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695970">
            <w:pPr>
              <w:jc w:val="center"/>
              <w:rPr>
                <w:b/>
                <w:color w:val="000000" w:themeColor="text1"/>
                <w:sz w:val="18"/>
                <w:szCs w:val="18"/>
                <w14:textFill>
                  <w14:solidFill>
                    <w14:schemeClr w14:val="tx1"/>
                  </w14:solidFill>
                </w14:textFill>
              </w:rPr>
            </w:pPr>
          </w:p>
        </w:tc>
        <w:tc>
          <w:tcPr>
            <w:tcW w:w="1226" w:type="dxa"/>
            <w:vMerge w:val="continue"/>
            <w:vAlign w:val="center"/>
          </w:tcPr>
          <w:p w14:paraId="68D9FCC8">
            <w:pPr>
              <w:jc w:val="center"/>
              <w:rPr>
                <w:b/>
                <w:color w:val="000000" w:themeColor="text1"/>
                <w:sz w:val="18"/>
                <w:szCs w:val="18"/>
                <w14:textFill>
                  <w14:solidFill>
                    <w14:schemeClr w14:val="tx1"/>
                  </w14:solidFill>
                </w14:textFill>
              </w:rPr>
            </w:pPr>
          </w:p>
        </w:tc>
        <w:tc>
          <w:tcPr>
            <w:tcW w:w="3516" w:type="dxa"/>
            <w:vAlign w:val="center"/>
          </w:tcPr>
          <w:p w14:paraId="7A7BE79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566FB2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0B84562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C052D3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ECE6ED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EE690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406BF0">
            <w:pPr>
              <w:rPr>
                <w:b/>
                <w:color w:val="000000" w:themeColor="text1"/>
                <w:sz w:val="18"/>
                <w:szCs w:val="18"/>
                <w14:textFill>
                  <w14:solidFill>
                    <w14:schemeClr w14:val="tx1"/>
                  </w14:solidFill>
                </w14:textFill>
              </w:rPr>
            </w:pPr>
          </w:p>
        </w:tc>
        <w:tc>
          <w:tcPr>
            <w:tcW w:w="1226" w:type="dxa"/>
            <w:vMerge w:val="restart"/>
            <w:vAlign w:val="center"/>
          </w:tcPr>
          <w:p w14:paraId="4B170F95">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信息组织与检索技术</w:t>
            </w:r>
            <w:r>
              <w:rPr>
                <w:b/>
                <w:color w:val="000000" w:themeColor="text1"/>
                <w:sz w:val="18"/>
                <w:szCs w:val="18"/>
                <w14:textFill>
                  <w14:solidFill>
                    <w14:schemeClr w14:val="tx1"/>
                  </w14:solidFill>
                </w14:textFill>
              </w:rPr>
              <w:t>方向</w:t>
            </w:r>
          </w:p>
          <w:p w14:paraId="1B0C3FAF">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1EFEE2F6">
            <w:pPr>
              <w:rPr>
                <w:i/>
                <w:sz w:val="18"/>
                <w:szCs w:val="18"/>
              </w:rPr>
            </w:pPr>
            <w:r>
              <w:rPr>
                <w:sz w:val="18"/>
                <w:szCs w:val="18"/>
              </w:rPr>
              <w:t>特色课程</w:t>
            </w:r>
            <w:r>
              <w:rPr>
                <w:rFonts w:hint="eastAsia"/>
                <w:sz w:val="18"/>
                <w:szCs w:val="18"/>
              </w:rPr>
              <w:t>：</w:t>
            </w:r>
            <w:r>
              <w:rPr>
                <w:rFonts w:hint="eastAsia"/>
                <w:iCs/>
                <w:sz w:val="18"/>
                <w:szCs w:val="18"/>
              </w:rPr>
              <w:t>信息与社会研究</w:t>
            </w:r>
          </w:p>
        </w:tc>
        <w:tc>
          <w:tcPr>
            <w:tcW w:w="1081" w:type="dxa"/>
            <w:vAlign w:val="center"/>
          </w:tcPr>
          <w:p w14:paraId="156AB8B2">
            <w:pPr>
              <w:rPr>
                <w:iCs/>
                <w:sz w:val="18"/>
                <w:szCs w:val="18"/>
              </w:rPr>
            </w:pPr>
            <w:r>
              <w:rPr>
                <w:rFonts w:hint="eastAsia"/>
                <w:iCs/>
                <w:sz w:val="18"/>
                <w:szCs w:val="18"/>
              </w:rPr>
              <w:t>XS</w:t>
            </w:r>
            <w:r>
              <w:rPr>
                <w:iCs/>
                <w:sz w:val="18"/>
                <w:szCs w:val="18"/>
              </w:rPr>
              <w:t>04</w:t>
            </w:r>
            <w:r>
              <w:rPr>
                <w:rFonts w:hint="eastAsia"/>
                <w:iCs/>
                <w:sz w:val="18"/>
                <w:szCs w:val="18"/>
              </w:rPr>
              <w:t>22004</w:t>
            </w:r>
          </w:p>
        </w:tc>
        <w:tc>
          <w:tcPr>
            <w:tcW w:w="709" w:type="dxa"/>
            <w:vAlign w:val="center"/>
          </w:tcPr>
          <w:p w14:paraId="37FBB558">
            <w:pPr>
              <w:jc w:val="center"/>
              <w:rPr>
                <w:iCs/>
                <w:sz w:val="18"/>
                <w:szCs w:val="18"/>
              </w:rPr>
            </w:pPr>
            <w:r>
              <w:rPr>
                <w:rFonts w:hint="eastAsia"/>
                <w:iCs/>
                <w:sz w:val="18"/>
                <w:szCs w:val="18"/>
              </w:rPr>
              <w:t>2</w:t>
            </w:r>
          </w:p>
        </w:tc>
        <w:tc>
          <w:tcPr>
            <w:tcW w:w="709" w:type="dxa"/>
            <w:vAlign w:val="center"/>
          </w:tcPr>
          <w:p w14:paraId="4DC01242">
            <w:pPr>
              <w:jc w:val="center"/>
              <w:rPr>
                <w:iCs/>
                <w:sz w:val="18"/>
                <w:szCs w:val="18"/>
              </w:rPr>
            </w:pPr>
            <w:r>
              <w:rPr>
                <w:rFonts w:hint="eastAsia"/>
                <w:iCs/>
                <w:sz w:val="18"/>
                <w:szCs w:val="18"/>
              </w:rPr>
              <w:t>2</w:t>
            </w:r>
          </w:p>
        </w:tc>
        <w:tc>
          <w:tcPr>
            <w:tcW w:w="1045" w:type="dxa"/>
            <w:vMerge w:val="restart"/>
            <w:vAlign w:val="center"/>
          </w:tcPr>
          <w:p w14:paraId="5BDA660C">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9E38FB6">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365F08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845C1F">
            <w:pPr>
              <w:rPr>
                <w:b/>
                <w:color w:val="000000" w:themeColor="text1"/>
                <w:sz w:val="18"/>
                <w:szCs w:val="18"/>
                <w14:textFill>
                  <w14:solidFill>
                    <w14:schemeClr w14:val="tx1"/>
                  </w14:solidFill>
                </w14:textFill>
              </w:rPr>
            </w:pPr>
          </w:p>
        </w:tc>
        <w:tc>
          <w:tcPr>
            <w:tcW w:w="1226" w:type="dxa"/>
            <w:vMerge w:val="continue"/>
            <w:vAlign w:val="center"/>
          </w:tcPr>
          <w:p w14:paraId="34770E95">
            <w:pPr>
              <w:adjustRightInd w:val="0"/>
              <w:snapToGrid w:val="0"/>
              <w:jc w:val="center"/>
              <w:rPr>
                <w:b/>
                <w:color w:val="FF0000"/>
                <w:sz w:val="18"/>
                <w:szCs w:val="18"/>
              </w:rPr>
            </w:pPr>
          </w:p>
        </w:tc>
        <w:tc>
          <w:tcPr>
            <w:tcW w:w="3516" w:type="dxa"/>
            <w:vAlign w:val="center"/>
          </w:tcPr>
          <w:p w14:paraId="53503F10">
            <w:pPr>
              <w:rPr>
                <w:i/>
                <w:sz w:val="18"/>
                <w:szCs w:val="18"/>
              </w:rPr>
            </w:pPr>
            <w:r>
              <w:rPr>
                <w:rFonts w:hint="eastAsia"/>
                <w:iCs/>
                <w:sz w:val="18"/>
                <w:szCs w:val="18"/>
              </w:rPr>
              <w:t>信息用户与信息服务</w:t>
            </w:r>
          </w:p>
        </w:tc>
        <w:tc>
          <w:tcPr>
            <w:tcW w:w="1081" w:type="dxa"/>
            <w:vAlign w:val="center"/>
          </w:tcPr>
          <w:p w14:paraId="57A4ADCB">
            <w:pPr>
              <w:rPr>
                <w:iCs/>
                <w:sz w:val="18"/>
                <w:szCs w:val="18"/>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w:t>
            </w:r>
            <w:r>
              <w:rPr>
                <w:rFonts w:hint="eastAsia"/>
                <w:iCs/>
                <w:sz w:val="18"/>
                <w:szCs w:val="18"/>
              </w:rPr>
              <w:t>05</w:t>
            </w:r>
          </w:p>
        </w:tc>
        <w:tc>
          <w:tcPr>
            <w:tcW w:w="709" w:type="dxa"/>
            <w:vAlign w:val="center"/>
          </w:tcPr>
          <w:p w14:paraId="33C0CF91">
            <w:pPr>
              <w:jc w:val="center"/>
              <w:rPr>
                <w:iCs/>
                <w:sz w:val="18"/>
                <w:szCs w:val="18"/>
              </w:rPr>
            </w:pPr>
            <w:r>
              <w:rPr>
                <w:rFonts w:hint="eastAsia"/>
                <w:iCs/>
                <w:sz w:val="18"/>
                <w:szCs w:val="18"/>
              </w:rPr>
              <w:t>2</w:t>
            </w:r>
          </w:p>
        </w:tc>
        <w:tc>
          <w:tcPr>
            <w:tcW w:w="709" w:type="dxa"/>
            <w:vAlign w:val="center"/>
          </w:tcPr>
          <w:p w14:paraId="0B652291">
            <w:pPr>
              <w:jc w:val="center"/>
              <w:rPr>
                <w:iCs/>
                <w:sz w:val="18"/>
                <w:szCs w:val="18"/>
              </w:rPr>
            </w:pPr>
            <w:r>
              <w:rPr>
                <w:rFonts w:hint="eastAsia"/>
                <w:iCs/>
                <w:sz w:val="18"/>
                <w:szCs w:val="18"/>
              </w:rPr>
              <w:t>1</w:t>
            </w:r>
          </w:p>
        </w:tc>
        <w:tc>
          <w:tcPr>
            <w:tcW w:w="1045" w:type="dxa"/>
            <w:vMerge w:val="continue"/>
            <w:vAlign w:val="center"/>
          </w:tcPr>
          <w:p w14:paraId="45858AE8">
            <w:pPr>
              <w:adjustRightInd w:val="0"/>
              <w:snapToGrid w:val="0"/>
              <w:jc w:val="center"/>
              <w:rPr>
                <w:color w:val="000000" w:themeColor="text1"/>
                <w:sz w:val="18"/>
                <w:szCs w:val="18"/>
                <w14:textFill>
                  <w14:solidFill>
                    <w14:schemeClr w14:val="tx1"/>
                  </w14:solidFill>
                </w14:textFill>
              </w:rPr>
            </w:pPr>
          </w:p>
        </w:tc>
      </w:tr>
      <w:tr w14:paraId="5F52FC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E4ECAA0">
            <w:pPr>
              <w:rPr>
                <w:b/>
                <w:color w:val="000000" w:themeColor="text1"/>
                <w:sz w:val="18"/>
                <w:szCs w:val="18"/>
                <w14:textFill>
                  <w14:solidFill>
                    <w14:schemeClr w14:val="tx1"/>
                  </w14:solidFill>
                </w14:textFill>
              </w:rPr>
            </w:pPr>
          </w:p>
        </w:tc>
        <w:tc>
          <w:tcPr>
            <w:tcW w:w="1226" w:type="dxa"/>
            <w:vMerge w:val="continue"/>
            <w:vAlign w:val="center"/>
          </w:tcPr>
          <w:p w14:paraId="024C871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B6F569E">
            <w:pPr>
              <w:adjustRightInd w:val="0"/>
              <w:snapToGrid w:val="0"/>
              <w:rPr>
                <w:iCs/>
                <w:sz w:val="18"/>
                <w:szCs w:val="18"/>
              </w:rPr>
            </w:pPr>
            <w:r>
              <w:rPr>
                <w:rFonts w:hint="eastAsia"/>
                <w:sz w:val="18"/>
                <w:szCs w:val="18"/>
              </w:rPr>
              <w:t>人工智能治理与规制</w:t>
            </w:r>
          </w:p>
        </w:tc>
        <w:tc>
          <w:tcPr>
            <w:tcW w:w="1081" w:type="dxa"/>
            <w:vAlign w:val="center"/>
          </w:tcPr>
          <w:p w14:paraId="69CB5323">
            <w:pPr>
              <w:rPr>
                <w:iCs/>
                <w:sz w:val="18"/>
                <w:szCs w:val="18"/>
              </w:rPr>
            </w:pPr>
            <w:r>
              <w:rPr>
                <w:rFonts w:hint="eastAsia"/>
                <w:iCs/>
                <w:sz w:val="18"/>
                <w:szCs w:val="18"/>
              </w:rPr>
              <w:t>XS</w:t>
            </w:r>
            <w:r>
              <w:rPr>
                <w:iCs/>
                <w:sz w:val="18"/>
                <w:szCs w:val="18"/>
              </w:rPr>
              <w:t>04</w:t>
            </w:r>
            <w:r>
              <w:rPr>
                <w:rFonts w:hint="eastAsia"/>
                <w:iCs/>
                <w:sz w:val="18"/>
                <w:szCs w:val="18"/>
              </w:rPr>
              <w:t>22006</w:t>
            </w:r>
          </w:p>
        </w:tc>
        <w:tc>
          <w:tcPr>
            <w:tcW w:w="709" w:type="dxa"/>
            <w:vAlign w:val="center"/>
          </w:tcPr>
          <w:p w14:paraId="6CD0ABF0">
            <w:pPr>
              <w:jc w:val="center"/>
              <w:rPr>
                <w:iCs/>
                <w:sz w:val="18"/>
                <w:szCs w:val="18"/>
              </w:rPr>
            </w:pPr>
            <w:r>
              <w:rPr>
                <w:rFonts w:hint="eastAsia"/>
                <w:iCs/>
                <w:sz w:val="18"/>
                <w:szCs w:val="18"/>
              </w:rPr>
              <w:t>2</w:t>
            </w:r>
          </w:p>
        </w:tc>
        <w:tc>
          <w:tcPr>
            <w:tcW w:w="709" w:type="dxa"/>
            <w:vAlign w:val="center"/>
          </w:tcPr>
          <w:p w14:paraId="2A37B16B">
            <w:pPr>
              <w:jc w:val="center"/>
              <w:rPr>
                <w:iCs/>
                <w:sz w:val="18"/>
                <w:szCs w:val="18"/>
              </w:rPr>
            </w:pPr>
            <w:r>
              <w:rPr>
                <w:rFonts w:hint="eastAsia"/>
                <w:iCs/>
                <w:sz w:val="18"/>
                <w:szCs w:val="18"/>
              </w:rPr>
              <w:t>2</w:t>
            </w:r>
          </w:p>
        </w:tc>
        <w:tc>
          <w:tcPr>
            <w:tcW w:w="1045" w:type="dxa"/>
            <w:vMerge w:val="continue"/>
            <w:vAlign w:val="center"/>
          </w:tcPr>
          <w:p w14:paraId="070E087E">
            <w:pPr>
              <w:jc w:val="center"/>
              <w:rPr>
                <w:color w:val="000000" w:themeColor="text1"/>
                <w:sz w:val="18"/>
                <w:szCs w:val="18"/>
                <w14:textFill>
                  <w14:solidFill>
                    <w14:schemeClr w14:val="tx1"/>
                  </w14:solidFill>
                </w14:textFill>
              </w:rPr>
            </w:pPr>
          </w:p>
        </w:tc>
      </w:tr>
      <w:tr w14:paraId="4FEB2B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B0853F">
            <w:pPr>
              <w:rPr>
                <w:b/>
                <w:color w:val="000000" w:themeColor="text1"/>
                <w:sz w:val="18"/>
                <w:szCs w:val="18"/>
                <w14:textFill>
                  <w14:solidFill>
                    <w14:schemeClr w14:val="tx1"/>
                  </w14:solidFill>
                </w14:textFill>
              </w:rPr>
            </w:pPr>
          </w:p>
        </w:tc>
        <w:tc>
          <w:tcPr>
            <w:tcW w:w="1226" w:type="dxa"/>
            <w:vMerge w:val="continue"/>
            <w:vAlign w:val="center"/>
          </w:tcPr>
          <w:p w14:paraId="08D05FE8">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44C288E">
            <w:pPr>
              <w:adjustRightInd w:val="0"/>
              <w:snapToGrid w:val="0"/>
              <w:rPr>
                <w:iCs/>
                <w:sz w:val="18"/>
                <w:szCs w:val="18"/>
              </w:rPr>
            </w:pPr>
            <w:r>
              <w:rPr>
                <w:rFonts w:hint="eastAsia"/>
                <w:iCs/>
                <w:sz w:val="18"/>
                <w:szCs w:val="18"/>
              </w:rPr>
              <w:t>竞争情报</w:t>
            </w:r>
          </w:p>
        </w:tc>
        <w:tc>
          <w:tcPr>
            <w:tcW w:w="1081" w:type="dxa"/>
            <w:vAlign w:val="center"/>
          </w:tcPr>
          <w:p w14:paraId="112F49C0">
            <w:pPr>
              <w:rPr>
                <w:rFonts w:hint="default"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202</w:t>
            </w:r>
          </w:p>
        </w:tc>
        <w:tc>
          <w:tcPr>
            <w:tcW w:w="709" w:type="dxa"/>
            <w:vAlign w:val="center"/>
          </w:tcPr>
          <w:p w14:paraId="21EF5640">
            <w:pPr>
              <w:jc w:val="center"/>
              <w:rPr>
                <w:iCs/>
                <w:sz w:val="18"/>
                <w:szCs w:val="18"/>
              </w:rPr>
            </w:pPr>
            <w:r>
              <w:rPr>
                <w:rFonts w:hint="eastAsia"/>
                <w:iCs/>
                <w:sz w:val="18"/>
                <w:szCs w:val="18"/>
              </w:rPr>
              <w:t>2</w:t>
            </w:r>
          </w:p>
        </w:tc>
        <w:tc>
          <w:tcPr>
            <w:tcW w:w="709" w:type="dxa"/>
            <w:vAlign w:val="center"/>
          </w:tcPr>
          <w:p w14:paraId="59BDAC1E">
            <w:pPr>
              <w:jc w:val="center"/>
              <w:rPr>
                <w:iCs/>
                <w:sz w:val="18"/>
                <w:szCs w:val="18"/>
              </w:rPr>
            </w:pPr>
            <w:r>
              <w:rPr>
                <w:rFonts w:hint="eastAsia"/>
                <w:iCs/>
                <w:sz w:val="18"/>
                <w:szCs w:val="18"/>
              </w:rPr>
              <w:t>2</w:t>
            </w:r>
          </w:p>
        </w:tc>
        <w:tc>
          <w:tcPr>
            <w:tcW w:w="1045" w:type="dxa"/>
            <w:vMerge w:val="continue"/>
            <w:vAlign w:val="center"/>
          </w:tcPr>
          <w:p w14:paraId="30D40CCA">
            <w:pPr>
              <w:jc w:val="center"/>
              <w:rPr>
                <w:color w:val="000000" w:themeColor="text1"/>
                <w:sz w:val="18"/>
                <w:szCs w:val="18"/>
                <w14:textFill>
                  <w14:solidFill>
                    <w14:schemeClr w14:val="tx1"/>
                  </w14:solidFill>
                </w14:textFill>
              </w:rPr>
            </w:pPr>
          </w:p>
        </w:tc>
      </w:tr>
      <w:tr w14:paraId="205821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5F5820">
            <w:pPr>
              <w:rPr>
                <w:b/>
                <w:color w:val="000000" w:themeColor="text1"/>
                <w:sz w:val="18"/>
                <w:szCs w:val="18"/>
                <w14:textFill>
                  <w14:solidFill>
                    <w14:schemeClr w14:val="tx1"/>
                  </w14:solidFill>
                </w14:textFill>
              </w:rPr>
            </w:pPr>
          </w:p>
        </w:tc>
        <w:tc>
          <w:tcPr>
            <w:tcW w:w="1226" w:type="dxa"/>
            <w:vMerge w:val="continue"/>
            <w:vAlign w:val="center"/>
          </w:tcPr>
          <w:p w14:paraId="7C28898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F6560AD">
            <w:pPr>
              <w:adjustRightInd w:val="0"/>
              <w:snapToGrid w:val="0"/>
              <w:rPr>
                <w:iCs/>
                <w:sz w:val="18"/>
                <w:szCs w:val="18"/>
              </w:rPr>
            </w:pPr>
            <w:r>
              <w:rPr>
                <w:rFonts w:hint="eastAsia"/>
                <w:iCs/>
                <w:sz w:val="18"/>
                <w:szCs w:val="18"/>
              </w:rPr>
              <w:t>自然语言处理</w:t>
            </w:r>
          </w:p>
        </w:tc>
        <w:tc>
          <w:tcPr>
            <w:tcW w:w="1081" w:type="dxa"/>
            <w:vAlign w:val="center"/>
          </w:tcPr>
          <w:p w14:paraId="77DE7FB1">
            <w:pPr>
              <w:rPr>
                <w:iCs/>
                <w:sz w:val="18"/>
                <w:szCs w:val="18"/>
              </w:rPr>
            </w:pPr>
            <w:r>
              <w:rPr>
                <w:rFonts w:hint="eastAsia"/>
                <w:iCs/>
                <w:sz w:val="18"/>
                <w:szCs w:val="18"/>
              </w:rPr>
              <w:t>XS</w:t>
            </w:r>
            <w:r>
              <w:rPr>
                <w:iCs/>
                <w:sz w:val="18"/>
                <w:szCs w:val="18"/>
              </w:rPr>
              <w:t>04</w:t>
            </w:r>
            <w:r>
              <w:rPr>
                <w:rFonts w:hint="eastAsia"/>
                <w:iCs/>
                <w:sz w:val="18"/>
                <w:szCs w:val="18"/>
              </w:rPr>
              <w:t>22008</w:t>
            </w:r>
          </w:p>
        </w:tc>
        <w:tc>
          <w:tcPr>
            <w:tcW w:w="709" w:type="dxa"/>
            <w:vAlign w:val="center"/>
          </w:tcPr>
          <w:p w14:paraId="67FB9F58">
            <w:pPr>
              <w:rPr>
                <w:iCs/>
                <w:sz w:val="18"/>
                <w:szCs w:val="18"/>
              </w:rPr>
            </w:pPr>
            <w:r>
              <w:rPr>
                <w:rFonts w:hint="eastAsia"/>
                <w:iCs/>
                <w:sz w:val="18"/>
                <w:szCs w:val="18"/>
              </w:rPr>
              <w:t>2</w:t>
            </w:r>
          </w:p>
        </w:tc>
        <w:tc>
          <w:tcPr>
            <w:tcW w:w="709" w:type="dxa"/>
            <w:vAlign w:val="center"/>
          </w:tcPr>
          <w:p w14:paraId="0B6A73F6">
            <w:pPr>
              <w:jc w:val="center"/>
              <w:rPr>
                <w:iCs/>
                <w:sz w:val="18"/>
                <w:szCs w:val="18"/>
              </w:rPr>
            </w:pPr>
            <w:r>
              <w:rPr>
                <w:rFonts w:hint="eastAsia"/>
                <w:iCs/>
                <w:sz w:val="18"/>
                <w:szCs w:val="18"/>
              </w:rPr>
              <w:t>2</w:t>
            </w:r>
          </w:p>
        </w:tc>
        <w:tc>
          <w:tcPr>
            <w:tcW w:w="1045" w:type="dxa"/>
            <w:vMerge w:val="continue"/>
            <w:vAlign w:val="center"/>
          </w:tcPr>
          <w:p w14:paraId="2DC1B0A2">
            <w:pPr>
              <w:jc w:val="center"/>
              <w:rPr>
                <w:color w:val="000000" w:themeColor="text1"/>
                <w:sz w:val="18"/>
                <w:szCs w:val="18"/>
                <w14:textFill>
                  <w14:solidFill>
                    <w14:schemeClr w14:val="tx1"/>
                  </w14:solidFill>
                </w14:textFill>
              </w:rPr>
            </w:pPr>
          </w:p>
        </w:tc>
      </w:tr>
      <w:tr w14:paraId="4ED3A5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6A8734">
            <w:pPr>
              <w:rPr>
                <w:b/>
                <w:color w:val="000000" w:themeColor="text1"/>
                <w:sz w:val="18"/>
                <w:szCs w:val="18"/>
                <w14:textFill>
                  <w14:solidFill>
                    <w14:schemeClr w14:val="tx1"/>
                  </w14:solidFill>
                </w14:textFill>
              </w:rPr>
            </w:pPr>
          </w:p>
        </w:tc>
        <w:tc>
          <w:tcPr>
            <w:tcW w:w="1226" w:type="dxa"/>
            <w:vMerge w:val="restart"/>
            <w:vAlign w:val="center"/>
          </w:tcPr>
          <w:p w14:paraId="04442941">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信息管理与信息服务</w:t>
            </w:r>
            <w:r>
              <w:rPr>
                <w:b/>
                <w:color w:val="000000" w:themeColor="text1"/>
                <w:sz w:val="18"/>
                <w:szCs w:val="18"/>
                <w14:textFill>
                  <w14:solidFill>
                    <w14:schemeClr w14:val="tx1"/>
                  </w14:solidFill>
                </w14:textFill>
              </w:rPr>
              <w:t>方向</w:t>
            </w:r>
          </w:p>
          <w:p w14:paraId="2793774D">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3712A801">
            <w:pPr>
              <w:adjustRightInd w:val="0"/>
              <w:snapToGrid w:val="0"/>
              <w:jc w:val="center"/>
              <w:rPr>
                <w:b/>
                <w:color w:val="FF0000"/>
                <w:sz w:val="18"/>
                <w:szCs w:val="18"/>
              </w:rPr>
            </w:pPr>
          </w:p>
        </w:tc>
        <w:tc>
          <w:tcPr>
            <w:tcW w:w="3516" w:type="dxa"/>
            <w:shd w:val="clear" w:color="auto" w:fill="auto"/>
            <w:vAlign w:val="center"/>
          </w:tcPr>
          <w:p w14:paraId="05AB96B7">
            <w:pPr>
              <w:adjustRightInd w:val="0"/>
              <w:snapToGrid w:val="0"/>
              <w:rPr>
                <w:iCs/>
                <w:sz w:val="18"/>
                <w:szCs w:val="18"/>
              </w:rPr>
            </w:pPr>
            <w:r>
              <w:rPr>
                <w:rFonts w:hint="eastAsia"/>
                <w:iCs/>
                <w:sz w:val="18"/>
                <w:szCs w:val="18"/>
              </w:rPr>
              <w:t>特色课程：信息用户与信息服务</w:t>
            </w:r>
          </w:p>
        </w:tc>
        <w:tc>
          <w:tcPr>
            <w:tcW w:w="1081" w:type="dxa"/>
            <w:vAlign w:val="center"/>
          </w:tcPr>
          <w:p w14:paraId="7B506682">
            <w:pPr>
              <w:rPr>
                <w:iCs/>
                <w:sz w:val="18"/>
                <w:szCs w:val="18"/>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w:t>
            </w:r>
            <w:r>
              <w:rPr>
                <w:rFonts w:hint="eastAsia"/>
                <w:iCs/>
                <w:sz w:val="18"/>
                <w:szCs w:val="18"/>
              </w:rPr>
              <w:t>05</w:t>
            </w:r>
          </w:p>
        </w:tc>
        <w:tc>
          <w:tcPr>
            <w:tcW w:w="709" w:type="dxa"/>
            <w:vAlign w:val="center"/>
          </w:tcPr>
          <w:p w14:paraId="5FCC4B25">
            <w:pPr>
              <w:rPr>
                <w:iCs/>
                <w:sz w:val="18"/>
                <w:szCs w:val="18"/>
              </w:rPr>
            </w:pPr>
            <w:r>
              <w:rPr>
                <w:rFonts w:hint="eastAsia"/>
                <w:iCs/>
                <w:sz w:val="18"/>
                <w:szCs w:val="18"/>
              </w:rPr>
              <w:t>2</w:t>
            </w:r>
          </w:p>
        </w:tc>
        <w:tc>
          <w:tcPr>
            <w:tcW w:w="709" w:type="dxa"/>
            <w:vAlign w:val="center"/>
          </w:tcPr>
          <w:p w14:paraId="7263B652">
            <w:pPr>
              <w:jc w:val="center"/>
              <w:rPr>
                <w:iCs/>
                <w:sz w:val="18"/>
                <w:szCs w:val="18"/>
              </w:rPr>
            </w:pPr>
            <w:r>
              <w:rPr>
                <w:rFonts w:hint="eastAsia"/>
                <w:iCs/>
                <w:sz w:val="18"/>
                <w:szCs w:val="18"/>
              </w:rPr>
              <w:t>1</w:t>
            </w:r>
          </w:p>
        </w:tc>
        <w:tc>
          <w:tcPr>
            <w:tcW w:w="1045" w:type="dxa"/>
            <w:vMerge w:val="restart"/>
            <w:vAlign w:val="center"/>
          </w:tcPr>
          <w:p w14:paraId="369E6CC9">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7024D1E">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7C9E68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B5C2BE">
            <w:pPr>
              <w:rPr>
                <w:b/>
                <w:color w:val="000000" w:themeColor="text1"/>
                <w:sz w:val="18"/>
                <w:szCs w:val="18"/>
                <w14:textFill>
                  <w14:solidFill>
                    <w14:schemeClr w14:val="tx1"/>
                  </w14:solidFill>
                </w14:textFill>
              </w:rPr>
            </w:pPr>
          </w:p>
        </w:tc>
        <w:tc>
          <w:tcPr>
            <w:tcW w:w="1226" w:type="dxa"/>
            <w:vMerge w:val="continue"/>
            <w:vAlign w:val="center"/>
          </w:tcPr>
          <w:p w14:paraId="58A35F77">
            <w:pPr>
              <w:adjustRightInd w:val="0"/>
              <w:snapToGrid w:val="0"/>
              <w:jc w:val="center"/>
              <w:rPr>
                <w:b/>
                <w:color w:val="FF0000"/>
                <w:sz w:val="18"/>
                <w:szCs w:val="18"/>
              </w:rPr>
            </w:pPr>
          </w:p>
        </w:tc>
        <w:tc>
          <w:tcPr>
            <w:tcW w:w="3516" w:type="dxa"/>
            <w:vAlign w:val="center"/>
          </w:tcPr>
          <w:p w14:paraId="17B474D4">
            <w:pPr>
              <w:rPr>
                <w:i/>
                <w:sz w:val="18"/>
                <w:szCs w:val="18"/>
              </w:rPr>
            </w:pPr>
            <w:r>
              <w:rPr>
                <w:rFonts w:hint="eastAsia"/>
                <w:iCs/>
                <w:sz w:val="18"/>
                <w:szCs w:val="18"/>
              </w:rPr>
              <w:t>信息与社会研究</w:t>
            </w:r>
          </w:p>
        </w:tc>
        <w:tc>
          <w:tcPr>
            <w:tcW w:w="1081" w:type="dxa"/>
            <w:vAlign w:val="center"/>
          </w:tcPr>
          <w:p w14:paraId="34088CBD">
            <w:pPr>
              <w:rPr>
                <w:iCs/>
                <w:sz w:val="18"/>
                <w:szCs w:val="18"/>
              </w:rPr>
            </w:pPr>
            <w:r>
              <w:rPr>
                <w:rFonts w:hint="eastAsia"/>
                <w:iCs/>
                <w:sz w:val="18"/>
                <w:szCs w:val="18"/>
              </w:rPr>
              <w:t>XS</w:t>
            </w:r>
            <w:r>
              <w:rPr>
                <w:iCs/>
                <w:sz w:val="18"/>
                <w:szCs w:val="18"/>
              </w:rPr>
              <w:t>04</w:t>
            </w:r>
            <w:r>
              <w:rPr>
                <w:rFonts w:hint="eastAsia"/>
                <w:iCs/>
                <w:sz w:val="18"/>
                <w:szCs w:val="18"/>
              </w:rPr>
              <w:t>22004</w:t>
            </w:r>
          </w:p>
        </w:tc>
        <w:tc>
          <w:tcPr>
            <w:tcW w:w="709" w:type="dxa"/>
            <w:vAlign w:val="center"/>
          </w:tcPr>
          <w:p w14:paraId="4F4A89F6">
            <w:pPr>
              <w:rPr>
                <w:iCs/>
                <w:sz w:val="18"/>
                <w:szCs w:val="18"/>
              </w:rPr>
            </w:pPr>
            <w:r>
              <w:rPr>
                <w:rFonts w:hint="eastAsia"/>
                <w:iCs/>
                <w:sz w:val="18"/>
                <w:szCs w:val="18"/>
              </w:rPr>
              <w:t>2</w:t>
            </w:r>
          </w:p>
        </w:tc>
        <w:tc>
          <w:tcPr>
            <w:tcW w:w="709" w:type="dxa"/>
            <w:vAlign w:val="center"/>
          </w:tcPr>
          <w:p w14:paraId="559F64B3">
            <w:pPr>
              <w:jc w:val="center"/>
              <w:rPr>
                <w:iCs/>
                <w:sz w:val="18"/>
                <w:szCs w:val="18"/>
              </w:rPr>
            </w:pPr>
            <w:r>
              <w:rPr>
                <w:rFonts w:hint="eastAsia"/>
                <w:iCs/>
                <w:sz w:val="18"/>
                <w:szCs w:val="18"/>
              </w:rPr>
              <w:t>2</w:t>
            </w:r>
          </w:p>
        </w:tc>
        <w:tc>
          <w:tcPr>
            <w:tcW w:w="1045" w:type="dxa"/>
            <w:vMerge w:val="continue"/>
            <w:vAlign w:val="center"/>
          </w:tcPr>
          <w:p w14:paraId="4AFE03EE">
            <w:pPr>
              <w:adjustRightInd w:val="0"/>
              <w:snapToGrid w:val="0"/>
              <w:jc w:val="center"/>
              <w:rPr>
                <w:color w:val="000000" w:themeColor="text1"/>
                <w:sz w:val="18"/>
                <w:szCs w:val="18"/>
                <w14:textFill>
                  <w14:solidFill>
                    <w14:schemeClr w14:val="tx1"/>
                  </w14:solidFill>
                </w14:textFill>
              </w:rPr>
            </w:pPr>
          </w:p>
        </w:tc>
      </w:tr>
      <w:tr w14:paraId="068586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BA1600">
            <w:pPr>
              <w:rPr>
                <w:b/>
                <w:color w:val="000000" w:themeColor="text1"/>
                <w:sz w:val="18"/>
                <w:szCs w:val="18"/>
                <w14:textFill>
                  <w14:solidFill>
                    <w14:schemeClr w14:val="tx1"/>
                  </w14:solidFill>
                </w14:textFill>
              </w:rPr>
            </w:pPr>
          </w:p>
        </w:tc>
        <w:tc>
          <w:tcPr>
            <w:tcW w:w="1226" w:type="dxa"/>
            <w:vMerge w:val="continue"/>
          </w:tcPr>
          <w:p w14:paraId="1B890CA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579C3B3">
            <w:pPr>
              <w:adjustRightInd w:val="0"/>
              <w:snapToGrid w:val="0"/>
              <w:rPr>
                <w:iCs/>
                <w:sz w:val="18"/>
                <w:szCs w:val="18"/>
              </w:rPr>
            </w:pPr>
            <w:r>
              <w:rPr>
                <w:rFonts w:hint="eastAsia"/>
                <w:sz w:val="18"/>
                <w:szCs w:val="18"/>
              </w:rPr>
              <w:t>人工智能治理与规制</w:t>
            </w:r>
          </w:p>
        </w:tc>
        <w:tc>
          <w:tcPr>
            <w:tcW w:w="1081" w:type="dxa"/>
            <w:vAlign w:val="center"/>
          </w:tcPr>
          <w:p w14:paraId="01F08B42">
            <w:pPr>
              <w:rPr>
                <w:iCs/>
                <w:sz w:val="18"/>
                <w:szCs w:val="18"/>
              </w:rPr>
            </w:pPr>
            <w:r>
              <w:rPr>
                <w:rFonts w:hint="eastAsia"/>
                <w:iCs/>
                <w:sz w:val="18"/>
                <w:szCs w:val="18"/>
              </w:rPr>
              <w:t>XS</w:t>
            </w:r>
            <w:r>
              <w:rPr>
                <w:iCs/>
                <w:sz w:val="18"/>
                <w:szCs w:val="18"/>
              </w:rPr>
              <w:t>04</w:t>
            </w:r>
            <w:r>
              <w:rPr>
                <w:rFonts w:hint="eastAsia"/>
                <w:iCs/>
                <w:sz w:val="18"/>
                <w:szCs w:val="18"/>
              </w:rPr>
              <w:t>22006</w:t>
            </w:r>
          </w:p>
        </w:tc>
        <w:tc>
          <w:tcPr>
            <w:tcW w:w="709" w:type="dxa"/>
            <w:vAlign w:val="center"/>
          </w:tcPr>
          <w:p w14:paraId="261585E5">
            <w:pPr>
              <w:rPr>
                <w:iCs/>
                <w:sz w:val="18"/>
                <w:szCs w:val="18"/>
              </w:rPr>
            </w:pPr>
            <w:r>
              <w:rPr>
                <w:rFonts w:hint="eastAsia"/>
                <w:iCs/>
                <w:sz w:val="18"/>
                <w:szCs w:val="18"/>
              </w:rPr>
              <w:t>2</w:t>
            </w:r>
          </w:p>
        </w:tc>
        <w:tc>
          <w:tcPr>
            <w:tcW w:w="709" w:type="dxa"/>
            <w:vAlign w:val="center"/>
          </w:tcPr>
          <w:p w14:paraId="509F55D1">
            <w:pPr>
              <w:jc w:val="center"/>
              <w:rPr>
                <w:iCs/>
                <w:sz w:val="18"/>
                <w:szCs w:val="18"/>
              </w:rPr>
            </w:pPr>
            <w:r>
              <w:rPr>
                <w:rFonts w:hint="eastAsia"/>
                <w:iCs/>
                <w:sz w:val="18"/>
                <w:szCs w:val="18"/>
              </w:rPr>
              <w:t>2</w:t>
            </w:r>
          </w:p>
        </w:tc>
        <w:tc>
          <w:tcPr>
            <w:tcW w:w="1045" w:type="dxa"/>
            <w:vMerge w:val="continue"/>
            <w:vAlign w:val="center"/>
          </w:tcPr>
          <w:p w14:paraId="3D6BA6DB">
            <w:pPr>
              <w:jc w:val="center"/>
              <w:rPr>
                <w:color w:val="000000" w:themeColor="text1"/>
                <w:sz w:val="18"/>
                <w:szCs w:val="18"/>
                <w14:textFill>
                  <w14:solidFill>
                    <w14:schemeClr w14:val="tx1"/>
                  </w14:solidFill>
                </w14:textFill>
              </w:rPr>
            </w:pPr>
          </w:p>
        </w:tc>
      </w:tr>
      <w:tr w14:paraId="27235B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5ED511">
            <w:pPr>
              <w:rPr>
                <w:b/>
                <w:color w:val="000000" w:themeColor="text1"/>
                <w:sz w:val="18"/>
                <w:szCs w:val="18"/>
                <w14:textFill>
                  <w14:solidFill>
                    <w14:schemeClr w14:val="tx1"/>
                  </w14:solidFill>
                </w14:textFill>
              </w:rPr>
            </w:pPr>
          </w:p>
        </w:tc>
        <w:tc>
          <w:tcPr>
            <w:tcW w:w="1226" w:type="dxa"/>
            <w:vMerge w:val="continue"/>
          </w:tcPr>
          <w:p w14:paraId="3D55046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931A641">
            <w:pPr>
              <w:adjustRightInd w:val="0"/>
              <w:snapToGrid w:val="0"/>
              <w:rPr>
                <w:iCs/>
                <w:sz w:val="18"/>
                <w:szCs w:val="18"/>
              </w:rPr>
            </w:pPr>
            <w:r>
              <w:rPr>
                <w:rFonts w:hint="eastAsia"/>
                <w:iCs/>
                <w:sz w:val="18"/>
                <w:szCs w:val="18"/>
              </w:rPr>
              <w:t>竞争情报</w:t>
            </w:r>
          </w:p>
        </w:tc>
        <w:tc>
          <w:tcPr>
            <w:tcW w:w="1081" w:type="dxa"/>
            <w:vAlign w:val="center"/>
          </w:tcPr>
          <w:p w14:paraId="73B0619F">
            <w:pPr>
              <w:rPr>
                <w:rFonts w:hint="default"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202</w:t>
            </w:r>
          </w:p>
        </w:tc>
        <w:tc>
          <w:tcPr>
            <w:tcW w:w="709" w:type="dxa"/>
            <w:vAlign w:val="center"/>
          </w:tcPr>
          <w:p w14:paraId="00A74B6F">
            <w:pPr>
              <w:rPr>
                <w:iCs/>
                <w:sz w:val="18"/>
                <w:szCs w:val="18"/>
              </w:rPr>
            </w:pPr>
            <w:r>
              <w:rPr>
                <w:rFonts w:hint="eastAsia"/>
                <w:iCs/>
                <w:sz w:val="18"/>
                <w:szCs w:val="18"/>
              </w:rPr>
              <w:t>2</w:t>
            </w:r>
          </w:p>
        </w:tc>
        <w:tc>
          <w:tcPr>
            <w:tcW w:w="709" w:type="dxa"/>
            <w:vAlign w:val="center"/>
          </w:tcPr>
          <w:p w14:paraId="67F24A8C">
            <w:pPr>
              <w:jc w:val="center"/>
              <w:rPr>
                <w:iCs/>
                <w:sz w:val="18"/>
                <w:szCs w:val="18"/>
              </w:rPr>
            </w:pPr>
            <w:r>
              <w:rPr>
                <w:rFonts w:hint="eastAsia"/>
                <w:iCs/>
                <w:sz w:val="18"/>
                <w:szCs w:val="18"/>
              </w:rPr>
              <w:t>2</w:t>
            </w:r>
          </w:p>
        </w:tc>
        <w:tc>
          <w:tcPr>
            <w:tcW w:w="1045" w:type="dxa"/>
            <w:vMerge w:val="continue"/>
            <w:vAlign w:val="center"/>
          </w:tcPr>
          <w:p w14:paraId="3AA80AFB">
            <w:pPr>
              <w:jc w:val="center"/>
              <w:rPr>
                <w:color w:val="000000" w:themeColor="text1"/>
                <w:sz w:val="18"/>
                <w:szCs w:val="18"/>
                <w14:textFill>
                  <w14:solidFill>
                    <w14:schemeClr w14:val="tx1"/>
                  </w14:solidFill>
                </w14:textFill>
              </w:rPr>
            </w:pPr>
          </w:p>
        </w:tc>
      </w:tr>
      <w:tr w14:paraId="1695A5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B05561">
            <w:pPr>
              <w:rPr>
                <w:b/>
                <w:color w:val="000000" w:themeColor="text1"/>
                <w:sz w:val="18"/>
                <w:szCs w:val="18"/>
                <w14:textFill>
                  <w14:solidFill>
                    <w14:schemeClr w14:val="tx1"/>
                  </w14:solidFill>
                </w14:textFill>
              </w:rPr>
            </w:pPr>
          </w:p>
        </w:tc>
        <w:tc>
          <w:tcPr>
            <w:tcW w:w="1226" w:type="dxa"/>
            <w:vMerge w:val="continue"/>
          </w:tcPr>
          <w:p w14:paraId="58D76257">
            <w:pPr>
              <w:jc w:val="center"/>
              <w:rPr>
                <w:b/>
                <w:color w:val="000000" w:themeColor="text1"/>
                <w:sz w:val="18"/>
                <w:szCs w:val="18"/>
                <w14:textFill>
                  <w14:solidFill>
                    <w14:schemeClr w14:val="tx1"/>
                  </w14:solidFill>
                </w14:textFill>
              </w:rPr>
            </w:pPr>
          </w:p>
        </w:tc>
        <w:tc>
          <w:tcPr>
            <w:tcW w:w="3516" w:type="dxa"/>
            <w:vAlign w:val="center"/>
          </w:tcPr>
          <w:p w14:paraId="5EFF870E">
            <w:pPr>
              <w:adjustRightInd w:val="0"/>
              <w:snapToGrid w:val="0"/>
              <w:rPr>
                <w:i/>
                <w:color w:val="C00000"/>
                <w:sz w:val="18"/>
                <w:szCs w:val="18"/>
              </w:rPr>
            </w:pPr>
            <w:r>
              <w:rPr>
                <w:rFonts w:hint="eastAsia"/>
                <w:iCs/>
                <w:sz w:val="18"/>
                <w:szCs w:val="18"/>
              </w:rPr>
              <w:t>数字化转型与管理</w:t>
            </w:r>
          </w:p>
        </w:tc>
        <w:tc>
          <w:tcPr>
            <w:tcW w:w="1081" w:type="dxa"/>
            <w:vAlign w:val="center"/>
          </w:tcPr>
          <w:p w14:paraId="07BC8246">
            <w:pPr>
              <w:rPr>
                <w:iCs/>
                <w:sz w:val="18"/>
                <w:szCs w:val="18"/>
              </w:rPr>
            </w:pPr>
            <w:r>
              <w:rPr>
                <w:rFonts w:hint="eastAsia"/>
                <w:iCs/>
                <w:sz w:val="18"/>
                <w:szCs w:val="18"/>
              </w:rPr>
              <w:t>XS</w:t>
            </w:r>
            <w:r>
              <w:rPr>
                <w:iCs/>
                <w:sz w:val="18"/>
                <w:szCs w:val="18"/>
              </w:rPr>
              <w:t>04</w:t>
            </w:r>
            <w:r>
              <w:rPr>
                <w:rFonts w:hint="eastAsia"/>
                <w:iCs/>
                <w:sz w:val="18"/>
                <w:szCs w:val="18"/>
              </w:rPr>
              <w:t>22009</w:t>
            </w:r>
          </w:p>
        </w:tc>
        <w:tc>
          <w:tcPr>
            <w:tcW w:w="709" w:type="dxa"/>
            <w:vAlign w:val="center"/>
          </w:tcPr>
          <w:p w14:paraId="455943DE">
            <w:pPr>
              <w:rPr>
                <w:iCs/>
                <w:sz w:val="18"/>
                <w:szCs w:val="18"/>
              </w:rPr>
            </w:pPr>
            <w:r>
              <w:rPr>
                <w:rFonts w:hint="eastAsia"/>
                <w:iCs/>
                <w:sz w:val="18"/>
                <w:szCs w:val="18"/>
              </w:rPr>
              <w:t>2</w:t>
            </w:r>
          </w:p>
        </w:tc>
        <w:tc>
          <w:tcPr>
            <w:tcW w:w="709" w:type="dxa"/>
            <w:vAlign w:val="center"/>
          </w:tcPr>
          <w:p w14:paraId="74502E5C">
            <w:pPr>
              <w:jc w:val="center"/>
              <w:rPr>
                <w:iCs/>
                <w:sz w:val="18"/>
                <w:szCs w:val="18"/>
              </w:rPr>
            </w:pPr>
            <w:r>
              <w:rPr>
                <w:rFonts w:hint="eastAsia"/>
                <w:iCs/>
                <w:sz w:val="18"/>
                <w:szCs w:val="18"/>
              </w:rPr>
              <w:t>2</w:t>
            </w:r>
          </w:p>
        </w:tc>
        <w:tc>
          <w:tcPr>
            <w:tcW w:w="1045" w:type="dxa"/>
            <w:vMerge w:val="continue"/>
            <w:vAlign w:val="center"/>
          </w:tcPr>
          <w:p w14:paraId="66162961">
            <w:pPr>
              <w:jc w:val="center"/>
              <w:rPr>
                <w:color w:val="000000" w:themeColor="text1"/>
                <w:sz w:val="18"/>
                <w:szCs w:val="18"/>
                <w14:textFill>
                  <w14:solidFill>
                    <w14:schemeClr w14:val="tx1"/>
                  </w14:solidFill>
                </w14:textFill>
              </w:rPr>
            </w:pPr>
          </w:p>
        </w:tc>
      </w:tr>
      <w:tr w14:paraId="353094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5071C4EF">
            <w:pPr>
              <w:jc w:val="center"/>
              <w:rPr>
                <w:b/>
                <w:color w:val="000000" w:themeColor="text1"/>
                <w:sz w:val="18"/>
                <w:szCs w:val="18"/>
                <w14:textFill>
                  <w14:solidFill>
                    <w14:schemeClr w14:val="tx1"/>
                  </w14:solidFill>
                </w14:textFill>
              </w:rPr>
            </w:pPr>
          </w:p>
        </w:tc>
        <w:tc>
          <w:tcPr>
            <w:tcW w:w="1226" w:type="dxa"/>
            <w:vMerge w:val="restart"/>
            <w:vAlign w:val="center"/>
          </w:tcPr>
          <w:p w14:paraId="610D8F2C">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数据管理与治理</w:t>
            </w:r>
            <w:r>
              <w:rPr>
                <w:b/>
                <w:color w:val="000000" w:themeColor="text1"/>
                <w:sz w:val="18"/>
                <w:szCs w:val="18"/>
                <w14:textFill>
                  <w14:solidFill>
                    <w14:schemeClr w14:val="tx1"/>
                  </w14:solidFill>
                </w14:textFill>
              </w:rPr>
              <w:t>方向</w:t>
            </w:r>
          </w:p>
          <w:p w14:paraId="518A94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4C8A3FFC">
            <w:pPr>
              <w:rPr>
                <w:sz w:val="18"/>
                <w:szCs w:val="18"/>
              </w:rPr>
            </w:pPr>
            <w:r>
              <w:rPr>
                <w:rFonts w:hint="eastAsia"/>
                <w:iCs/>
                <w:sz w:val="18"/>
                <w:szCs w:val="18"/>
              </w:rPr>
              <w:t>特色课程：</w:t>
            </w:r>
            <w:r>
              <w:rPr>
                <w:rFonts w:hint="eastAsia"/>
                <w:sz w:val="18"/>
                <w:szCs w:val="18"/>
              </w:rPr>
              <w:t>人工智能治理与规制</w:t>
            </w:r>
          </w:p>
        </w:tc>
        <w:tc>
          <w:tcPr>
            <w:tcW w:w="1081" w:type="dxa"/>
            <w:vAlign w:val="center"/>
          </w:tcPr>
          <w:p w14:paraId="58B1BD73">
            <w:pPr>
              <w:rPr>
                <w:iCs/>
                <w:sz w:val="18"/>
                <w:szCs w:val="18"/>
              </w:rPr>
            </w:pPr>
            <w:r>
              <w:rPr>
                <w:rFonts w:hint="eastAsia"/>
                <w:iCs/>
                <w:sz w:val="18"/>
                <w:szCs w:val="18"/>
              </w:rPr>
              <w:t>XS</w:t>
            </w:r>
            <w:r>
              <w:rPr>
                <w:iCs/>
                <w:sz w:val="18"/>
                <w:szCs w:val="18"/>
              </w:rPr>
              <w:t>04</w:t>
            </w:r>
            <w:r>
              <w:rPr>
                <w:rFonts w:hint="eastAsia"/>
                <w:iCs/>
                <w:sz w:val="18"/>
                <w:szCs w:val="18"/>
              </w:rPr>
              <w:t>22006</w:t>
            </w:r>
          </w:p>
        </w:tc>
        <w:tc>
          <w:tcPr>
            <w:tcW w:w="709" w:type="dxa"/>
            <w:vAlign w:val="center"/>
          </w:tcPr>
          <w:p w14:paraId="510A499A">
            <w:pPr>
              <w:rPr>
                <w:iCs/>
                <w:sz w:val="18"/>
                <w:szCs w:val="18"/>
              </w:rPr>
            </w:pPr>
            <w:r>
              <w:rPr>
                <w:rFonts w:hint="eastAsia"/>
                <w:iCs/>
                <w:sz w:val="18"/>
                <w:szCs w:val="18"/>
              </w:rPr>
              <w:t>2</w:t>
            </w:r>
          </w:p>
        </w:tc>
        <w:tc>
          <w:tcPr>
            <w:tcW w:w="709" w:type="dxa"/>
            <w:vAlign w:val="center"/>
          </w:tcPr>
          <w:p w14:paraId="2D35815D">
            <w:pPr>
              <w:jc w:val="center"/>
              <w:rPr>
                <w:iCs/>
                <w:sz w:val="18"/>
                <w:szCs w:val="18"/>
              </w:rPr>
            </w:pPr>
            <w:r>
              <w:rPr>
                <w:rFonts w:hint="eastAsia"/>
                <w:iCs/>
                <w:sz w:val="18"/>
                <w:szCs w:val="18"/>
              </w:rPr>
              <w:t>2</w:t>
            </w:r>
          </w:p>
        </w:tc>
        <w:tc>
          <w:tcPr>
            <w:tcW w:w="1045" w:type="dxa"/>
            <w:vMerge w:val="restart"/>
            <w:vAlign w:val="center"/>
          </w:tcPr>
          <w:p w14:paraId="6ED96BAC">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4604CB7">
            <w:pPr>
              <w:jc w:val="center"/>
              <w:rPr>
                <w:i/>
                <w:color w:val="FF0000"/>
                <w:sz w:val="18"/>
                <w:szCs w:val="18"/>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1102E2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48272C1C">
            <w:pPr>
              <w:jc w:val="center"/>
              <w:rPr>
                <w:b/>
                <w:color w:val="000000" w:themeColor="text1"/>
                <w:sz w:val="18"/>
                <w:szCs w:val="18"/>
                <w14:textFill>
                  <w14:solidFill>
                    <w14:schemeClr w14:val="tx1"/>
                  </w14:solidFill>
                </w14:textFill>
              </w:rPr>
            </w:pPr>
          </w:p>
        </w:tc>
        <w:tc>
          <w:tcPr>
            <w:tcW w:w="1226" w:type="dxa"/>
            <w:vMerge w:val="continue"/>
            <w:vAlign w:val="center"/>
          </w:tcPr>
          <w:p w14:paraId="15255D7A">
            <w:pPr>
              <w:jc w:val="center"/>
              <w:rPr>
                <w:b/>
                <w:color w:val="000000" w:themeColor="text1"/>
                <w:sz w:val="18"/>
                <w:szCs w:val="18"/>
                <w14:textFill>
                  <w14:solidFill>
                    <w14:schemeClr w14:val="tx1"/>
                  </w14:solidFill>
                </w14:textFill>
              </w:rPr>
            </w:pPr>
          </w:p>
        </w:tc>
        <w:tc>
          <w:tcPr>
            <w:tcW w:w="3516" w:type="dxa"/>
            <w:vAlign w:val="center"/>
          </w:tcPr>
          <w:p w14:paraId="4CDE42E9">
            <w:pPr>
              <w:rPr>
                <w:sz w:val="18"/>
                <w:szCs w:val="18"/>
              </w:rPr>
            </w:pPr>
            <w:r>
              <w:rPr>
                <w:rFonts w:hint="eastAsia"/>
                <w:iCs/>
                <w:sz w:val="18"/>
                <w:szCs w:val="18"/>
              </w:rPr>
              <w:t>信息与社会研究</w:t>
            </w:r>
          </w:p>
        </w:tc>
        <w:tc>
          <w:tcPr>
            <w:tcW w:w="1081" w:type="dxa"/>
            <w:vAlign w:val="center"/>
          </w:tcPr>
          <w:p w14:paraId="2985E76F">
            <w:pPr>
              <w:rPr>
                <w:iCs/>
                <w:sz w:val="18"/>
                <w:szCs w:val="18"/>
              </w:rPr>
            </w:pPr>
            <w:r>
              <w:rPr>
                <w:rFonts w:hint="eastAsia"/>
                <w:iCs/>
                <w:sz w:val="18"/>
                <w:szCs w:val="18"/>
              </w:rPr>
              <w:t>XS</w:t>
            </w:r>
            <w:r>
              <w:rPr>
                <w:iCs/>
                <w:sz w:val="18"/>
                <w:szCs w:val="18"/>
              </w:rPr>
              <w:t>04</w:t>
            </w:r>
            <w:r>
              <w:rPr>
                <w:rFonts w:hint="eastAsia"/>
                <w:iCs/>
                <w:sz w:val="18"/>
                <w:szCs w:val="18"/>
              </w:rPr>
              <w:t>22004</w:t>
            </w:r>
          </w:p>
        </w:tc>
        <w:tc>
          <w:tcPr>
            <w:tcW w:w="709" w:type="dxa"/>
            <w:vAlign w:val="center"/>
          </w:tcPr>
          <w:p w14:paraId="77E9A232">
            <w:pPr>
              <w:rPr>
                <w:iCs/>
                <w:sz w:val="18"/>
                <w:szCs w:val="18"/>
              </w:rPr>
            </w:pPr>
            <w:r>
              <w:rPr>
                <w:rFonts w:hint="eastAsia"/>
                <w:iCs/>
                <w:sz w:val="18"/>
                <w:szCs w:val="18"/>
              </w:rPr>
              <w:t>2</w:t>
            </w:r>
          </w:p>
        </w:tc>
        <w:tc>
          <w:tcPr>
            <w:tcW w:w="709" w:type="dxa"/>
            <w:vAlign w:val="center"/>
          </w:tcPr>
          <w:p w14:paraId="10DD1DB1">
            <w:pPr>
              <w:jc w:val="center"/>
              <w:rPr>
                <w:iCs/>
                <w:sz w:val="18"/>
                <w:szCs w:val="18"/>
              </w:rPr>
            </w:pPr>
            <w:r>
              <w:rPr>
                <w:rFonts w:hint="eastAsia"/>
                <w:iCs/>
                <w:sz w:val="18"/>
                <w:szCs w:val="18"/>
              </w:rPr>
              <w:t>2</w:t>
            </w:r>
          </w:p>
        </w:tc>
        <w:tc>
          <w:tcPr>
            <w:tcW w:w="1045" w:type="dxa"/>
            <w:vMerge w:val="continue"/>
            <w:vAlign w:val="center"/>
          </w:tcPr>
          <w:p w14:paraId="350C821F">
            <w:pPr>
              <w:jc w:val="center"/>
              <w:rPr>
                <w:i/>
                <w:color w:val="FF0000"/>
                <w:sz w:val="18"/>
                <w:szCs w:val="18"/>
              </w:rPr>
            </w:pPr>
          </w:p>
        </w:tc>
      </w:tr>
      <w:tr w14:paraId="40778F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5C41E2C2">
            <w:pPr>
              <w:jc w:val="center"/>
              <w:rPr>
                <w:b/>
                <w:color w:val="000000" w:themeColor="text1"/>
                <w:sz w:val="18"/>
                <w:szCs w:val="18"/>
                <w14:textFill>
                  <w14:solidFill>
                    <w14:schemeClr w14:val="tx1"/>
                  </w14:solidFill>
                </w14:textFill>
              </w:rPr>
            </w:pPr>
          </w:p>
        </w:tc>
        <w:tc>
          <w:tcPr>
            <w:tcW w:w="1226" w:type="dxa"/>
            <w:vMerge w:val="continue"/>
            <w:vAlign w:val="center"/>
          </w:tcPr>
          <w:p w14:paraId="5946CD15">
            <w:pPr>
              <w:jc w:val="center"/>
              <w:rPr>
                <w:b/>
                <w:color w:val="000000" w:themeColor="text1"/>
                <w:sz w:val="18"/>
                <w:szCs w:val="18"/>
                <w14:textFill>
                  <w14:solidFill>
                    <w14:schemeClr w14:val="tx1"/>
                  </w14:solidFill>
                </w14:textFill>
              </w:rPr>
            </w:pPr>
          </w:p>
        </w:tc>
        <w:tc>
          <w:tcPr>
            <w:tcW w:w="3516" w:type="dxa"/>
            <w:vAlign w:val="center"/>
          </w:tcPr>
          <w:p w14:paraId="1AA18F99">
            <w:pPr>
              <w:rPr>
                <w:sz w:val="18"/>
                <w:szCs w:val="18"/>
              </w:rPr>
            </w:pPr>
            <w:r>
              <w:rPr>
                <w:rFonts w:hint="eastAsia"/>
                <w:iCs/>
                <w:sz w:val="18"/>
                <w:szCs w:val="18"/>
              </w:rPr>
              <w:t>信息用户与信息服务</w:t>
            </w:r>
          </w:p>
        </w:tc>
        <w:tc>
          <w:tcPr>
            <w:tcW w:w="1081" w:type="dxa"/>
            <w:vAlign w:val="center"/>
          </w:tcPr>
          <w:p w14:paraId="65D87FDD">
            <w:pPr>
              <w:rPr>
                <w:iCs/>
                <w:sz w:val="18"/>
                <w:szCs w:val="18"/>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w:t>
            </w:r>
            <w:r>
              <w:rPr>
                <w:rFonts w:hint="eastAsia"/>
                <w:iCs/>
                <w:sz w:val="18"/>
                <w:szCs w:val="18"/>
              </w:rPr>
              <w:t>05</w:t>
            </w:r>
          </w:p>
        </w:tc>
        <w:tc>
          <w:tcPr>
            <w:tcW w:w="709" w:type="dxa"/>
            <w:vAlign w:val="center"/>
          </w:tcPr>
          <w:p w14:paraId="0230263F">
            <w:pPr>
              <w:rPr>
                <w:iCs/>
                <w:sz w:val="18"/>
                <w:szCs w:val="18"/>
              </w:rPr>
            </w:pPr>
            <w:r>
              <w:rPr>
                <w:rFonts w:hint="eastAsia"/>
                <w:iCs/>
                <w:sz w:val="18"/>
                <w:szCs w:val="18"/>
              </w:rPr>
              <w:t>2</w:t>
            </w:r>
          </w:p>
        </w:tc>
        <w:tc>
          <w:tcPr>
            <w:tcW w:w="709" w:type="dxa"/>
            <w:vAlign w:val="center"/>
          </w:tcPr>
          <w:p w14:paraId="31DA3C75">
            <w:pPr>
              <w:jc w:val="center"/>
              <w:rPr>
                <w:iCs/>
                <w:sz w:val="18"/>
                <w:szCs w:val="18"/>
              </w:rPr>
            </w:pPr>
            <w:r>
              <w:rPr>
                <w:rFonts w:hint="eastAsia"/>
                <w:iCs/>
                <w:sz w:val="18"/>
                <w:szCs w:val="18"/>
              </w:rPr>
              <w:t>1</w:t>
            </w:r>
          </w:p>
        </w:tc>
        <w:tc>
          <w:tcPr>
            <w:tcW w:w="1045" w:type="dxa"/>
            <w:vMerge w:val="continue"/>
            <w:vAlign w:val="center"/>
          </w:tcPr>
          <w:p w14:paraId="39C37E46">
            <w:pPr>
              <w:jc w:val="center"/>
              <w:rPr>
                <w:i/>
                <w:color w:val="FF0000"/>
                <w:sz w:val="18"/>
                <w:szCs w:val="18"/>
              </w:rPr>
            </w:pPr>
          </w:p>
        </w:tc>
      </w:tr>
      <w:tr w14:paraId="04CE0E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15FF5A64">
            <w:pPr>
              <w:jc w:val="center"/>
              <w:rPr>
                <w:b/>
                <w:color w:val="000000" w:themeColor="text1"/>
                <w:sz w:val="18"/>
                <w:szCs w:val="18"/>
                <w14:textFill>
                  <w14:solidFill>
                    <w14:schemeClr w14:val="tx1"/>
                  </w14:solidFill>
                </w14:textFill>
              </w:rPr>
            </w:pPr>
          </w:p>
        </w:tc>
        <w:tc>
          <w:tcPr>
            <w:tcW w:w="1226" w:type="dxa"/>
            <w:vMerge w:val="continue"/>
            <w:vAlign w:val="center"/>
          </w:tcPr>
          <w:p w14:paraId="398A0D6B">
            <w:pPr>
              <w:jc w:val="center"/>
              <w:rPr>
                <w:b/>
                <w:color w:val="000000" w:themeColor="text1"/>
                <w:sz w:val="18"/>
                <w:szCs w:val="18"/>
                <w14:textFill>
                  <w14:solidFill>
                    <w14:schemeClr w14:val="tx1"/>
                  </w14:solidFill>
                </w14:textFill>
              </w:rPr>
            </w:pPr>
          </w:p>
        </w:tc>
        <w:tc>
          <w:tcPr>
            <w:tcW w:w="3516" w:type="dxa"/>
            <w:vAlign w:val="center"/>
          </w:tcPr>
          <w:p w14:paraId="4EDD9BCD">
            <w:pPr>
              <w:rPr>
                <w:sz w:val="18"/>
                <w:szCs w:val="18"/>
              </w:rPr>
            </w:pPr>
            <w:r>
              <w:rPr>
                <w:rFonts w:hint="eastAsia"/>
                <w:iCs/>
                <w:sz w:val="18"/>
                <w:szCs w:val="18"/>
              </w:rPr>
              <w:t>竞争情报</w:t>
            </w:r>
          </w:p>
        </w:tc>
        <w:tc>
          <w:tcPr>
            <w:tcW w:w="1081" w:type="dxa"/>
            <w:vAlign w:val="center"/>
          </w:tcPr>
          <w:p w14:paraId="4B6EBC98">
            <w:pPr>
              <w:rPr>
                <w:rFonts w:hint="default" w:eastAsia="宋体"/>
                <w:iCs/>
                <w:sz w:val="18"/>
                <w:szCs w:val="18"/>
                <w:lang w:val="en-US" w:eastAsia="zh-CN"/>
              </w:rPr>
            </w:pPr>
            <w:r>
              <w:rPr>
                <w:rFonts w:hint="eastAsia"/>
                <w:iCs/>
                <w:sz w:val="18"/>
                <w:szCs w:val="18"/>
              </w:rPr>
              <w:t>XS</w:t>
            </w:r>
            <w:r>
              <w:rPr>
                <w:iCs/>
                <w:sz w:val="18"/>
                <w:szCs w:val="18"/>
              </w:rPr>
              <w:t>04</w:t>
            </w:r>
            <w:r>
              <w:rPr>
                <w:rFonts w:hint="eastAsia"/>
                <w:iCs/>
                <w:sz w:val="18"/>
                <w:szCs w:val="18"/>
              </w:rPr>
              <w:t>22</w:t>
            </w:r>
            <w:r>
              <w:rPr>
                <w:rFonts w:hint="eastAsia"/>
                <w:iCs/>
                <w:sz w:val="18"/>
                <w:szCs w:val="18"/>
                <w:lang w:val="en-US" w:eastAsia="zh-CN"/>
              </w:rPr>
              <w:t>202</w:t>
            </w:r>
            <w:bookmarkStart w:id="1" w:name="_GoBack"/>
            <w:bookmarkEnd w:id="1"/>
          </w:p>
        </w:tc>
        <w:tc>
          <w:tcPr>
            <w:tcW w:w="709" w:type="dxa"/>
            <w:vAlign w:val="center"/>
          </w:tcPr>
          <w:p w14:paraId="5CA58CD2">
            <w:pPr>
              <w:rPr>
                <w:iCs/>
                <w:sz w:val="18"/>
                <w:szCs w:val="18"/>
              </w:rPr>
            </w:pPr>
            <w:r>
              <w:rPr>
                <w:rFonts w:hint="eastAsia"/>
                <w:iCs/>
                <w:sz w:val="18"/>
                <w:szCs w:val="18"/>
              </w:rPr>
              <w:t>2</w:t>
            </w:r>
          </w:p>
        </w:tc>
        <w:tc>
          <w:tcPr>
            <w:tcW w:w="709" w:type="dxa"/>
            <w:vAlign w:val="center"/>
          </w:tcPr>
          <w:p w14:paraId="2F7C01FC">
            <w:pPr>
              <w:jc w:val="center"/>
              <w:rPr>
                <w:iCs/>
                <w:sz w:val="18"/>
                <w:szCs w:val="18"/>
              </w:rPr>
            </w:pPr>
            <w:r>
              <w:rPr>
                <w:rFonts w:hint="eastAsia"/>
                <w:iCs/>
                <w:sz w:val="18"/>
                <w:szCs w:val="18"/>
              </w:rPr>
              <w:t>2</w:t>
            </w:r>
          </w:p>
        </w:tc>
        <w:tc>
          <w:tcPr>
            <w:tcW w:w="1045" w:type="dxa"/>
            <w:vMerge w:val="continue"/>
            <w:vAlign w:val="center"/>
          </w:tcPr>
          <w:p w14:paraId="1BE3D18E">
            <w:pPr>
              <w:jc w:val="center"/>
              <w:rPr>
                <w:i/>
                <w:color w:val="FF0000"/>
                <w:sz w:val="18"/>
                <w:szCs w:val="18"/>
              </w:rPr>
            </w:pPr>
          </w:p>
        </w:tc>
      </w:tr>
      <w:tr w14:paraId="606C98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3A2931AF">
            <w:pPr>
              <w:jc w:val="center"/>
              <w:rPr>
                <w:b/>
                <w:color w:val="000000" w:themeColor="text1"/>
                <w:sz w:val="18"/>
                <w:szCs w:val="18"/>
                <w14:textFill>
                  <w14:solidFill>
                    <w14:schemeClr w14:val="tx1"/>
                  </w14:solidFill>
                </w14:textFill>
              </w:rPr>
            </w:pPr>
          </w:p>
        </w:tc>
        <w:tc>
          <w:tcPr>
            <w:tcW w:w="1226" w:type="dxa"/>
            <w:vMerge w:val="continue"/>
            <w:vAlign w:val="center"/>
          </w:tcPr>
          <w:p w14:paraId="681DDCD1">
            <w:pPr>
              <w:jc w:val="center"/>
              <w:rPr>
                <w:b/>
                <w:color w:val="000000" w:themeColor="text1"/>
                <w:sz w:val="18"/>
                <w:szCs w:val="18"/>
                <w14:textFill>
                  <w14:solidFill>
                    <w14:schemeClr w14:val="tx1"/>
                  </w14:solidFill>
                </w14:textFill>
              </w:rPr>
            </w:pPr>
          </w:p>
        </w:tc>
        <w:tc>
          <w:tcPr>
            <w:tcW w:w="3516" w:type="dxa"/>
            <w:vAlign w:val="center"/>
          </w:tcPr>
          <w:p w14:paraId="482DDAFC">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大数据管理导论</w:t>
            </w:r>
          </w:p>
        </w:tc>
        <w:tc>
          <w:tcPr>
            <w:tcW w:w="1081" w:type="dxa"/>
            <w:vAlign w:val="center"/>
          </w:tcPr>
          <w:p w14:paraId="44C8D07F">
            <w:pPr>
              <w:rPr>
                <w:rFonts w:hint="eastAsia"/>
                <w:iCs/>
                <w:sz w:val="18"/>
                <w:szCs w:val="18"/>
              </w:rPr>
            </w:pPr>
            <w:r>
              <w:rPr>
                <w:rFonts w:hint="eastAsia"/>
                <w:iCs/>
                <w:sz w:val="18"/>
                <w:szCs w:val="18"/>
              </w:rPr>
              <w:t>XS</w:t>
            </w:r>
            <w:r>
              <w:rPr>
                <w:iCs/>
                <w:sz w:val="18"/>
                <w:szCs w:val="18"/>
              </w:rPr>
              <w:t>04</w:t>
            </w:r>
            <w:r>
              <w:rPr>
                <w:rFonts w:hint="eastAsia"/>
                <w:iCs/>
                <w:sz w:val="18"/>
                <w:szCs w:val="18"/>
              </w:rPr>
              <w:t>22010</w:t>
            </w:r>
          </w:p>
        </w:tc>
        <w:tc>
          <w:tcPr>
            <w:tcW w:w="709" w:type="dxa"/>
            <w:vAlign w:val="center"/>
          </w:tcPr>
          <w:p w14:paraId="5643E07D">
            <w:pPr>
              <w:rPr>
                <w:iCs/>
                <w:sz w:val="18"/>
                <w:szCs w:val="18"/>
              </w:rPr>
            </w:pPr>
            <w:r>
              <w:rPr>
                <w:rFonts w:hint="eastAsia"/>
                <w:iCs/>
                <w:sz w:val="18"/>
                <w:szCs w:val="18"/>
              </w:rPr>
              <w:t>2</w:t>
            </w:r>
          </w:p>
        </w:tc>
        <w:tc>
          <w:tcPr>
            <w:tcW w:w="709" w:type="dxa"/>
            <w:vAlign w:val="center"/>
          </w:tcPr>
          <w:p w14:paraId="5E22624B">
            <w:pPr>
              <w:jc w:val="center"/>
              <w:rPr>
                <w:iCs/>
                <w:sz w:val="18"/>
                <w:szCs w:val="18"/>
              </w:rPr>
            </w:pPr>
            <w:r>
              <w:rPr>
                <w:rFonts w:hint="eastAsia"/>
                <w:iCs/>
                <w:sz w:val="18"/>
                <w:szCs w:val="18"/>
              </w:rPr>
              <w:t>2</w:t>
            </w:r>
          </w:p>
        </w:tc>
        <w:tc>
          <w:tcPr>
            <w:tcW w:w="1045" w:type="dxa"/>
            <w:vMerge w:val="continue"/>
            <w:vAlign w:val="center"/>
          </w:tcPr>
          <w:p w14:paraId="7DC1EF72">
            <w:pPr>
              <w:jc w:val="center"/>
              <w:rPr>
                <w:i/>
                <w:color w:val="FF0000"/>
                <w:sz w:val="18"/>
                <w:szCs w:val="18"/>
              </w:rPr>
            </w:pPr>
          </w:p>
        </w:tc>
      </w:tr>
      <w:tr w14:paraId="44AC67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B181A8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2FAB12E">
            <w:pPr>
              <w:jc w:val="center"/>
              <w:rPr>
                <w:b/>
                <w:color w:val="000000" w:themeColor="text1"/>
                <w:sz w:val="18"/>
                <w:szCs w:val="18"/>
                <w14:textFill>
                  <w14:solidFill>
                    <w14:schemeClr w14:val="tx1"/>
                  </w14:solidFill>
                </w14:textFill>
              </w:rPr>
            </w:pPr>
          </w:p>
        </w:tc>
        <w:tc>
          <w:tcPr>
            <w:tcW w:w="1226" w:type="dxa"/>
            <w:vMerge w:val="restart"/>
            <w:vAlign w:val="center"/>
          </w:tcPr>
          <w:p w14:paraId="5754E8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34BFCC7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761F007E">
            <w:pPr>
              <w:jc w:val="center"/>
              <w:rPr>
                <w:color w:val="000000" w:themeColor="text1"/>
                <w:sz w:val="18"/>
                <w:szCs w:val="18"/>
                <w14:textFill>
                  <w14:solidFill>
                    <w14:schemeClr w14:val="tx1"/>
                  </w14:solidFill>
                </w14:textFill>
              </w:rPr>
            </w:pPr>
          </w:p>
        </w:tc>
        <w:tc>
          <w:tcPr>
            <w:tcW w:w="709" w:type="dxa"/>
            <w:vAlign w:val="center"/>
          </w:tcPr>
          <w:p w14:paraId="2AC28DD1">
            <w:pPr>
              <w:jc w:val="center"/>
              <w:rPr>
                <w:color w:val="000000" w:themeColor="text1"/>
                <w:sz w:val="18"/>
                <w:szCs w:val="18"/>
                <w14:textFill>
                  <w14:solidFill>
                    <w14:schemeClr w14:val="tx1"/>
                  </w14:solidFill>
                </w14:textFill>
              </w:rPr>
            </w:pPr>
          </w:p>
        </w:tc>
        <w:tc>
          <w:tcPr>
            <w:tcW w:w="709" w:type="dxa"/>
            <w:vAlign w:val="center"/>
          </w:tcPr>
          <w:p w14:paraId="32D4701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5D12C60">
            <w:pPr>
              <w:rPr>
                <w:sz w:val="18"/>
                <w:szCs w:val="18"/>
              </w:rPr>
            </w:pPr>
            <w:r>
              <w:rPr>
                <w:rFonts w:hint="eastAsia"/>
                <w:sz w:val="18"/>
                <w:szCs w:val="18"/>
              </w:rPr>
              <w:t>具体见十三“其他需要说明事项”</w:t>
            </w:r>
          </w:p>
        </w:tc>
      </w:tr>
      <w:tr w14:paraId="0AAD3F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2C052DF0">
            <w:pPr>
              <w:jc w:val="center"/>
              <w:rPr>
                <w:b/>
                <w:color w:val="000000" w:themeColor="text1"/>
                <w:sz w:val="18"/>
                <w:szCs w:val="18"/>
                <w14:textFill>
                  <w14:solidFill>
                    <w14:schemeClr w14:val="tx1"/>
                  </w14:solidFill>
                </w14:textFill>
              </w:rPr>
            </w:pPr>
          </w:p>
        </w:tc>
        <w:tc>
          <w:tcPr>
            <w:tcW w:w="1226" w:type="dxa"/>
            <w:vMerge w:val="continue"/>
            <w:vAlign w:val="center"/>
          </w:tcPr>
          <w:p w14:paraId="530A69AB">
            <w:pPr>
              <w:jc w:val="center"/>
              <w:rPr>
                <w:b/>
                <w:color w:val="000000" w:themeColor="text1"/>
                <w:sz w:val="18"/>
                <w:szCs w:val="18"/>
                <w14:textFill>
                  <w14:solidFill>
                    <w14:schemeClr w14:val="tx1"/>
                  </w14:solidFill>
                </w14:textFill>
              </w:rPr>
            </w:pPr>
          </w:p>
        </w:tc>
        <w:tc>
          <w:tcPr>
            <w:tcW w:w="3516" w:type="dxa"/>
            <w:vAlign w:val="center"/>
          </w:tcPr>
          <w:p w14:paraId="65A0FF1A">
            <w:pPr>
              <w:rPr>
                <w:sz w:val="18"/>
                <w:szCs w:val="18"/>
              </w:rPr>
            </w:pPr>
            <w:r>
              <w:rPr>
                <w:sz w:val="18"/>
                <w:szCs w:val="18"/>
              </w:rPr>
              <w:t>学术活动</w:t>
            </w:r>
          </w:p>
        </w:tc>
        <w:tc>
          <w:tcPr>
            <w:tcW w:w="1081" w:type="dxa"/>
            <w:vAlign w:val="center"/>
          </w:tcPr>
          <w:p w14:paraId="5BA32320">
            <w:pPr>
              <w:jc w:val="center"/>
              <w:rPr>
                <w:color w:val="000000" w:themeColor="text1"/>
                <w:sz w:val="18"/>
                <w:szCs w:val="18"/>
                <w14:textFill>
                  <w14:solidFill>
                    <w14:schemeClr w14:val="tx1"/>
                  </w14:solidFill>
                </w14:textFill>
              </w:rPr>
            </w:pPr>
          </w:p>
        </w:tc>
        <w:tc>
          <w:tcPr>
            <w:tcW w:w="709" w:type="dxa"/>
            <w:vAlign w:val="center"/>
          </w:tcPr>
          <w:p w14:paraId="35D33C8D">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51909AE2">
            <w:pPr>
              <w:jc w:val="center"/>
              <w:rPr>
                <w:color w:val="000000" w:themeColor="text1"/>
                <w:sz w:val="18"/>
                <w:szCs w:val="18"/>
                <w14:textFill>
                  <w14:solidFill>
                    <w14:schemeClr w14:val="tx1"/>
                  </w14:solidFill>
                </w14:textFill>
              </w:rPr>
            </w:pPr>
          </w:p>
        </w:tc>
        <w:tc>
          <w:tcPr>
            <w:tcW w:w="1045" w:type="dxa"/>
            <w:vMerge w:val="continue"/>
            <w:vAlign w:val="center"/>
          </w:tcPr>
          <w:p w14:paraId="2F0802E0">
            <w:pPr>
              <w:rPr>
                <w:sz w:val="18"/>
                <w:szCs w:val="18"/>
              </w:rPr>
            </w:pPr>
          </w:p>
        </w:tc>
      </w:tr>
      <w:tr w14:paraId="7739B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0EA1C87">
            <w:pPr>
              <w:jc w:val="center"/>
              <w:rPr>
                <w:b/>
                <w:color w:val="000000" w:themeColor="text1"/>
                <w:sz w:val="18"/>
                <w:szCs w:val="18"/>
                <w14:textFill>
                  <w14:solidFill>
                    <w14:schemeClr w14:val="tx1"/>
                  </w14:solidFill>
                </w14:textFill>
              </w:rPr>
            </w:pPr>
          </w:p>
        </w:tc>
        <w:tc>
          <w:tcPr>
            <w:tcW w:w="1226" w:type="dxa"/>
            <w:vMerge w:val="continue"/>
            <w:vAlign w:val="center"/>
          </w:tcPr>
          <w:p w14:paraId="26614271">
            <w:pPr>
              <w:jc w:val="center"/>
              <w:rPr>
                <w:b/>
                <w:color w:val="000000" w:themeColor="text1"/>
                <w:sz w:val="18"/>
                <w:szCs w:val="18"/>
                <w14:textFill>
                  <w14:solidFill>
                    <w14:schemeClr w14:val="tx1"/>
                  </w14:solidFill>
                </w14:textFill>
              </w:rPr>
            </w:pPr>
          </w:p>
        </w:tc>
        <w:tc>
          <w:tcPr>
            <w:tcW w:w="3516" w:type="dxa"/>
            <w:vAlign w:val="center"/>
          </w:tcPr>
          <w:p w14:paraId="1F0206C5">
            <w:pPr>
              <w:rPr>
                <w:color w:val="000000" w:themeColor="text1"/>
                <w:sz w:val="18"/>
                <w:szCs w:val="18"/>
                <w14:textFill>
                  <w14:solidFill>
                    <w14:schemeClr w14:val="tx1"/>
                  </w14:solidFill>
                </w14:textFill>
              </w:rPr>
            </w:pPr>
            <w:r>
              <w:rPr>
                <w:rFonts w:hint="eastAsia"/>
                <w:sz w:val="18"/>
                <w:szCs w:val="18"/>
              </w:rPr>
              <w:t>竞赛活动</w:t>
            </w:r>
          </w:p>
        </w:tc>
        <w:tc>
          <w:tcPr>
            <w:tcW w:w="1081" w:type="dxa"/>
            <w:vAlign w:val="center"/>
          </w:tcPr>
          <w:p w14:paraId="4A9E73FA">
            <w:pPr>
              <w:jc w:val="center"/>
              <w:rPr>
                <w:color w:val="000000" w:themeColor="text1"/>
                <w:sz w:val="18"/>
                <w:szCs w:val="18"/>
                <w14:textFill>
                  <w14:solidFill>
                    <w14:schemeClr w14:val="tx1"/>
                  </w14:solidFill>
                </w14:textFill>
              </w:rPr>
            </w:pPr>
          </w:p>
        </w:tc>
        <w:tc>
          <w:tcPr>
            <w:tcW w:w="709" w:type="dxa"/>
            <w:vAlign w:val="center"/>
          </w:tcPr>
          <w:p w14:paraId="20B39A2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9222A07">
            <w:pPr>
              <w:jc w:val="center"/>
              <w:rPr>
                <w:color w:val="000000" w:themeColor="text1"/>
                <w:sz w:val="18"/>
                <w:szCs w:val="18"/>
                <w14:textFill>
                  <w14:solidFill>
                    <w14:schemeClr w14:val="tx1"/>
                  </w14:solidFill>
                </w14:textFill>
              </w:rPr>
            </w:pPr>
          </w:p>
        </w:tc>
        <w:tc>
          <w:tcPr>
            <w:tcW w:w="1045" w:type="dxa"/>
            <w:vMerge w:val="continue"/>
            <w:vAlign w:val="center"/>
          </w:tcPr>
          <w:p w14:paraId="74149CEA">
            <w:pPr>
              <w:rPr>
                <w:sz w:val="18"/>
                <w:szCs w:val="18"/>
              </w:rPr>
            </w:pPr>
          </w:p>
        </w:tc>
      </w:tr>
      <w:tr w14:paraId="29AA65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76BB31">
            <w:pPr>
              <w:rPr>
                <w:b/>
                <w:color w:val="000000" w:themeColor="text1"/>
                <w:sz w:val="18"/>
                <w:szCs w:val="18"/>
                <w14:textFill>
                  <w14:solidFill>
                    <w14:schemeClr w14:val="tx1"/>
                  </w14:solidFill>
                </w14:textFill>
              </w:rPr>
            </w:pPr>
          </w:p>
        </w:tc>
        <w:tc>
          <w:tcPr>
            <w:tcW w:w="1226" w:type="dxa"/>
            <w:vMerge w:val="restart"/>
            <w:vAlign w:val="center"/>
          </w:tcPr>
          <w:p w14:paraId="2456E88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40C2B5C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5B62BBBE">
            <w:pPr>
              <w:jc w:val="center"/>
              <w:rPr>
                <w:color w:val="000000" w:themeColor="text1"/>
                <w:sz w:val="18"/>
                <w:szCs w:val="18"/>
                <w14:textFill>
                  <w14:solidFill>
                    <w14:schemeClr w14:val="tx1"/>
                  </w14:solidFill>
                </w14:textFill>
              </w:rPr>
            </w:pPr>
          </w:p>
        </w:tc>
        <w:tc>
          <w:tcPr>
            <w:tcW w:w="709" w:type="dxa"/>
            <w:vAlign w:val="center"/>
          </w:tcPr>
          <w:p w14:paraId="16FE608D">
            <w:pPr>
              <w:jc w:val="center"/>
              <w:rPr>
                <w:color w:val="000000" w:themeColor="text1"/>
                <w:sz w:val="18"/>
                <w:szCs w:val="18"/>
                <w14:textFill>
                  <w14:solidFill>
                    <w14:schemeClr w14:val="tx1"/>
                  </w14:solidFill>
                </w14:textFill>
              </w:rPr>
            </w:pPr>
          </w:p>
        </w:tc>
        <w:tc>
          <w:tcPr>
            <w:tcW w:w="709" w:type="dxa"/>
            <w:vAlign w:val="center"/>
          </w:tcPr>
          <w:p w14:paraId="39DEB8E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1045" w:type="dxa"/>
            <w:vMerge w:val="restart"/>
            <w:vAlign w:val="center"/>
          </w:tcPr>
          <w:p w14:paraId="490899E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9D401E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05473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505834">
            <w:pPr>
              <w:rPr>
                <w:b/>
                <w:color w:val="000000" w:themeColor="text1"/>
                <w:sz w:val="18"/>
                <w:szCs w:val="18"/>
                <w14:textFill>
                  <w14:solidFill>
                    <w14:schemeClr w14:val="tx1"/>
                  </w14:solidFill>
                </w14:textFill>
              </w:rPr>
            </w:pPr>
          </w:p>
        </w:tc>
        <w:tc>
          <w:tcPr>
            <w:tcW w:w="1226" w:type="dxa"/>
            <w:vMerge w:val="continue"/>
            <w:vAlign w:val="center"/>
          </w:tcPr>
          <w:p w14:paraId="4D4BA05A">
            <w:pPr>
              <w:jc w:val="center"/>
              <w:rPr>
                <w:b/>
                <w:color w:val="000000" w:themeColor="text1"/>
                <w:sz w:val="18"/>
                <w:szCs w:val="18"/>
                <w14:textFill>
                  <w14:solidFill>
                    <w14:schemeClr w14:val="tx1"/>
                  </w14:solidFill>
                </w14:textFill>
              </w:rPr>
            </w:pPr>
          </w:p>
        </w:tc>
        <w:tc>
          <w:tcPr>
            <w:tcW w:w="3516" w:type="dxa"/>
            <w:vAlign w:val="center"/>
          </w:tcPr>
          <w:p w14:paraId="02E9B3F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03D6EE64">
            <w:pPr>
              <w:jc w:val="center"/>
              <w:rPr>
                <w:color w:val="000000" w:themeColor="text1"/>
                <w:sz w:val="18"/>
                <w:szCs w:val="18"/>
                <w14:textFill>
                  <w14:solidFill>
                    <w14:schemeClr w14:val="tx1"/>
                  </w14:solidFill>
                </w14:textFill>
              </w:rPr>
            </w:pPr>
          </w:p>
        </w:tc>
        <w:tc>
          <w:tcPr>
            <w:tcW w:w="709" w:type="dxa"/>
            <w:vAlign w:val="center"/>
          </w:tcPr>
          <w:p w14:paraId="30D11371">
            <w:pPr>
              <w:jc w:val="center"/>
              <w:rPr>
                <w:color w:val="000000" w:themeColor="text1"/>
                <w:sz w:val="18"/>
                <w:szCs w:val="18"/>
                <w14:textFill>
                  <w14:solidFill>
                    <w14:schemeClr w14:val="tx1"/>
                  </w14:solidFill>
                </w14:textFill>
              </w:rPr>
            </w:pPr>
          </w:p>
        </w:tc>
        <w:tc>
          <w:tcPr>
            <w:tcW w:w="709" w:type="dxa"/>
            <w:vAlign w:val="center"/>
          </w:tcPr>
          <w:p w14:paraId="3AC6B2D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1045" w:type="dxa"/>
            <w:vMerge w:val="continue"/>
            <w:vAlign w:val="center"/>
          </w:tcPr>
          <w:p w14:paraId="17F0CD08">
            <w:pPr>
              <w:jc w:val="center"/>
              <w:rPr>
                <w:color w:val="000000" w:themeColor="text1"/>
                <w:sz w:val="18"/>
                <w:szCs w:val="18"/>
                <w14:textFill>
                  <w14:solidFill>
                    <w14:schemeClr w14:val="tx1"/>
                  </w14:solidFill>
                </w14:textFill>
              </w:rPr>
            </w:pPr>
          </w:p>
        </w:tc>
      </w:tr>
      <w:tr w14:paraId="5C7FFB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ED2A47">
            <w:pPr>
              <w:rPr>
                <w:b/>
                <w:color w:val="000000" w:themeColor="text1"/>
                <w:sz w:val="18"/>
                <w:szCs w:val="18"/>
                <w14:textFill>
                  <w14:solidFill>
                    <w14:schemeClr w14:val="tx1"/>
                  </w14:solidFill>
                </w14:textFill>
              </w:rPr>
            </w:pPr>
          </w:p>
        </w:tc>
        <w:tc>
          <w:tcPr>
            <w:tcW w:w="1226" w:type="dxa"/>
            <w:vMerge w:val="continue"/>
            <w:vAlign w:val="center"/>
          </w:tcPr>
          <w:p w14:paraId="3A1199C2">
            <w:pPr>
              <w:jc w:val="center"/>
              <w:rPr>
                <w:b/>
                <w:color w:val="000000" w:themeColor="text1"/>
                <w:sz w:val="18"/>
                <w:szCs w:val="18"/>
                <w14:textFill>
                  <w14:solidFill>
                    <w14:schemeClr w14:val="tx1"/>
                  </w14:solidFill>
                </w14:textFill>
              </w:rPr>
            </w:pPr>
          </w:p>
        </w:tc>
        <w:tc>
          <w:tcPr>
            <w:tcW w:w="3516" w:type="dxa"/>
            <w:vAlign w:val="center"/>
          </w:tcPr>
          <w:p w14:paraId="152521BD">
            <w:pPr>
              <w:rPr>
                <w:sz w:val="18"/>
                <w:szCs w:val="18"/>
              </w:rPr>
            </w:pPr>
            <w:r>
              <w:rPr>
                <w:sz w:val="18"/>
                <w:szCs w:val="18"/>
              </w:rPr>
              <w:t>论文中期进展报告</w:t>
            </w:r>
          </w:p>
        </w:tc>
        <w:tc>
          <w:tcPr>
            <w:tcW w:w="1081" w:type="dxa"/>
            <w:vAlign w:val="center"/>
          </w:tcPr>
          <w:p w14:paraId="31C5E494">
            <w:pPr>
              <w:jc w:val="center"/>
              <w:rPr>
                <w:color w:val="000000" w:themeColor="text1"/>
                <w:sz w:val="18"/>
                <w:szCs w:val="18"/>
                <w14:textFill>
                  <w14:solidFill>
                    <w14:schemeClr w14:val="tx1"/>
                  </w14:solidFill>
                </w14:textFill>
              </w:rPr>
            </w:pPr>
          </w:p>
        </w:tc>
        <w:tc>
          <w:tcPr>
            <w:tcW w:w="709" w:type="dxa"/>
            <w:vAlign w:val="center"/>
          </w:tcPr>
          <w:p w14:paraId="1FB3EF83">
            <w:pPr>
              <w:jc w:val="center"/>
              <w:rPr>
                <w:color w:val="000000" w:themeColor="text1"/>
                <w:sz w:val="18"/>
                <w:szCs w:val="18"/>
                <w14:textFill>
                  <w14:solidFill>
                    <w14:schemeClr w14:val="tx1"/>
                  </w14:solidFill>
                </w14:textFill>
              </w:rPr>
            </w:pPr>
          </w:p>
        </w:tc>
        <w:tc>
          <w:tcPr>
            <w:tcW w:w="709" w:type="dxa"/>
            <w:vAlign w:val="center"/>
          </w:tcPr>
          <w:p w14:paraId="2B035C9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08769C5E">
            <w:pPr>
              <w:jc w:val="center"/>
              <w:rPr>
                <w:color w:val="000000" w:themeColor="text1"/>
                <w:sz w:val="18"/>
                <w:szCs w:val="18"/>
                <w14:textFill>
                  <w14:solidFill>
                    <w14:schemeClr w14:val="tx1"/>
                  </w14:solidFill>
                </w14:textFill>
              </w:rPr>
            </w:pPr>
          </w:p>
        </w:tc>
      </w:tr>
      <w:tr w14:paraId="3FEF35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1AF62A">
            <w:pPr>
              <w:rPr>
                <w:b/>
                <w:color w:val="000000" w:themeColor="text1"/>
                <w:sz w:val="18"/>
                <w:szCs w:val="18"/>
                <w14:textFill>
                  <w14:solidFill>
                    <w14:schemeClr w14:val="tx1"/>
                  </w14:solidFill>
                </w14:textFill>
              </w:rPr>
            </w:pPr>
          </w:p>
        </w:tc>
        <w:tc>
          <w:tcPr>
            <w:tcW w:w="1226" w:type="dxa"/>
            <w:vMerge w:val="continue"/>
            <w:vAlign w:val="center"/>
          </w:tcPr>
          <w:p w14:paraId="6CF13A55">
            <w:pPr>
              <w:jc w:val="center"/>
              <w:rPr>
                <w:b/>
                <w:color w:val="000000" w:themeColor="text1"/>
                <w:sz w:val="18"/>
                <w:szCs w:val="18"/>
                <w14:textFill>
                  <w14:solidFill>
                    <w14:schemeClr w14:val="tx1"/>
                  </w14:solidFill>
                </w14:textFill>
              </w:rPr>
            </w:pPr>
          </w:p>
        </w:tc>
        <w:tc>
          <w:tcPr>
            <w:tcW w:w="3516" w:type="dxa"/>
            <w:vAlign w:val="center"/>
          </w:tcPr>
          <w:p w14:paraId="78A1669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5FB5905B">
            <w:pPr>
              <w:jc w:val="center"/>
              <w:rPr>
                <w:color w:val="000000" w:themeColor="text1"/>
                <w:sz w:val="18"/>
                <w:szCs w:val="18"/>
                <w14:textFill>
                  <w14:solidFill>
                    <w14:schemeClr w14:val="tx1"/>
                  </w14:solidFill>
                </w14:textFill>
              </w:rPr>
            </w:pPr>
          </w:p>
        </w:tc>
        <w:tc>
          <w:tcPr>
            <w:tcW w:w="709" w:type="dxa"/>
            <w:vAlign w:val="center"/>
          </w:tcPr>
          <w:p w14:paraId="5BF9FD94">
            <w:pPr>
              <w:jc w:val="center"/>
              <w:rPr>
                <w:color w:val="000000" w:themeColor="text1"/>
                <w:sz w:val="18"/>
                <w:szCs w:val="18"/>
                <w14:textFill>
                  <w14:solidFill>
                    <w14:schemeClr w14:val="tx1"/>
                  </w14:solidFill>
                </w14:textFill>
              </w:rPr>
            </w:pPr>
          </w:p>
        </w:tc>
        <w:tc>
          <w:tcPr>
            <w:tcW w:w="709" w:type="dxa"/>
            <w:vAlign w:val="center"/>
          </w:tcPr>
          <w:p w14:paraId="04B4CDA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0ECD58CC">
            <w:pPr>
              <w:jc w:val="center"/>
              <w:rPr>
                <w:color w:val="000000" w:themeColor="text1"/>
                <w:sz w:val="18"/>
                <w:szCs w:val="18"/>
                <w14:textFill>
                  <w14:solidFill>
                    <w14:schemeClr w14:val="tx1"/>
                  </w14:solidFill>
                </w14:textFill>
              </w:rPr>
            </w:pPr>
          </w:p>
        </w:tc>
      </w:tr>
      <w:tr w14:paraId="65A619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BD87E9">
            <w:pPr>
              <w:rPr>
                <w:color w:val="000000" w:themeColor="text1"/>
                <w:sz w:val="18"/>
                <w:szCs w:val="18"/>
                <w14:textFill>
                  <w14:solidFill>
                    <w14:schemeClr w14:val="tx1"/>
                  </w14:solidFill>
                </w14:textFill>
              </w:rPr>
            </w:pPr>
          </w:p>
        </w:tc>
        <w:tc>
          <w:tcPr>
            <w:tcW w:w="1226" w:type="dxa"/>
            <w:vMerge w:val="continue"/>
          </w:tcPr>
          <w:p w14:paraId="34604DAD">
            <w:pPr>
              <w:jc w:val="center"/>
              <w:rPr>
                <w:color w:val="000000" w:themeColor="text1"/>
                <w:sz w:val="18"/>
                <w:szCs w:val="18"/>
                <w14:textFill>
                  <w14:solidFill>
                    <w14:schemeClr w14:val="tx1"/>
                  </w14:solidFill>
                </w14:textFill>
              </w:rPr>
            </w:pPr>
          </w:p>
        </w:tc>
        <w:tc>
          <w:tcPr>
            <w:tcW w:w="3516" w:type="dxa"/>
            <w:vAlign w:val="center"/>
          </w:tcPr>
          <w:p w14:paraId="0176730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ACE2893">
            <w:pPr>
              <w:jc w:val="center"/>
              <w:rPr>
                <w:color w:val="000000" w:themeColor="text1"/>
                <w:sz w:val="18"/>
                <w:szCs w:val="18"/>
                <w14:textFill>
                  <w14:solidFill>
                    <w14:schemeClr w14:val="tx1"/>
                  </w14:solidFill>
                </w14:textFill>
              </w:rPr>
            </w:pPr>
          </w:p>
        </w:tc>
        <w:tc>
          <w:tcPr>
            <w:tcW w:w="709" w:type="dxa"/>
            <w:vAlign w:val="center"/>
          </w:tcPr>
          <w:p w14:paraId="492C3A8A">
            <w:pPr>
              <w:jc w:val="center"/>
              <w:rPr>
                <w:color w:val="000000" w:themeColor="text1"/>
                <w:sz w:val="18"/>
                <w:szCs w:val="18"/>
                <w14:textFill>
                  <w14:solidFill>
                    <w14:schemeClr w14:val="tx1"/>
                  </w14:solidFill>
                </w14:textFill>
              </w:rPr>
            </w:pPr>
          </w:p>
        </w:tc>
        <w:tc>
          <w:tcPr>
            <w:tcW w:w="709" w:type="dxa"/>
            <w:vAlign w:val="center"/>
          </w:tcPr>
          <w:p w14:paraId="5A64119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2917D6AA">
            <w:pPr>
              <w:jc w:val="center"/>
              <w:rPr>
                <w:color w:val="000000" w:themeColor="text1"/>
                <w:sz w:val="18"/>
                <w:szCs w:val="18"/>
                <w14:textFill>
                  <w14:solidFill>
                    <w14:schemeClr w14:val="tx1"/>
                  </w14:solidFill>
                </w14:textFill>
              </w:rPr>
            </w:pPr>
          </w:p>
        </w:tc>
      </w:tr>
      <w:tr w14:paraId="3AE2ED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2B2BF9">
            <w:pPr>
              <w:rPr>
                <w:color w:val="000000" w:themeColor="text1"/>
                <w:sz w:val="18"/>
                <w:szCs w:val="18"/>
                <w14:textFill>
                  <w14:solidFill>
                    <w14:schemeClr w14:val="tx1"/>
                  </w14:solidFill>
                </w14:textFill>
              </w:rPr>
            </w:pPr>
          </w:p>
        </w:tc>
        <w:tc>
          <w:tcPr>
            <w:tcW w:w="1226" w:type="dxa"/>
            <w:vMerge w:val="continue"/>
          </w:tcPr>
          <w:p w14:paraId="3768FFE0">
            <w:pPr>
              <w:jc w:val="center"/>
              <w:rPr>
                <w:color w:val="000000" w:themeColor="text1"/>
                <w:sz w:val="18"/>
                <w:szCs w:val="18"/>
                <w14:textFill>
                  <w14:solidFill>
                    <w14:schemeClr w14:val="tx1"/>
                  </w14:solidFill>
                </w14:textFill>
              </w:rPr>
            </w:pPr>
          </w:p>
        </w:tc>
        <w:tc>
          <w:tcPr>
            <w:tcW w:w="3516" w:type="dxa"/>
            <w:vAlign w:val="center"/>
          </w:tcPr>
          <w:p w14:paraId="3DE59B7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E8797CE">
            <w:pPr>
              <w:jc w:val="center"/>
              <w:rPr>
                <w:color w:val="000000" w:themeColor="text1"/>
                <w:sz w:val="18"/>
                <w:szCs w:val="18"/>
                <w14:textFill>
                  <w14:solidFill>
                    <w14:schemeClr w14:val="tx1"/>
                  </w14:solidFill>
                </w14:textFill>
              </w:rPr>
            </w:pPr>
          </w:p>
        </w:tc>
        <w:tc>
          <w:tcPr>
            <w:tcW w:w="709" w:type="dxa"/>
            <w:vAlign w:val="center"/>
          </w:tcPr>
          <w:p w14:paraId="63B2C80D">
            <w:pPr>
              <w:jc w:val="center"/>
              <w:rPr>
                <w:color w:val="000000" w:themeColor="text1"/>
                <w:sz w:val="18"/>
                <w:szCs w:val="18"/>
                <w14:textFill>
                  <w14:solidFill>
                    <w14:schemeClr w14:val="tx1"/>
                  </w14:solidFill>
                </w14:textFill>
              </w:rPr>
            </w:pPr>
          </w:p>
        </w:tc>
        <w:tc>
          <w:tcPr>
            <w:tcW w:w="709" w:type="dxa"/>
            <w:vAlign w:val="center"/>
          </w:tcPr>
          <w:p w14:paraId="798B613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201A95F2">
            <w:pPr>
              <w:jc w:val="center"/>
              <w:rPr>
                <w:color w:val="000000" w:themeColor="text1"/>
                <w:sz w:val="18"/>
                <w:szCs w:val="18"/>
                <w14:textFill>
                  <w14:solidFill>
                    <w14:schemeClr w14:val="tx1"/>
                  </w14:solidFill>
                </w14:textFill>
              </w:rPr>
            </w:pPr>
          </w:p>
        </w:tc>
      </w:tr>
    </w:tbl>
    <w:p w14:paraId="1EEDE41D">
      <w:pPr>
        <w:spacing w:line="440" w:lineRule="exact"/>
        <w:rPr>
          <w:rFonts w:eastAsiaTheme="minorEastAsia"/>
          <w:bCs/>
          <w:sz w:val="24"/>
        </w:rPr>
      </w:pPr>
      <w:r>
        <w:rPr>
          <w:rFonts w:eastAsiaTheme="minorEastAsia"/>
          <w:bCs/>
          <w:sz w:val="24"/>
        </w:rPr>
        <w:t>*公共外语课程按入学时的外国语考试科目修读相关语种。</w:t>
      </w:r>
    </w:p>
    <w:p w14:paraId="4ACB2BB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1DD16D1">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EC519E5">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0D7B8D1D">
      <w:pPr>
        <w:spacing w:line="440" w:lineRule="exact"/>
        <w:ind w:firstLine="480" w:firstLineChars="200"/>
        <w:rPr>
          <w:rFonts w:eastAsiaTheme="minorEastAsia"/>
          <w:bCs/>
          <w:sz w:val="24"/>
        </w:rPr>
      </w:pPr>
      <w:r>
        <w:rPr>
          <w:rFonts w:hint="eastAsia" w:eastAsiaTheme="minorEastAsia"/>
          <w:bCs/>
          <w:sz w:val="24"/>
        </w:rPr>
        <w:t>3. 学术与竞赛活动：</w:t>
      </w:r>
    </w:p>
    <w:p w14:paraId="21660AF0">
      <w:pPr>
        <w:spacing w:line="440" w:lineRule="exact"/>
        <w:ind w:firstLine="480" w:firstLineChars="200"/>
        <w:rPr>
          <w:rFonts w:eastAsiaTheme="minorEastAsia"/>
          <w:bCs/>
          <w:sz w:val="24"/>
        </w:rPr>
      </w:pPr>
      <w:r>
        <w:rPr>
          <w:rFonts w:hint="eastAsia" w:eastAsiaTheme="minorEastAsia"/>
          <w:bCs/>
          <w:sz w:val="24"/>
        </w:rPr>
        <w:t>（1）参与并完成学校认可的比赛竞赛并获得校级三等奖以上奖励，以获奖证书或者结题文件为准。具体赛事清单详见《河北大学管理学院硕士研究生学业奖学金评审规则》。清单外的比赛需要学位点导师组成不少于三人评议组评议决定。</w:t>
      </w:r>
    </w:p>
    <w:p w14:paraId="1C512403">
      <w:pPr>
        <w:spacing w:line="440" w:lineRule="exact"/>
        <w:ind w:firstLine="480" w:firstLineChars="200"/>
        <w:rPr>
          <w:rFonts w:eastAsiaTheme="minorEastAsia"/>
          <w:bCs/>
          <w:sz w:val="24"/>
        </w:rPr>
      </w:pPr>
      <w:r>
        <w:rPr>
          <w:rFonts w:hint="eastAsia" w:eastAsiaTheme="minorEastAsia"/>
          <w:bCs/>
          <w:sz w:val="24"/>
        </w:rPr>
        <w:t>（2）参与校级及以上研究生创新资助项目1项，有相关佐证材料。</w:t>
      </w:r>
    </w:p>
    <w:p w14:paraId="64557EE6">
      <w:pPr>
        <w:spacing w:line="440" w:lineRule="exact"/>
        <w:ind w:firstLine="480" w:firstLineChars="200"/>
        <w:rPr>
          <w:rFonts w:eastAsiaTheme="minorEastAsia"/>
          <w:bCs/>
          <w:sz w:val="24"/>
        </w:rPr>
      </w:pPr>
      <w:r>
        <w:rPr>
          <w:rFonts w:hint="eastAsia" w:eastAsiaTheme="minorEastAsia"/>
          <w:bCs/>
          <w:sz w:val="24"/>
        </w:rPr>
        <w:t>（3）参与学术活动，有入选会议论文、发表论文1篇以上。</w:t>
      </w:r>
    </w:p>
    <w:p w14:paraId="0935EA51">
      <w:pPr>
        <w:spacing w:line="440" w:lineRule="exact"/>
        <w:ind w:firstLine="480" w:firstLineChars="200"/>
        <w:rPr>
          <w:rFonts w:eastAsiaTheme="minorEastAsia"/>
          <w:bCs/>
          <w:sz w:val="24"/>
        </w:rPr>
      </w:pPr>
      <w:r>
        <w:rPr>
          <w:rFonts w:hint="eastAsia" w:eastAsiaTheme="minorEastAsia"/>
          <w:bCs/>
          <w:sz w:val="24"/>
        </w:rPr>
        <w:t>（4）参与教学案例/工作案例/研究案例的调研和撰写，需提供经导师书面确认的佐证材料。</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47F0"/>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19E6"/>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6D"/>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6904"/>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3CB"/>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C49"/>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07D4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1BD"/>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2D3"/>
    <w:rsid w:val="006406F4"/>
    <w:rsid w:val="00640F18"/>
    <w:rsid w:val="006416DA"/>
    <w:rsid w:val="006417EC"/>
    <w:rsid w:val="00642498"/>
    <w:rsid w:val="0064330A"/>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515"/>
    <w:rsid w:val="00781989"/>
    <w:rsid w:val="007824D1"/>
    <w:rsid w:val="00782601"/>
    <w:rsid w:val="00782FAA"/>
    <w:rsid w:val="00785273"/>
    <w:rsid w:val="00785F5A"/>
    <w:rsid w:val="0078654A"/>
    <w:rsid w:val="00786EE7"/>
    <w:rsid w:val="007870A8"/>
    <w:rsid w:val="0078771C"/>
    <w:rsid w:val="00787ACB"/>
    <w:rsid w:val="00790718"/>
    <w:rsid w:val="00794CA2"/>
    <w:rsid w:val="00795991"/>
    <w:rsid w:val="00796724"/>
    <w:rsid w:val="007976EC"/>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112"/>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18EE"/>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200"/>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17A94"/>
    <w:rsid w:val="00B17FDE"/>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6EA"/>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3555"/>
    <w:rsid w:val="00D94A4F"/>
    <w:rsid w:val="00D9652D"/>
    <w:rsid w:val="00D967E9"/>
    <w:rsid w:val="00D968CE"/>
    <w:rsid w:val="00D973E0"/>
    <w:rsid w:val="00D9741A"/>
    <w:rsid w:val="00DA0C9A"/>
    <w:rsid w:val="00DA1246"/>
    <w:rsid w:val="00DA2F62"/>
    <w:rsid w:val="00DA31B1"/>
    <w:rsid w:val="00DA3D1D"/>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2487"/>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3D3E"/>
    <w:rsid w:val="00FF40BB"/>
    <w:rsid w:val="00FF5CED"/>
    <w:rsid w:val="00FF7300"/>
    <w:rsid w:val="00FF735B"/>
    <w:rsid w:val="03BE4A34"/>
    <w:rsid w:val="03E02C01"/>
    <w:rsid w:val="06167341"/>
    <w:rsid w:val="083F3A9B"/>
    <w:rsid w:val="08F3754B"/>
    <w:rsid w:val="0BC639A4"/>
    <w:rsid w:val="0C430B50"/>
    <w:rsid w:val="0D006A41"/>
    <w:rsid w:val="10D00FB4"/>
    <w:rsid w:val="139917AD"/>
    <w:rsid w:val="18B64393"/>
    <w:rsid w:val="19CF6119"/>
    <w:rsid w:val="1A9A5227"/>
    <w:rsid w:val="1BB15F4F"/>
    <w:rsid w:val="1FE96C05"/>
    <w:rsid w:val="225249D3"/>
    <w:rsid w:val="226C4308"/>
    <w:rsid w:val="27313F6F"/>
    <w:rsid w:val="2BB46F1D"/>
    <w:rsid w:val="2E0A72C8"/>
    <w:rsid w:val="2E2465DC"/>
    <w:rsid w:val="34613623"/>
    <w:rsid w:val="35C57EF0"/>
    <w:rsid w:val="37B108CA"/>
    <w:rsid w:val="39A14F85"/>
    <w:rsid w:val="3BC93102"/>
    <w:rsid w:val="3D087089"/>
    <w:rsid w:val="3D985F67"/>
    <w:rsid w:val="401E73C1"/>
    <w:rsid w:val="432C269E"/>
    <w:rsid w:val="486E6CB2"/>
    <w:rsid w:val="486E733F"/>
    <w:rsid w:val="4A6A42B3"/>
    <w:rsid w:val="4AB347AB"/>
    <w:rsid w:val="4C96649F"/>
    <w:rsid w:val="4DAB5CA1"/>
    <w:rsid w:val="4E145DDB"/>
    <w:rsid w:val="4FD0351C"/>
    <w:rsid w:val="5385202A"/>
    <w:rsid w:val="562004E1"/>
    <w:rsid w:val="56272B59"/>
    <w:rsid w:val="572D700A"/>
    <w:rsid w:val="587578B0"/>
    <w:rsid w:val="5AA47FD9"/>
    <w:rsid w:val="5B0044E2"/>
    <w:rsid w:val="5B3C1DEE"/>
    <w:rsid w:val="6007217C"/>
    <w:rsid w:val="60651F0E"/>
    <w:rsid w:val="612F1D99"/>
    <w:rsid w:val="66991DC7"/>
    <w:rsid w:val="6A873F74"/>
    <w:rsid w:val="74681857"/>
    <w:rsid w:val="74BD640F"/>
    <w:rsid w:val="77C90506"/>
    <w:rsid w:val="78B05BDE"/>
    <w:rsid w:val="78B91D33"/>
    <w:rsid w:val="7CE31627"/>
    <w:rsid w:val="7D567401"/>
    <w:rsid w:val="7D8D10BA"/>
    <w:rsid w:val="7F0A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3526</Words>
  <Characters>3793</Characters>
  <Lines>29</Lines>
  <Paragraphs>8</Paragraphs>
  <TotalTime>3</TotalTime>
  <ScaleCrop>false</ScaleCrop>
  <LinksUpToDate>false</LinksUpToDate>
  <CharactersWithSpaces>3808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2025-03-14T03:17:00Z</cp:lastPrinted>
  <dcterms:modified xsi:type="dcterms:W3CDTF">2025-07-10T10:17:42Z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74977B64CF0F481EB9A71A26D8628EDA_12</vt:lpwstr>
  </property>
</Properties>
</file>