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C2F9D">
      <w:pPr>
        <w:snapToGrid w:val="0"/>
        <w:spacing w:line="360" w:lineRule="auto"/>
        <w:ind w:left="321" w:leftChars="153" w:right="227"/>
        <w:jc w:val="center"/>
        <w:rPr>
          <w:rFonts w:eastAsia="黑体"/>
          <w:b/>
          <w:bCs/>
          <w:sz w:val="36"/>
          <w:szCs w:val="36"/>
        </w:rPr>
      </w:pPr>
      <w:r>
        <w:rPr>
          <w:rFonts w:hint="eastAsia" w:eastAsia="黑体"/>
          <w:b/>
          <w:bCs/>
          <w:sz w:val="36"/>
          <w:szCs w:val="36"/>
          <w:u w:val="single"/>
        </w:rPr>
        <w:t xml:space="preserve"> 教育经济与管理 </w:t>
      </w:r>
      <w:r>
        <w:rPr>
          <w:rFonts w:eastAsia="黑体"/>
          <w:b/>
          <w:bCs/>
          <w:sz w:val="36"/>
          <w:szCs w:val="36"/>
        </w:rPr>
        <w:t>专业学术学位硕士研究生培养方案</w:t>
      </w:r>
    </w:p>
    <w:p w14:paraId="041B82A4">
      <w:pPr>
        <w:snapToGrid w:val="0"/>
        <w:spacing w:line="360" w:lineRule="auto"/>
        <w:ind w:left="321" w:leftChars="153" w:right="227"/>
        <w:jc w:val="center"/>
        <w:rPr>
          <w:rFonts w:eastAsia="黑体"/>
          <w:b/>
          <w:bCs/>
          <w:sz w:val="28"/>
          <w:szCs w:val="28"/>
        </w:rPr>
      </w:pPr>
      <w:r>
        <w:rPr>
          <w:rFonts w:hint="eastAsia" w:eastAsia="黑体"/>
          <w:b/>
          <w:bCs/>
          <w:sz w:val="28"/>
          <w:szCs w:val="28"/>
        </w:rPr>
        <w:t>（管理学院)</w:t>
      </w:r>
    </w:p>
    <w:p w14:paraId="4AFF378C">
      <w:pPr>
        <w:snapToGrid w:val="0"/>
        <w:spacing w:line="360" w:lineRule="auto"/>
        <w:ind w:firstLine="560"/>
        <w:rPr>
          <w:rFonts w:eastAsia="黑体"/>
          <w:bCs/>
          <w:sz w:val="28"/>
          <w:szCs w:val="28"/>
        </w:rPr>
      </w:pPr>
      <w:r>
        <w:rPr>
          <w:rFonts w:eastAsia="黑体"/>
          <w:bCs/>
          <w:sz w:val="28"/>
          <w:szCs w:val="28"/>
        </w:rPr>
        <w:t>一、专业名称、代码</w:t>
      </w:r>
    </w:p>
    <w:p w14:paraId="7B427E3C">
      <w:pPr>
        <w:snapToGrid w:val="0"/>
        <w:spacing w:line="360" w:lineRule="auto"/>
        <w:ind w:firstLine="435"/>
        <w:rPr>
          <w:rFonts w:hint="eastAsia" w:ascii="宋体" w:hAnsi="宋体"/>
          <w:sz w:val="24"/>
        </w:rPr>
      </w:pPr>
      <w:r>
        <w:rPr>
          <w:rFonts w:hint="eastAsia" w:ascii="宋体" w:hAnsi="宋体"/>
          <w:sz w:val="24"/>
        </w:rPr>
        <w:t>专业名称：教育经济与管理</w:t>
      </w:r>
    </w:p>
    <w:p w14:paraId="55707A78">
      <w:pPr>
        <w:snapToGrid w:val="0"/>
        <w:spacing w:line="360" w:lineRule="auto"/>
        <w:ind w:firstLine="435"/>
        <w:rPr>
          <w:rFonts w:hint="eastAsia" w:ascii="宋体" w:hAnsi="宋体"/>
          <w:sz w:val="24"/>
        </w:rPr>
      </w:pPr>
      <w:r>
        <w:rPr>
          <w:rFonts w:hint="eastAsia" w:ascii="宋体" w:hAnsi="宋体"/>
          <w:sz w:val="24"/>
        </w:rPr>
        <w:t>专业代码：120403</w:t>
      </w:r>
    </w:p>
    <w:p w14:paraId="571742B5">
      <w:pPr>
        <w:snapToGrid w:val="0"/>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723DD2A4">
      <w:pPr>
        <w:snapToGrid w:val="0"/>
        <w:spacing w:line="360" w:lineRule="auto"/>
        <w:ind w:firstLine="435"/>
        <w:rPr>
          <w:rFonts w:hint="eastAsia" w:ascii="宋体" w:hAnsi="宋体"/>
          <w:sz w:val="24"/>
        </w:rPr>
      </w:pPr>
      <w:r>
        <w:rPr>
          <w:rFonts w:hint="eastAsia" w:eastAsiaTheme="minorEastAsia"/>
          <w:iCs/>
          <w:color w:val="000000" w:themeColor="text1"/>
          <w:sz w:val="24"/>
          <w14:textFill>
            <w14:solidFill>
              <w14:schemeClr w14:val="tx1"/>
            </w14:solidFill>
          </w14:textFill>
        </w:rPr>
        <w:t>教育经济与管理是管理学门类的公共管理一级学科之下的二级学科。本学科是一门理论性和实践性很强的综合性学科，以教育学、经济学和管理学等学科为基础，主要对教育财政投入、教育管理决策、创新教育管理与评价等活动的规律和实践进行研究。</w:t>
      </w:r>
      <w:r>
        <w:rPr>
          <w:rFonts w:hint="eastAsia"/>
          <w:sz w:val="24"/>
        </w:rPr>
        <w:t>本</w:t>
      </w:r>
      <w:r>
        <w:rPr>
          <w:rFonts w:hint="eastAsia" w:ascii="宋体" w:hAnsi="宋体"/>
          <w:sz w:val="24"/>
        </w:rPr>
        <w:t>专业建设了一支高水平、优秀的研究生导师队伍，</w:t>
      </w:r>
      <w:r>
        <w:rPr>
          <w:rFonts w:hint="eastAsia"/>
          <w:sz w:val="24"/>
        </w:rPr>
        <w:t>合理设置研究方向，不断完善课程体系，</w:t>
      </w:r>
      <w:r>
        <w:rPr>
          <w:rFonts w:hint="eastAsia" w:ascii="宋体" w:hAnsi="宋体"/>
          <w:sz w:val="24"/>
        </w:rPr>
        <w:t>为保障研究生培养质量、促进研究生就业提供有力的保障。</w:t>
      </w:r>
    </w:p>
    <w:p w14:paraId="2E827BF2">
      <w:pPr>
        <w:spacing w:after="160"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本学科的特色和优势是以教育经济和管理政策的基本原理为前提，积极回应当代中国政府教育治理和改革涉及的重大现实问题，学科建设力求理论性和前沿性，方向设置注重基础性和应用性。（1）在课程设置上，紧扣当前教育经济与管理的前沿和热点，聚焦国家教育财政投入和教育治理现代化的重大理论与现实问题，从理论与方法、历史与现实相结合的角度合理规划专业课程，为研究生培养奠定坚实的学术基础。（2）在人才培养上，充分利用环津京的区位优势和学缘优势，指导学生积极参与课题研究、社会调查等活动，不断提高研究生人才培养质量。</w:t>
      </w:r>
    </w:p>
    <w:p w14:paraId="320F063B">
      <w:pPr>
        <w:snapToGrid w:val="0"/>
        <w:spacing w:line="360" w:lineRule="auto"/>
        <w:ind w:firstLine="560" w:firstLineChars="200"/>
        <w:rPr>
          <w:rFonts w:eastAsia="黑体"/>
          <w:bCs/>
          <w:sz w:val="28"/>
          <w:szCs w:val="28"/>
        </w:rPr>
      </w:pPr>
      <w:r>
        <w:rPr>
          <w:rFonts w:eastAsia="黑体"/>
          <w:bCs/>
          <w:sz w:val="28"/>
          <w:szCs w:val="28"/>
        </w:rPr>
        <w:t>三、研究方向</w:t>
      </w:r>
    </w:p>
    <w:p w14:paraId="4B11BB70">
      <w:pPr>
        <w:snapToGrid w:val="0"/>
        <w:spacing w:line="360" w:lineRule="auto"/>
        <w:ind w:firstLine="480" w:firstLineChars="200"/>
        <w:rPr>
          <w:rFonts w:hint="eastAsia" w:ascii="宋体" w:hAnsi="宋体"/>
          <w:sz w:val="24"/>
        </w:rPr>
      </w:pPr>
      <w:r>
        <w:rPr>
          <w:rFonts w:hint="eastAsia" w:ascii="宋体" w:hAnsi="宋体"/>
          <w:sz w:val="24"/>
        </w:rPr>
        <w:t>结合学科自身的优势和特点，把握学科的发展趋势，突出学科间相互渗透和交叉，在研究方向设置上密切关注国家和地方经济发展、数字技术、社会发展中具有重大或深远意义的领域，设置了两个研究方向。</w:t>
      </w:r>
    </w:p>
    <w:p w14:paraId="12865C06">
      <w:pPr>
        <w:numPr>
          <w:ilvl w:val="0"/>
          <w:numId w:val="1"/>
        </w:numPr>
        <w:spacing w:after="160" w:line="440" w:lineRule="exact"/>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教育管理</w:t>
      </w:r>
    </w:p>
    <w:p w14:paraId="47851B3C">
      <w:pPr>
        <w:spacing w:after="160"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本方向主要研究各级教育组织的管理问题，包括计划、组织、决策、控制和中外教育管理比较等。特别是结合我省教育现代化进程，研究宏观管理和微观管理中面临的新问题，揭示学校管理中的一般规律，并用于指导学校管理实践。</w:t>
      </w:r>
    </w:p>
    <w:p w14:paraId="5872AA75">
      <w:pPr>
        <w:numPr>
          <w:ilvl w:val="0"/>
          <w:numId w:val="1"/>
        </w:numPr>
        <w:spacing w:after="160" w:line="440" w:lineRule="exact"/>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教育经济</w:t>
      </w:r>
    </w:p>
    <w:p w14:paraId="4202264B">
      <w:pPr>
        <w:spacing w:after="160" w:line="440" w:lineRule="exact"/>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本方向主要研究高等教育现代化与经济现代化、科技现代化和文化现代化的关系，教育财政问题，教育经费使用效率等。</w:t>
      </w:r>
    </w:p>
    <w:p w14:paraId="052B63A3">
      <w:pPr>
        <w:snapToGrid w:val="0"/>
        <w:spacing w:line="360" w:lineRule="auto"/>
        <w:ind w:firstLine="560" w:firstLineChars="200"/>
        <w:rPr>
          <w:rFonts w:eastAsia="黑体"/>
          <w:bCs/>
          <w:sz w:val="28"/>
          <w:szCs w:val="28"/>
        </w:rPr>
      </w:pPr>
      <w:r>
        <w:rPr>
          <w:rFonts w:eastAsia="黑体"/>
          <w:bCs/>
          <w:sz w:val="28"/>
          <w:szCs w:val="28"/>
        </w:rPr>
        <w:t>四、学制及学习年限</w:t>
      </w:r>
    </w:p>
    <w:p w14:paraId="6C9A1CB5">
      <w:pPr>
        <w:snapToGrid w:val="0"/>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6F4C4A4E">
      <w:pPr>
        <w:snapToGrid w:val="0"/>
        <w:spacing w:line="360" w:lineRule="auto"/>
        <w:ind w:firstLine="560" w:firstLineChars="200"/>
        <w:rPr>
          <w:rFonts w:eastAsia="黑体"/>
          <w:bCs/>
          <w:sz w:val="28"/>
          <w:szCs w:val="28"/>
        </w:rPr>
      </w:pPr>
      <w:r>
        <w:rPr>
          <w:rFonts w:eastAsia="黑体"/>
          <w:bCs/>
          <w:sz w:val="28"/>
          <w:szCs w:val="28"/>
        </w:rPr>
        <w:t>五、培养目标</w:t>
      </w:r>
    </w:p>
    <w:p w14:paraId="42C4289A">
      <w:pPr>
        <w:snapToGrid w:val="0"/>
        <w:spacing w:line="360" w:lineRule="auto"/>
        <w:ind w:firstLine="480" w:firstLineChars="200"/>
        <w:rPr>
          <w:sz w:val="24"/>
        </w:rPr>
      </w:pPr>
      <w:r>
        <w:rPr>
          <w:sz w:val="24"/>
        </w:rPr>
        <w:t>1.全面、准确地掌握马克思主义的基本理论，拥护中国共产党的领导，拥护社会主义制度，</w:t>
      </w:r>
      <w:r>
        <w:rPr>
          <w:rFonts w:eastAsiaTheme="majorEastAsia"/>
          <w:iCs/>
          <w:sz w:val="24"/>
        </w:rPr>
        <w:t>树立正确的中国特色社会主义核心价值观，具有坚定的理想信念，高尚的道德情操，优良的学术作风，高度的社会责任感。</w:t>
      </w:r>
    </w:p>
    <w:p w14:paraId="7A56740F">
      <w:pPr>
        <w:snapToGrid w:val="0"/>
        <w:spacing w:line="360" w:lineRule="auto"/>
        <w:ind w:firstLine="480" w:firstLineChars="200"/>
        <w:rPr>
          <w:sz w:val="24"/>
        </w:rPr>
      </w:pPr>
      <w:r>
        <w:rPr>
          <w:sz w:val="24"/>
        </w:rPr>
        <w:t>2.</w:t>
      </w:r>
      <w:r>
        <w:rPr>
          <w:rFonts w:eastAsiaTheme="majorEastAsia"/>
          <w:iCs/>
          <w:sz w:val="24"/>
        </w:rPr>
        <w:t>掌握坚实的基础理论和系统的</w:t>
      </w:r>
      <w:r>
        <w:rPr>
          <w:rFonts w:hint="eastAsia" w:eastAsiaTheme="majorEastAsia"/>
          <w:iCs/>
          <w:sz w:val="24"/>
        </w:rPr>
        <w:t>社会保障</w:t>
      </w:r>
      <w:r>
        <w:rPr>
          <w:rFonts w:eastAsiaTheme="majorEastAsia"/>
          <w:iCs/>
          <w:sz w:val="24"/>
        </w:rPr>
        <w:t>知识，</w:t>
      </w:r>
      <w:r>
        <w:rPr>
          <w:sz w:val="24"/>
        </w:rPr>
        <w:t>具有广博的知识视野，精通学科基础理论，准确把握相关法律制度</w:t>
      </w:r>
      <w:r>
        <w:rPr>
          <w:rFonts w:hint="eastAsia"/>
          <w:sz w:val="24"/>
        </w:rPr>
        <w:t>，掌握前沿数字技术和智能化分析工具</w:t>
      </w:r>
      <w:r>
        <w:rPr>
          <w:sz w:val="24"/>
        </w:rPr>
        <w:t>，</w:t>
      </w:r>
      <w:r>
        <w:rPr>
          <w:rFonts w:hint="eastAsia"/>
          <w:sz w:val="24"/>
        </w:rPr>
        <w:t>具有</w:t>
      </w:r>
      <w:r>
        <w:rPr>
          <w:sz w:val="24"/>
        </w:rPr>
        <w:t>理论</w:t>
      </w:r>
      <w:r>
        <w:rPr>
          <w:rFonts w:hint="eastAsia"/>
          <w:sz w:val="24"/>
        </w:rPr>
        <w:t>创新</w:t>
      </w:r>
      <w:r>
        <w:rPr>
          <w:sz w:val="24"/>
        </w:rPr>
        <w:t>和政策实践</w:t>
      </w:r>
      <w:r>
        <w:rPr>
          <w:rFonts w:hint="eastAsia"/>
          <w:sz w:val="24"/>
        </w:rPr>
        <w:t>应用的能力</w:t>
      </w:r>
      <w:r>
        <w:rPr>
          <w:sz w:val="24"/>
        </w:rPr>
        <w:t>。</w:t>
      </w:r>
    </w:p>
    <w:p w14:paraId="61AF54AA">
      <w:pPr>
        <w:snapToGrid w:val="0"/>
        <w:spacing w:line="360" w:lineRule="auto"/>
        <w:ind w:firstLine="480" w:firstLineChars="200"/>
        <w:rPr>
          <w:sz w:val="24"/>
        </w:rPr>
      </w:pPr>
      <w:r>
        <w:rPr>
          <w:sz w:val="24"/>
        </w:rPr>
        <w:t>3.具有独立思考、善于</w:t>
      </w:r>
      <w:r>
        <w:rPr>
          <w:rFonts w:hint="eastAsia"/>
          <w:sz w:val="24"/>
        </w:rPr>
        <w:t>探索的</w:t>
      </w:r>
      <w:r>
        <w:rPr>
          <w:sz w:val="24"/>
        </w:rPr>
        <w:t>科学精神</w:t>
      </w:r>
      <w:r>
        <w:rPr>
          <w:rFonts w:hint="eastAsia"/>
          <w:sz w:val="24"/>
        </w:rPr>
        <w:t>和学术创新精神，</w:t>
      </w:r>
      <w:r>
        <w:rPr>
          <w:sz w:val="24"/>
        </w:rPr>
        <w:t>以及</w:t>
      </w:r>
      <w:r>
        <w:rPr>
          <w:rFonts w:hint="eastAsia"/>
          <w:sz w:val="24"/>
        </w:rPr>
        <w:t>团队协作</w:t>
      </w:r>
      <w:r>
        <w:rPr>
          <w:sz w:val="24"/>
        </w:rPr>
        <w:t>的态度。</w:t>
      </w:r>
    </w:p>
    <w:p w14:paraId="1E4FE948">
      <w:pPr>
        <w:snapToGrid w:val="0"/>
        <w:spacing w:line="360" w:lineRule="auto"/>
        <w:ind w:firstLine="480" w:firstLineChars="200"/>
        <w:rPr>
          <w:sz w:val="24"/>
        </w:rPr>
      </w:pPr>
      <w:r>
        <w:rPr>
          <w:sz w:val="24"/>
        </w:rPr>
        <w:t>4.掌握一门外国语。要求较熟练的阅读本专业的外文资料，一定的写译能力和基本的听、说能力，</w:t>
      </w:r>
      <w:r>
        <w:rPr>
          <w:rFonts w:eastAsiaTheme="majorEastAsia"/>
          <w:iCs/>
          <w:sz w:val="24"/>
        </w:rPr>
        <w:t>具有撰写学术论文和进行国际学术交流的能力</w:t>
      </w:r>
      <w:r>
        <w:rPr>
          <w:sz w:val="24"/>
        </w:rPr>
        <w:t>。</w:t>
      </w:r>
    </w:p>
    <w:p w14:paraId="0E4535C3">
      <w:pPr>
        <w:snapToGrid w:val="0"/>
        <w:spacing w:line="360" w:lineRule="auto"/>
        <w:ind w:firstLine="480"/>
        <w:rPr>
          <w:rFonts w:eastAsiaTheme="minorEastAsia"/>
          <w:sz w:val="24"/>
        </w:rPr>
      </w:pPr>
      <w:r>
        <w:rPr>
          <w:sz w:val="24"/>
        </w:rPr>
        <w:t>5.</w:t>
      </w:r>
      <w:r>
        <w:rPr>
          <w:rFonts w:hint="eastAsia" w:asciiTheme="majorEastAsia" w:hAnsiTheme="majorEastAsia" w:eastAsiaTheme="majorEastAsia" w:cstheme="majorEastAsia"/>
          <w:iCs/>
          <w:sz w:val="24"/>
        </w:rPr>
        <w:t>培养德智体美劳全面发展的社会主义事业接班人，既</w:t>
      </w:r>
      <w:r>
        <w:rPr>
          <w:rFonts w:hint="eastAsia" w:ascii="宋体" w:hAnsi="宋体"/>
          <w:sz w:val="24"/>
        </w:rPr>
        <w:t>身心健康，适应研究生学习需要，也为适应职业发展奠定基础。</w:t>
      </w:r>
    </w:p>
    <w:p w14:paraId="102C2B39">
      <w:pPr>
        <w:snapToGrid w:val="0"/>
        <w:spacing w:line="360" w:lineRule="auto"/>
        <w:ind w:firstLine="560" w:firstLineChars="200"/>
        <w:rPr>
          <w:rFonts w:eastAsia="黑体"/>
          <w:bCs/>
          <w:sz w:val="28"/>
          <w:szCs w:val="28"/>
        </w:rPr>
      </w:pPr>
      <w:r>
        <w:rPr>
          <w:rFonts w:eastAsia="黑体"/>
          <w:bCs/>
          <w:sz w:val="28"/>
          <w:szCs w:val="28"/>
        </w:rPr>
        <w:t>六、培养方式</w:t>
      </w:r>
    </w:p>
    <w:p w14:paraId="0982D1B9">
      <w:pPr>
        <w:widowControl/>
        <w:adjustRightInd w:val="0"/>
        <w:snapToGrid w:val="0"/>
        <w:spacing w:line="360" w:lineRule="auto"/>
        <w:ind w:firstLine="480"/>
        <w:jc w:val="left"/>
        <w:rPr>
          <w:color w:val="222222"/>
          <w:kern w:val="0"/>
          <w:sz w:val="24"/>
        </w:rPr>
      </w:pPr>
      <w:r>
        <w:rPr>
          <w:rFonts w:hint="eastAsia"/>
          <w:color w:val="222222"/>
          <w:kern w:val="0"/>
          <w:sz w:val="24"/>
        </w:rPr>
        <w:t>本学科采用“导师负责制”与“课程-科研-实践”三位一体的培养模式。导师根据学生研究方向制定个性化培养计划，通过理论课程、科研项目及实践环节的系统训练，提升学生的学术创新能力。课程设置涵盖学科基础、专业核心及跨学科选修课程，结合案例教学、学术沙龙等形式强化互动学习。学生需参与导师科研项目，完成学术论文发表要求，并通过开题报告、中期考核等环节确保培养质量。同时，鼓励学生参与国际交流与创新创业活动，培养具有国际视野和社会责任感的高层次人才。</w:t>
      </w:r>
    </w:p>
    <w:p w14:paraId="7AB45988">
      <w:pPr>
        <w:snapToGrid w:val="0"/>
        <w:spacing w:line="360" w:lineRule="auto"/>
        <w:ind w:firstLine="560" w:firstLineChars="200"/>
        <w:rPr>
          <w:rFonts w:eastAsia="黑体"/>
          <w:bCs/>
          <w:sz w:val="28"/>
          <w:szCs w:val="28"/>
        </w:rPr>
      </w:pPr>
      <w:r>
        <w:rPr>
          <w:rFonts w:eastAsia="黑体"/>
          <w:bCs/>
          <w:sz w:val="28"/>
          <w:szCs w:val="28"/>
        </w:rPr>
        <w:t>七、中期筛选</w:t>
      </w:r>
    </w:p>
    <w:p w14:paraId="73DBA080">
      <w:pPr>
        <w:snapToGrid w:val="0"/>
        <w:spacing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4BA9567F">
      <w:pPr>
        <w:snapToGrid w:val="0"/>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CB7FB16">
      <w:pPr>
        <w:snapToGrid w:val="0"/>
        <w:spacing w:line="360" w:lineRule="auto"/>
        <w:ind w:firstLine="480" w:firstLineChars="200"/>
        <w:rPr>
          <w:rFonts w:eastAsiaTheme="minorEastAsia"/>
          <w:bCs/>
          <w:sz w:val="24"/>
        </w:rPr>
      </w:pPr>
      <w:r>
        <w:rPr>
          <w:rFonts w:eastAsiaTheme="minorEastAsia"/>
          <w:bCs/>
          <w:sz w:val="24"/>
        </w:rPr>
        <w:t>1.</w:t>
      </w:r>
      <w:r>
        <w:rPr>
          <w:rFonts w:hint="eastAsia" w:eastAsiaTheme="minorEastAsia"/>
          <w:bCs/>
          <w:sz w:val="24"/>
        </w:rPr>
        <w:t>总体要求：按照《河北大学关于开展</w:t>
      </w:r>
      <w:r>
        <w:rPr>
          <w:rFonts w:eastAsiaTheme="minorEastAsia"/>
          <w:bCs/>
          <w:sz w:val="24"/>
        </w:rPr>
        <w:t>2025</w:t>
      </w:r>
      <w:r>
        <w:rPr>
          <w:rFonts w:hint="eastAsia" w:eastAsiaTheme="minorEastAsia"/>
          <w:bCs/>
          <w:sz w:val="24"/>
        </w:rPr>
        <w:t>版研究生培养方案修订工作的指导意见》（校政字〔</w:t>
      </w:r>
      <w:r>
        <w:rPr>
          <w:rFonts w:eastAsiaTheme="minorEastAsia"/>
          <w:bCs/>
          <w:sz w:val="24"/>
        </w:rPr>
        <w:t>2025</w:t>
      </w:r>
      <w:r>
        <w:rPr>
          <w:rFonts w:hint="eastAsia" w:eastAsiaTheme="minorEastAsia"/>
          <w:bCs/>
          <w:sz w:val="24"/>
        </w:rPr>
        <w:t>〕9号）规定，硕士研究生论文开题与答辩时间间隔原则上不少于</w:t>
      </w:r>
      <w:r>
        <w:rPr>
          <w:rFonts w:eastAsiaTheme="minorEastAsia"/>
          <w:bCs/>
          <w:sz w:val="24"/>
        </w:rPr>
        <w:t>12</w:t>
      </w:r>
      <w:r>
        <w:rPr>
          <w:rFonts w:hint="eastAsia" w:eastAsiaTheme="minorEastAsia"/>
          <w:bCs/>
          <w:sz w:val="24"/>
        </w:rPr>
        <w:t>个月。学位（毕业）论文应当表明作者具有独立从事学术研究工作的能力，鼓励硕士研究生参与科学研究，取得创新性成果。</w:t>
      </w:r>
    </w:p>
    <w:p w14:paraId="69285DF8">
      <w:pPr>
        <w:snapToGrid w:val="0"/>
        <w:spacing w:line="360" w:lineRule="auto"/>
        <w:ind w:firstLine="480" w:firstLineChars="200"/>
        <w:rPr>
          <w:rFonts w:eastAsiaTheme="minorEastAsia"/>
          <w:bCs/>
          <w:sz w:val="24"/>
        </w:rPr>
      </w:pPr>
      <w:r>
        <w:rPr>
          <w:rFonts w:eastAsiaTheme="minorEastAsia"/>
          <w:bCs/>
          <w:sz w:val="24"/>
        </w:rPr>
        <w:t>2.</w:t>
      </w:r>
      <w:r>
        <w:rPr>
          <w:rFonts w:hint="eastAsia"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4CA9F159">
      <w:pPr>
        <w:snapToGrid w:val="0"/>
        <w:spacing w:line="360" w:lineRule="auto"/>
        <w:ind w:firstLine="480" w:firstLineChars="200"/>
        <w:rPr>
          <w:rFonts w:eastAsiaTheme="minorEastAsia"/>
          <w:bCs/>
          <w:sz w:val="24"/>
        </w:rPr>
      </w:pPr>
      <w:r>
        <w:rPr>
          <w:rFonts w:hint="eastAsia" w:eastAsiaTheme="minorEastAsia"/>
          <w:bCs/>
          <w:sz w:val="24"/>
        </w:rPr>
        <w:t>原则上在入学后第</w:t>
      </w:r>
      <w:r>
        <w:rPr>
          <w:rFonts w:eastAsiaTheme="minorEastAsia"/>
          <w:bCs/>
          <w:sz w:val="24"/>
        </w:rPr>
        <w:t>3</w:t>
      </w:r>
      <w:r>
        <w:rPr>
          <w:rFonts w:hint="eastAsia" w:eastAsiaTheme="minorEastAsia"/>
          <w:bCs/>
          <w:sz w:val="24"/>
        </w:rPr>
        <w:t>学期（最迟不超过第</w:t>
      </w:r>
      <w:r>
        <w:rPr>
          <w:rFonts w:eastAsiaTheme="minorEastAsia"/>
          <w:bCs/>
          <w:sz w:val="24"/>
        </w:rPr>
        <w:t>4</w:t>
      </w:r>
      <w:r>
        <w:rPr>
          <w:rFonts w:hint="eastAsia" w:eastAsiaTheme="minorEastAsia"/>
          <w:bCs/>
          <w:sz w:val="24"/>
        </w:rPr>
        <w:t>学期）完成开题。开题由</w:t>
      </w:r>
      <w:r>
        <w:rPr>
          <w:rFonts w:eastAsiaTheme="minorEastAsia"/>
          <w:bCs/>
          <w:sz w:val="24"/>
        </w:rPr>
        <w:t>3</w:t>
      </w:r>
      <w:r>
        <w:rPr>
          <w:rFonts w:hint="eastAsia" w:eastAsiaTheme="minorEastAsia"/>
          <w:bCs/>
          <w:sz w:val="24"/>
        </w:rPr>
        <w:t>名以上具有高级专业技术职务人员参加，以学术报告的方式进行。</w:t>
      </w:r>
    </w:p>
    <w:p w14:paraId="2E9CBFA5">
      <w:pPr>
        <w:snapToGrid w:val="0"/>
        <w:spacing w:line="360" w:lineRule="auto"/>
        <w:ind w:firstLine="480" w:firstLineChars="200"/>
        <w:rPr>
          <w:rFonts w:eastAsiaTheme="minorEastAsia"/>
          <w:bCs/>
          <w:sz w:val="24"/>
        </w:rPr>
      </w:pPr>
      <w:r>
        <w:rPr>
          <w:rFonts w:eastAsiaTheme="minorEastAsia"/>
          <w:bCs/>
          <w:sz w:val="24"/>
        </w:rPr>
        <w:t>3.</w:t>
      </w:r>
      <w:r>
        <w:rPr>
          <w:rFonts w:hint="eastAsia"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bCs/>
          <w:sz w:val="24"/>
        </w:rPr>
        <w:t>5</w:t>
      </w:r>
      <w:r>
        <w:rPr>
          <w:rFonts w:hint="eastAsia" w:eastAsiaTheme="minorEastAsia"/>
          <w:bCs/>
          <w:sz w:val="24"/>
        </w:rPr>
        <w:t>学期进行；各导师组自行制定中期考核办法并组织考核。</w:t>
      </w:r>
    </w:p>
    <w:p w14:paraId="4E70EE63">
      <w:pPr>
        <w:snapToGrid w:val="0"/>
        <w:spacing w:line="360" w:lineRule="auto"/>
        <w:ind w:firstLine="480" w:firstLineChars="200"/>
        <w:rPr>
          <w:rFonts w:eastAsiaTheme="minorEastAsia"/>
          <w:bCs/>
          <w:sz w:val="24"/>
        </w:rPr>
      </w:pPr>
      <w:r>
        <w:rPr>
          <w:rFonts w:eastAsiaTheme="minorEastAsia"/>
          <w:bCs/>
          <w:sz w:val="24"/>
        </w:rPr>
        <w:t>4.</w:t>
      </w:r>
      <w:r>
        <w:rPr>
          <w:rFonts w:hint="eastAsia" w:eastAsiaTheme="minorEastAsia"/>
          <w:bCs/>
          <w:sz w:val="24"/>
        </w:rPr>
        <w:t>学位申请：达到学位授予条件的申请人，经导师同意后，应于答辩前三个月，向所属学位评定分委员会提出学位申请，提交学位申请材料。</w:t>
      </w:r>
    </w:p>
    <w:p w14:paraId="5D7636D0">
      <w:pPr>
        <w:snapToGrid w:val="0"/>
        <w:spacing w:line="360" w:lineRule="auto"/>
        <w:ind w:firstLine="480" w:firstLineChars="200"/>
        <w:rPr>
          <w:rFonts w:eastAsiaTheme="minorEastAsia"/>
          <w:bCs/>
          <w:sz w:val="24"/>
        </w:rPr>
      </w:pPr>
      <w:r>
        <w:rPr>
          <w:rFonts w:eastAsiaTheme="minorEastAsia"/>
          <w:bCs/>
          <w:sz w:val="24"/>
        </w:rPr>
        <w:t>5.</w:t>
      </w:r>
      <w:r>
        <w:rPr>
          <w:rFonts w:hint="eastAsia" w:eastAsiaTheme="minorEastAsia"/>
          <w:bCs/>
          <w:sz w:val="24"/>
        </w:rPr>
        <w:t>预答辩：学位申请人须进行学位论文预答辩。预答辩通过者，方可进入学位论文评阅、学位论文答辩等环节。学位（毕业）论文预答辩在正式答辩前</w:t>
      </w:r>
      <w:r>
        <w:rPr>
          <w:rFonts w:eastAsiaTheme="minorEastAsia"/>
          <w:bCs/>
          <w:sz w:val="24"/>
        </w:rPr>
        <w:t>3</w:t>
      </w:r>
      <w:r>
        <w:rPr>
          <w:rFonts w:hint="eastAsia" w:eastAsiaTheme="minorEastAsia"/>
          <w:bCs/>
          <w:sz w:val="24"/>
        </w:rPr>
        <w:t>个月进行。</w:t>
      </w:r>
    </w:p>
    <w:p w14:paraId="1B21A427">
      <w:pPr>
        <w:snapToGrid w:val="0"/>
        <w:spacing w:line="360" w:lineRule="auto"/>
        <w:ind w:firstLine="480" w:firstLineChars="200"/>
        <w:rPr>
          <w:rFonts w:eastAsiaTheme="minorEastAsia"/>
          <w:bCs/>
          <w:sz w:val="24"/>
        </w:rPr>
      </w:pPr>
      <w:r>
        <w:rPr>
          <w:rFonts w:eastAsiaTheme="minorEastAsia"/>
          <w:bCs/>
          <w:sz w:val="24"/>
        </w:rPr>
        <w:t>6.</w:t>
      </w:r>
      <w:r>
        <w:rPr>
          <w:rFonts w:hint="eastAsia" w:eastAsiaTheme="minorEastAsia"/>
          <w:bCs/>
          <w:sz w:val="24"/>
        </w:rPr>
        <w:t>论文评阅：学位（毕业）论文在获得导师组认可，经培养单位形式审查合格，并通过预答辩，方可提出进入评阅程序的申请。论文评阅在正式答辩前</w:t>
      </w:r>
      <w:r>
        <w:rPr>
          <w:rFonts w:eastAsiaTheme="minorEastAsia"/>
          <w:bCs/>
          <w:sz w:val="24"/>
        </w:rPr>
        <w:t>40</w:t>
      </w:r>
      <w:r>
        <w:rPr>
          <w:rFonts w:hint="eastAsia" w:eastAsiaTheme="minorEastAsia"/>
          <w:bCs/>
          <w:sz w:val="24"/>
        </w:rPr>
        <w:t>天由研究生提出，由培养单位依据相关规定进行匿名评审。评阅结果及异议处理按照《河北大学研究生学位论文或者实践成果评审管理办法》（校政字〔</w:t>
      </w:r>
      <w:r>
        <w:rPr>
          <w:rFonts w:eastAsiaTheme="minorEastAsia"/>
          <w:bCs/>
          <w:sz w:val="24"/>
        </w:rPr>
        <w:t>2025</w:t>
      </w:r>
      <w:r>
        <w:rPr>
          <w:rFonts w:hint="eastAsia" w:eastAsiaTheme="minorEastAsia"/>
          <w:bCs/>
          <w:sz w:val="24"/>
        </w:rPr>
        <w:t>〕</w:t>
      </w:r>
      <w:r>
        <w:rPr>
          <w:rFonts w:eastAsiaTheme="minorEastAsia"/>
          <w:bCs/>
          <w:sz w:val="24"/>
        </w:rPr>
        <w:t>8</w:t>
      </w:r>
      <w:r>
        <w:rPr>
          <w:rFonts w:hint="eastAsia" w:eastAsiaTheme="minorEastAsia"/>
          <w:bCs/>
          <w:sz w:val="24"/>
        </w:rPr>
        <w:t>号）执行。</w:t>
      </w:r>
    </w:p>
    <w:p w14:paraId="374E2B87">
      <w:pPr>
        <w:snapToGrid w:val="0"/>
        <w:spacing w:line="360" w:lineRule="auto"/>
        <w:ind w:firstLine="480" w:firstLineChars="200"/>
        <w:rPr>
          <w:rFonts w:eastAsiaTheme="minorEastAsia"/>
          <w:bCs/>
          <w:sz w:val="24"/>
        </w:rPr>
      </w:pPr>
      <w:r>
        <w:rPr>
          <w:rFonts w:eastAsiaTheme="minorEastAsia"/>
          <w:bCs/>
          <w:sz w:val="24"/>
        </w:rPr>
        <w:t>7.</w:t>
      </w:r>
      <w:r>
        <w:rPr>
          <w:rFonts w:hint="eastAsia" w:eastAsiaTheme="minorEastAsia"/>
          <w:bCs/>
          <w:sz w:val="24"/>
        </w:rPr>
        <w:t>答辩：学位（毕业）论文答辩按照《河北大学博士、硕士学位授予工作实施细则》（校政字〔</w:t>
      </w:r>
      <w:r>
        <w:rPr>
          <w:rFonts w:eastAsiaTheme="minorEastAsia"/>
          <w:bCs/>
          <w:sz w:val="24"/>
        </w:rPr>
        <w:t>2025</w:t>
      </w:r>
      <w:r>
        <w:rPr>
          <w:rFonts w:hint="eastAsia" w:eastAsiaTheme="minorEastAsia"/>
          <w:bCs/>
          <w:sz w:val="24"/>
        </w:rPr>
        <w:t>〕</w:t>
      </w:r>
      <w:r>
        <w:rPr>
          <w:rFonts w:eastAsiaTheme="minorEastAsia"/>
          <w:bCs/>
          <w:sz w:val="24"/>
        </w:rPr>
        <w:t>7</w:t>
      </w:r>
      <w:r>
        <w:rPr>
          <w:rFonts w:hint="eastAsia" w:eastAsiaTheme="minorEastAsia"/>
          <w:bCs/>
          <w:sz w:val="24"/>
        </w:rPr>
        <w:t>号）执行。</w:t>
      </w:r>
    </w:p>
    <w:p w14:paraId="4CE899CE">
      <w:pPr>
        <w:snapToGrid w:val="0"/>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170F5306">
      <w:pPr>
        <w:snapToGrid w:val="0"/>
        <w:spacing w:line="360" w:lineRule="auto"/>
        <w:ind w:firstLine="480" w:firstLineChars="200"/>
        <w:rPr>
          <w:rFonts w:eastAsiaTheme="minorEastAsia"/>
          <w:bCs/>
          <w:sz w:val="24"/>
        </w:rPr>
      </w:pPr>
      <w:r>
        <w:rPr>
          <w:rFonts w:eastAsiaTheme="minorEastAsia"/>
          <w:bCs/>
          <w:sz w:val="24"/>
        </w:rPr>
        <w:t>1.</w:t>
      </w:r>
      <w:r>
        <w:rPr>
          <w:rFonts w:hint="eastAsia" w:eastAsiaTheme="minorEastAsia"/>
          <w:bCs/>
          <w:sz w:val="24"/>
        </w:rPr>
        <w:t xml:space="preserve"> </w:t>
      </w:r>
      <w:r>
        <w:rPr>
          <w:rFonts w:eastAsiaTheme="minorEastAsia"/>
          <w:bCs/>
          <w:sz w:val="24"/>
        </w:rPr>
        <w:t>课程学习。研究生在规定修业年限内完成培养方案规定的课程学习，考核成绩合格，获得规定的学分。</w:t>
      </w:r>
    </w:p>
    <w:p w14:paraId="41F0CB38">
      <w:pPr>
        <w:snapToGrid w:val="0"/>
        <w:spacing w:line="360" w:lineRule="auto"/>
        <w:ind w:firstLine="480" w:firstLineChars="200"/>
        <w:rPr>
          <w:rFonts w:eastAsiaTheme="minorEastAsia"/>
          <w:sz w:val="24"/>
        </w:rPr>
      </w:pPr>
      <w:r>
        <w:rPr>
          <w:rFonts w:eastAsiaTheme="minorEastAsia"/>
          <w:bCs/>
          <w:sz w:val="24"/>
        </w:rPr>
        <w:t>2.</w:t>
      </w:r>
      <w:r>
        <w:rPr>
          <w:rFonts w:hint="eastAsia" w:eastAsiaTheme="minorEastAsia"/>
          <w:bCs/>
          <w:sz w:val="24"/>
        </w:rPr>
        <w:t xml:space="preserve"> </w:t>
      </w:r>
      <w:r>
        <w:rPr>
          <w:rFonts w:eastAsiaTheme="minorEastAsia"/>
          <w:bCs/>
          <w:sz w:val="24"/>
        </w:rPr>
        <w:t>学术活动。研究生</w:t>
      </w:r>
      <w:r>
        <w:rPr>
          <w:rFonts w:eastAsiaTheme="minorEastAsia"/>
          <w:sz w:val="24"/>
        </w:rPr>
        <w:t>在读期间参加不少于</w:t>
      </w:r>
      <w:r>
        <w:rPr>
          <w:rFonts w:eastAsiaTheme="minorEastAsia"/>
          <w:iCs/>
          <w:sz w:val="24"/>
        </w:rPr>
        <w:t>1</w:t>
      </w:r>
      <w:r>
        <w:rPr>
          <w:rFonts w:hint="eastAsia" w:eastAsiaTheme="minorEastAsia"/>
          <w:iCs/>
          <w:sz w:val="24"/>
        </w:rPr>
        <w:t>0</w:t>
      </w:r>
      <w:r>
        <w:rPr>
          <w:rFonts w:eastAsiaTheme="minorEastAsia"/>
          <w:sz w:val="24"/>
        </w:rPr>
        <w:t>次学术活动，并撰写学术报告小结；以主讲人或宣讲人身份，参加在校内外举行的学术报告或学术讲座不少于</w:t>
      </w:r>
      <w:r>
        <w:rPr>
          <w:rFonts w:eastAsiaTheme="minorEastAsia"/>
          <w:iCs/>
          <w:sz w:val="24"/>
        </w:rPr>
        <w:t>1</w:t>
      </w:r>
      <w:r>
        <w:rPr>
          <w:rFonts w:eastAsiaTheme="minorEastAsia"/>
          <w:sz w:val="24"/>
        </w:rPr>
        <w:t>次。</w:t>
      </w:r>
    </w:p>
    <w:p w14:paraId="4DB10C78">
      <w:pPr>
        <w:snapToGrid w:val="0"/>
        <w:spacing w:line="360" w:lineRule="auto"/>
        <w:ind w:firstLine="480" w:firstLineChars="200"/>
        <w:rPr>
          <w:rFonts w:eastAsiaTheme="minorEastAsia"/>
          <w:bCs/>
          <w:sz w:val="24"/>
        </w:rPr>
      </w:pPr>
      <w:r>
        <w:rPr>
          <w:rFonts w:eastAsiaTheme="minorEastAsia"/>
          <w:sz w:val="24"/>
        </w:rPr>
        <w:t xml:space="preserve">3. </w:t>
      </w:r>
      <w:r>
        <w:rPr>
          <w:rFonts w:hint="eastAsia" w:eastAsiaTheme="minorEastAsia"/>
          <w:sz w:val="24"/>
        </w:rPr>
        <w:t>提前毕业。</w:t>
      </w:r>
      <w:r>
        <w:rPr>
          <w:rFonts w:eastAsiaTheme="minorEastAsia"/>
          <w:sz w:val="24"/>
        </w:rPr>
        <w:t>符合《河北大学关于硕士研究生申请提前毕业的规定》（校研字〔2015〕5号）相关要求的，</w:t>
      </w:r>
      <w:r>
        <w:rPr>
          <w:rFonts w:eastAsiaTheme="minorEastAsia"/>
          <w:bCs/>
          <w:sz w:val="24"/>
        </w:rPr>
        <w:t>可申请</w:t>
      </w:r>
      <w:r>
        <w:rPr>
          <w:rFonts w:eastAsiaTheme="minorEastAsia"/>
          <w:sz w:val="24"/>
        </w:rPr>
        <w:t>提前毕业。</w:t>
      </w:r>
    </w:p>
    <w:p w14:paraId="2F7D81CB">
      <w:pPr>
        <w:snapToGrid w:val="0"/>
        <w:spacing w:line="360" w:lineRule="auto"/>
        <w:ind w:firstLine="480" w:firstLineChars="200"/>
        <w:rPr>
          <w:rFonts w:eastAsiaTheme="minorEastAsia"/>
          <w:bCs/>
          <w:sz w:val="24"/>
        </w:rPr>
      </w:pPr>
      <w:r>
        <w:rPr>
          <w:rFonts w:eastAsiaTheme="minorEastAsia"/>
          <w:bCs/>
          <w:sz w:val="24"/>
        </w:rPr>
        <w:t>4.</w:t>
      </w:r>
      <w:r>
        <w:rPr>
          <w:rFonts w:hint="eastAsia" w:eastAsiaTheme="minorEastAsia"/>
          <w:bCs/>
          <w:sz w:val="24"/>
        </w:rPr>
        <w:t xml:space="preserve"> </w:t>
      </w:r>
      <w:r>
        <w:rPr>
          <w:rFonts w:eastAsiaTheme="minorEastAsia"/>
          <w:bCs/>
          <w:sz w:val="24"/>
        </w:rPr>
        <w:t>论文答辩。学位（毕业）论文经专家评审合格、通过学位（毕业）答辩，符合毕业资格审查后，准予毕业。</w:t>
      </w:r>
    </w:p>
    <w:p w14:paraId="7CE91A90">
      <w:pPr>
        <w:snapToGrid w:val="0"/>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05E76CA">
      <w:pPr>
        <w:snapToGrid w:val="0"/>
        <w:spacing w:line="360" w:lineRule="auto"/>
        <w:ind w:firstLine="480" w:firstLineChars="200"/>
        <w:rPr>
          <w:color w:val="222222"/>
          <w:kern w:val="0"/>
          <w:sz w:val="24"/>
        </w:rPr>
      </w:pPr>
      <w:r>
        <w:rPr>
          <w:rFonts w:hint="eastAsia"/>
          <w:color w:val="222222"/>
          <w:kern w:val="0"/>
          <w:sz w:val="24"/>
        </w:rPr>
        <w:t>本专业的创新性成果包括但不仅限于：</w:t>
      </w:r>
    </w:p>
    <w:p w14:paraId="62FFE731">
      <w:pPr>
        <w:snapToGrid w:val="0"/>
        <w:spacing w:line="360" w:lineRule="auto"/>
        <w:ind w:firstLine="480" w:firstLineChars="200"/>
        <w:rPr>
          <w:color w:val="222222"/>
          <w:kern w:val="0"/>
          <w:sz w:val="24"/>
        </w:rPr>
      </w:pPr>
      <w:r>
        <w:rPr>
          <w:rFonts w:hint="eastAsia"/>
          <w:color w:val="222222"/>
          <w:kern w:val="0"/>
          <w:sz w:val="24"/>
        </w:rPr>
        <w:t>1. 学术论文</w:t>
      </w:r>
    </w:p>
    <w:p w14:paraId="0E552B67">
      <w:pPr>
        <w:snapToGrid w:val="0"/>
        <w:spacing w:line="360" w:lineRule="auto"/>
        <w:ind w:firstLine="480" w:firstLineChars="200"/>
        <w:rPr>
          <w:color w:val="222222"/>
          <w:kern w:val="0"/>
          <w:sz w:val="24"/>
        </w:rPr>
      </w:pPr>
      <w:r>
        <w:rPr>
          <w:rFonts w:hint="eastAsia"/>
          <w:color w:val="222222"/>
          <w:kern w:val="0"/>
          <w:sz w:val="24"/>
        </w:rPr>
        <w:t>发表期刊：国内外高水平期刊。</w:t>
      </w:r>
    </w:p>
    <w:p w14:paraId="746ED7C5">
      <w:pPr>
        <w:snapToGrid w:val="0"/>
        <w:spacing w:line="360" w:lineRule="auto"/>
        <w:ind w:firstLine="480" w:firstLineChars="200"/>
        <w:rPr>
          <w:color w:val="222222"/>
          <w:kern w:val="0"/>
          <w:sz w:val="24"/>
        </w:rPr>
      </w:pPr>
      <w:r>
        <w:rPr>
          <w:rFonts w:hint="eastAsia"/>
          <w:color w:val="222222"/>
          <w:kern w:val="0"/>
          <w:sz w:val="24"/>
        </w:rPr>
        <w:t>发表会议论文：国际 / 国内重要学术会议。</w:t>
      </w:r>
    </w:p>
    <w:p w14:paraId="5B589A19">
      <w:pPr>
        <w:snapToGrid w:val="0"/>
        <w:spacing w:line="360" w:lineRule="auto"/>
        <w:ind w:firstLine="480" w:firstLineChars="200"/>
        <w:rPr>
          <w:color w:val="222222"/>
          <w:kern w:val="0"/>
          <w:sz w:val="24"/>
        </w:rPr>
      </w:pPr>
      <w:r>
        <w:rPr>
          <w:rFonts w:hint="eastAsia"/>
          <w:color w:val="222222"/>
          <w:kern w:val="0"/>
          <w:sz w:val="24"/>
        </w:rPr>
        <w:t>2. 研究报告</w:t>
      </w:r>
    </w:p>
    <w:p w14:paraId="711CA2E5">
      <w:pPr>
        <w:snapToGrid w:val="0"/>
        <w:spacing w:line="360" w:lineRule="auto"/>
        <w:ind w:firstLine="480" w:firstLineChars="200"/>
        <w:rPr>
          <w:color w:val="222222"/>
          <w:kern w:val="0"/>
          <w:sz w:val="24"/>
        </w:rPr>
      </w:pPr>
      <w:r>
        <w:rPr>
          <w:rFonts w:hint="eastAsia"/>
          <w:color w:val="222222"/>
          <w:kern w:val="0"/>
          <w:sz w:val="24"/>
        </w:rPr>
        <w:t>政策建议：针对政府或行业的管理政策提出可行性方案并获得有关部门领导批示。</w:t>
      </w:r>
    </w:p>
    <w:p w14:paraId="51E63955">
      <w:pPr>
        <w:snapToGrid w:val="0"/>
        <w:spacing w:line="360" w:lineRule="auto"/>
        <w:ind w:firstLine="480" w:firstLineChars="200"/>
        <w:rPr>
          <w:color w:val="222222"/>
          <w:kern w:val="0"/>
          <w:sz w:val="24"/>
        </w:rPr>
      </w:pPr>
      <w:r>
        <w:rPr>
          <w:rFonts w:hint="eastAsia"/>
          <w:color w:val="222222"/>
          <w:kern w:val="0"/>
          <w:sz w:val="24"/>
        </w:rPr>
        <w:t>3. 案例开发</w:t>
      </w:r>
    </w:p>
    <w:p w14:paraId="083252EA">
      <w:pPr>
        <w:snapToGrid w:val="0"/>
        <w:spacing w:line="360" w:lineRule="auto"/>
        <w:ind w:firstLine="480" w:firstLineChars="200"/>
        <w:rPr>
          <w:color w:val="222222"/>
          <w:kern w:val="0"/>
          <w:sz w:val="24"/>
        </w:rPr>
      </w:pPr>
      <w:r>
        <w:rPr>
          <w:rFonts w:hint="eastAsia"/>
          <w:color w:val="222222"/>
          <w:kern w:val="0"/>
          <w:sz w:val="24"/>
        </w:rPr>
        <w:t>教学案例：开发具有典型性的公共管理案例，用于教学或研究。</w:t>
      </w:r>
    </w:p>
    <w:p w14:paraId="0DA3971B">
      <w:pPr>
        <w:snapToGrid w:val="0"/>
        <w:spacing w:line="360" w:lineRule="auto"/>
        <w:ind w:firstLine="480" w:firstLineChars="200"/>
        <w:rPr>
          <w:color w:val="222222"/>
          <w:kern w:val="0"/>
          <w:sz w:val="24"/>
        </w:rPr>
      </w:pPr>
      <w:r>
        <w:rPr>
          <w:rFonts w:hint="eastAsia"/>
          <w:color w:val="222222"/>
          <w:kern w:val="0"/>
          <w:sz w:val="24"/>
        </w:rPr>
        <w:t>案例库建设：参与国家级 / 省级管理案例库的编写或更新。</w:t>
      </w:r>
    </w:p>
    <w:p w14:paraId="57E88DD8">
      <w:pPr>
        <w:snapToGrid w:val="0"/>
        <w:spacing w:line="360" w:lineRule="auto"/>
        <w:ind w:firstLine="480" w:firstLineChars="200"/>
        <w:rPr>
          <w:color w:val="222222"/>
          <w:kern w:val="0"/>
          <w:sz w:val="24"/>
        </w:rPr>
      </w:pPr>
      <w:r>
        <w:rPr>
          <w:rFonts w:hint="eastAsia"/>
          <w:color w:val="222222"/>
          <w:kern w:val="0"/>
          <w:sz w:val="24"/>
        </w:rPr>
        <w:t>4. 科研实践</w:t>
      </w:r>
    </w:p>
    <w:p w14:paraId="1D2BEB58">
      <w:pPr>
        <w:snapToGrid w:val="0"/>
        <w:spacing w:line="360" w:lineRule="auto"/>
        <w:ind w:firstLine="480" w:firstLineChars="200"/>
        <w:rPr>
          <w:color w:val="222222"/>
          <w:kern w:val="0"/>
          <w:sz w:val="24"/>
        </w:rPr>
      </w:pPr>
      <w:r>
        <w:rPr>
          <w:rFonts w:hint="eastAsia"/>
          <w:color w:val="222222"/>
          <w:kern w:val="0"/>
          <w:sz w:val="24"/>
        </w:rPr>
        <w:t>科研项目：参与纵向课题或企业横向课题。</w:t>
      </w:r>
    </w:p>
    <w:p w14:paraId="71B81209">
      <w:pPr>
        <w:snapToGrid w:val="0"/>
        <w:spacing w:line="360" w:lineRule="auto"/>
        <w:ind w:firstLine="480" w:firstLineChars="200"/>
        <w:rPr>
          <w:color w:val="222222"/>
          <w:kern w:val="0"/>
          <w:sz w:val="24"/>
        </w:rPr>
      </w:pPr>
      <w:r>
        <w:rPr>
          <w:rFonts w:hint="eastAsia"/>
          <w:color w:val="222222"/>
          <w:kern w:val="0"/>
          <w:sz w:val="24"/>
        </w:rPr>
        <w:t>获得专业相关竞赛三等奖以上</w:t>
      </w:r>
    </w:p>
    <w:p w14:paraId="2BE5306C">
      <w:pPr>
        <w:snapToGrid w:val="0"/>
        <w:spacing w:line="360" w:lineRule="auto"/>
        <w:ind w:firstLine="560" w:firstLineChars="200"/>
        <w:rPr>
          <w:rFonts w:eastAsia="黑体"/>
          <w:bCs/>
          <w:sz w:val="28"/>
          <w:szCs w:val="28"/>
        </w:rPr>
      </w:pPr>
      <w:r>
        <w:rPr>
          <w:rFonts w:eastAsia="黑体"/>
          <w:bCs/>
          <w:sz w:val="28"/>
          <w:szCs w:val="28"/>
        </w:rPr>
        <w:t>十一、学位授予</w:t>
      </w:r>
    </w:p>
    <w:p w14:paraId="127F72B5">
      <w:pPr>
        <w:snapToGrid w:val="0"/>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3E604A91">
      <w:pPr>
        <w:snapToGrid w:val="0"/>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0F197B17">
      <w:pPr>
        <w:snapToGrid w:val="0"/>
        <w:spacing w:line="360" w:lineRule="auto"/>
        <w:ind w:firstLine="480" w:firstLineChars="200"/>
        <w:rPr>
          <w:color w:val="222222"/>
          <w:kern w:val="0"/>
          <w:sz w:val="24"/>
        </w:rPr>
      </w:pPr>
      <w:r>
        <w:rPr>
          <w:color w:val="222222"/>
          <w:kern w:val="0"/>
          <w:sz w:val="24"/>
        </w:rPr>
        <w:t>本专业最低毕业学分为</w:t>
      </w:r>
      <w:r>
        <w:rPr>
          <w:rFonts w:hint="eastAsia"/>
          <w:color w:val="222222"/>
          <w:kern w:val="0"/>
          <w:sz w:val="24"/>
        </w:rPr>
        <w:t>28</w:t>
      </w:r>
      <w:r>
        <w:rPr>
          <w:color w:val="222222"/>
          <w:kern w:val="0"/>
          <w:sz w:val="24"/>
        </w:rPr>
        <w:t>分，其中学位课</w:t>
      </w:r>
      <w:r>
        <w:rPr>
          <w:rFonts w:hint="eastAsia"/>
          <w:color w:val="222222"/>
          <w:kern w:val="0"/>
          <w:sz w:val="24"/>
        </w:rPr>
        <w:t>18</w:t>
      </w:r>
      <w:r>
        <w:rPr>
          <w:color w:val="222222"/>
          <w:kern w:val="0"/>
          <w:sz w:val="24"/>
        </w:rPr>
        <w:t>学分，非学位课</w:t>
      </w:r>
      <w:r>
        <w:rPr>
          <w:rFonts w:hint="eastAsia"/>
          <w:color w:val="222222"/>
          <w:kern w:val="0"/>
          <w:sz w:val="24"/>
        </w:rPr>
        <w:t>10</w:t>
      </w:r>
      <w:r>
        <w:rPr>
          <w:color w:val="222222"/>
          <w:kern w:val="0"/>
          <w:sz w:val="24"/>
        </w:rPr>
        <w:t>学分，必修环节</w:t>
      </w:r>
      <w:r>
        <w:rPr>
          <w:rFonts w:hint="eastAsia"/>
          <w:color w:val="222222"/>
          <w:kern w:val="0"/>
          <w:sz w:val="24"/>
        </w:rPr>
        <w:t>2</w:t>
      </w:r>
      <w:r>
        <w:rPr>
          <w:color w:val="222222"/>
          <w:kern w:val="0"/>
          <w:sz w:val="24"/>
        </w:rPr>
        <w:t>分。</w:t>
      </w:r>
    </w:p>
    <w:p w14:paraId="5F93CFBC">
      <w:pPr>
        <w:snapToGrid w:val="0"/>
        <w:spacing w:line="360" w:lineRule="auto"/>
        <w:ind w:firstLine="480" w:firstLineChars="200"/>
        <w:rPr>
          <w:color w:val="222222"/>
          <w:kern w:val="0"/>
          <w:sz w:val="24"/>
        </w:rPr>
      </w:pPr>
      <w:r>
        <w:rPr>
          <w:color w:val="222222"/>
          <w:kern w:val="0"/>
          <w:sz w:val="24"/>
        </w:rPr>
        <w:t>课程考试不设补考环节，考试成绩低于60分的需重修。</w:t>
      </w:r>
    </w:p>
    <w:p w14:paraId="449549D8">
      <w:pPr>
        <w:snapToGrid w:val="0"/>
        <w:spacing w:line="360" w:lineRule="auto"/>
        <w:ind w:firstLine="480" w:firstLineChars="200"/>
        <w:rPr>
          <w:color w:val="222222"/>
          <w:kern w:val="0"/>
          <w:sz w:val="24"/>
        </w:rPr>
      </w:pPr>
      <w:r>
        <w:rPr>
          <w:color w:val="222222"/>
          <w:kern w:val="0"/>
          <w:sz w:val="24"/>
        </w:rPr>
        <w:t>课程考核方式包括考试和考查，可以采用口试、笔试或写读书报告、论文的形式，但应有—定数量的笔试（各专业根据实际情况填写）。无论采取何种考核方式，均应能真实反映学生对所学课程掌握的程度及运用知识的能力。</w:t>
      </w:r>
    </w:p>
    <w:p w14:paraId="67146F2E">
      <w:pPr>
        <w:snapToGrid w:val="0"/>
        <w:spacing w:line="360" w:lineRule="auto"/>
        <w:ind w:firstLine="482" w:firstLineChars="200"/>
        <w:jc w:val="center"/>
        <w:rPr>
          <w:rFonts w:eastAsiaTheme="minorEastAsia"/>
          <w:b/>
          <w:bCs/>
          <w:sz w:val="24"/>
        </w:rPr>
      </w:pPr>
    </w:p>
    <w:p w14:paraId="55F1CBAD">
      <w:pPr>
        <w:snapToGrid w:val="0"/>
        <w:spacing w:line="360" w:lineRule="auto"/>
        <w:ind w:firstLine="482" w:firstLineChars="200"/>
        <w:jc w:val="center"/>
        <w:rPr>
          <w:rFonts w:eastAsiaTheme="minorEastAsia"/>
          <w:b/>
          <w:bCs/>
          <w:sz w:val="24"/>
        </w:rPr>
      </w:pPr>
    </w:p>
    <w:p w14:paraId="15FA2C01">
      <w:pPr>
        <w:snapToGrid w:val="0"/>
        <w:spacing w:line="360" w:lineRule="auto"/>
        <w:ind w:firstLine="482" w:firstLineChars="200"/>
        <w:jc w:val="center"/>
        <w:rPr>
          <w:rFonts w:eastAsiaTheme="minorEastAsia"/>
          <w:b/>
          <w:bCs/>
          <w:sz w:val="24"/>
        </w:rPr>
      </w:pPr>
    </w:p>
    <w:p w14:paraId="413752EE">
      <w:pPr>
        <w:snapToGrid w:val="0"/>
        <w:spacing w:line="360" w:lineRule="auto"/>
        <w:ind w:firstLine="482" w:firstLineChars="200"/>
        <w:jc w:val="center"/>
        <w:rPr>
          <w:rFonts w:eastAsiaTheme="minorEastAsia"/>
          <w:b/>
          <w:bCs/>
          <w:sz w:val="24"/>
        </w:rPr>
      </w:pPr>
      <w:r>
        <w:rPr>
          <w:rFonts w:hint="eastAsia" w:eastAsiaTheme="minorEastAsia"/>
          <w:b/>
          <w:bCs/>
          <w:sz w:val="24"/>
        </w:rPr>
        <w:t xml:space="preserve">教育经济与管理 </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77E73E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shd w:val="clear" w:color="auto" w:fill="auto"/>
            <w:vAlign w:val="center"/>
          </w:tcPr>
          <w:p w14:paraId="02755712">
            <w:pPr>
              <w:snapToGrid w:val="0"/>
              <w:spacing w:line="360" w:lineRule="auto"/>
              <w:jc w:val="center"/>
              <w:rPr>
                <w:b/>
                <w:szCs w:val="21"/>
              </w:rPr>
            </w:pPr>
            <w:r>
              <w:rPr>
                <w:b/>
                <w:szCs w:val="21"/>
              </w:rPr>
              <w:t>课程类别</w:t>
            </w:r>
          </w:p>
        </w:tc>
        <w:tc>
          <w:tcPr>
            <w:tcW w:w="3516" w:type="dxa"/>
            <w:shd w:val="clear" w:color="auto" w:fill="auto"/>
            <w:vAlign w:val="center"/>
          </w:tcPr>
          <w:p w14:paraId="6A9A0283">
            <w:pPr>
              <w:snapToGrid w:val="0"/>
              <w:spacing w:line="360" w:lineRule="auto"/>
              <w:jc w:val="center"/>
              <w:rPr>
                <w:b/>
                <w:szCs w:val="21"/>
              </w:rPr>
            </w:pPr>
            <w:r>
              <w:rPr>
                <w:b/>
                <w:szCs w:val="21"/>
              </w:rPr>
              <w:t>课程说明</w:t>
            </w:r>
          </w:p>
        </w:tc>
        <w:tc>
          <w:tcPr>
            <w:tcW w:w="1081" w:type="dxa"/>
            <w:shd w:val="clear" w:color="auto" w:fill="auto"/>
            <w:vAlign w:val="center"/>
          </w:tcPr>
          <w:p w14:paraId="315F458B">
            <w:pPr>
              <w:snapToGrid w:val="0"/>
              <w:spacing w:line="360" w:lineRule="auto"/>
              <w:jc w:val="center"/>
              <w:rPr>
                <w:b/>
                <w:szCs w:val="21"/>
              </w:rPr>
            </w:pPr>
            <w:r>
              <w:rPr>
                <w:b/>
                <w:szCs w:val="21"/>
              </w:rPr>
              <w:t>课程编号</w:t>
            </w:r>
          </w:p>
        </w:tc>
        <w:tc>
          <w:tcPr>
            <w:tcW w:w="709" w:type="dxa"/>
            <w:shd w:val="clear" w:color="auto" w:fill="auto"/>
            <w:vAlign w:val="center"/>
          </w:tcPr>
          <w:p w14:paraId="2EFBA9D5">
            <w:pPr>
              <w:snapToGrid w:val="0"/>
              <w:spacing w:line="360" w:lineRule="auto"/>
              <w:jc w:val="center"/>
              <w:rPr>
                <w:b/>
                <w:szCs w:val="21"/>
              </w:rPr>
            </w:pPr>
            <w:r>
              <w:rPr>
                <w:b/>
                <w:szCs w:val="21"/>
              </w:rPr>
              <w:t>学分</w:t>
            </w:r>
          </w:p>
        </w:tc>
        <w:tc>
          <w:tcPr>
            <w:tcW w:w="709" w:type="dxa"/>
            <w:shd w:val="clear" w:color="auto" w:fill="auto"/>
            <w:vAlign w:val="center"/>
          </w:tcPr>
          <w:p w14:paraId="07AF1D09">
            <w:pPr>
              <w:snapToGrid w:val="0"/>
              <w:spacing w:line="360" w:lineRule="auto"/>
              <w:jc w:val="center"/>
              <w:rPr>
                <w:b/>
                <w:szCs w:val="21"/>
              </w:rPr>
            </w:pPr>
            <w:r>
              <w:rPr>
                <w:b/>
                <w:szCs w:val="21"/>
              </w:rPr>
              <w:t>学期</w:t>
            </w:r>
          </w:p>
        </w:tc>
        <w:tc>
          <w:tcPr>
            <w:tcW w:w="1045" w:type="dxa"/>
            <w:shd w:val="clear" w:color="auto" w:fill="auto"/>
            <w:vAlign w:val="center"/>
          </w:tcPr>
          <w:p w14:paraId="63F98EC6">
            <w:pPr>
              <w:snapToGrid w:val="0"/>
              <w:spacing w:line="360" w:lineRule="auto"/>
              <w:jc w:val="center"/>
              <w:rPr>
                <w:b/>
                <w:szCs w:val="21"/>
              </w:rPr>
            </w:pPr>
            <w:r>
              <w:rPr>
                <w:b/>
                <w:szCs w:val="21"/>
              </w:rPr>
              <w:t>备注</w:t>
            </w:r>
          </w:p>
        </w:tc>
      </w:tr>
      <w:tr w14:paraId="2DA81A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shd w:val="clear" w:color="auto" w:fill="auto"/>
            <w:vAlign w:val="center"/>
          </w:tcPr>
          <w:p w14:paraId="7D45AB01">
            <w:pPr>
              <w:snapToGrid w:val="0"/>
              <w:spacing w:line="360" w:lineRule="auto"/>
              <w:jc w:val="center"/>
              <w:rPr>
                <w:b/>
                <w:sz w:val="18"/>
                <w:szCs w:val="18"/>
              </w:rPr>
            </w:pPr>
            <w:bookmarkStart w:id="2" w:name="_GoBack" w:colFirst="2" w:colLast="2"/>
            <w:r>
              <w:rPr>
                <w:b/>
                <w:sz w:val="18"/>
                <w:szCs w:val="18"/>
              </w:rPr>
              <w:t>学位课</w:t>
            </w:r>
          </w:p>
        </w:tc>
        <w:tc>
          <w:tcPr>
            <w:tcW w:w="1226" w:type="dxa"/>
            <w:vMerge w:val="restart"/>
            <w:shd w:val="clear" w:color="auto" w:fill="auto"/>
            <w:vAlign w:val="center"/>
          </w:tcPr>
          <w:p w14:paraId="74BE3D78">
            <w:pPr>
              <w:snapToGrid w:val="0"/>
              <w:spacing w:line="360" w:lineRule="auto"/>
              <w:jc w:val="center"/>
              <w:rPr>
                <w:b/>
                <w:sz w:val="18"/>
                <w:szCs w:val="18"/>
              </w:rPr>
            </w:pPr>
            <w:r>
              <w:rPr>
                <w:b/>
                <w:sz w:val="18"/>
                <w:szCs w:val="18"/>
              </w:rPr>
              <w:t>公共必修课</w:t>
            </w:r>
          </w:p>
          <w:p w14:paraId="41492B64">
            <w:pPr>
              <w:snapToGrid w:val="0"/>
              <w:spacing w:line="360" w:lineRule="auto"/>
              <w:jc w:val="center"/>
              <w:rPr>
                <w:b/>
                <w:sz w:val="18"/>
                <w:szCs w:val="18"/>
              </w:rPr>
            </w:pPr>
            <w:r>
              <w:rPr>
                <w:b/>
                <w:sz w:val="18"/>
                <w:szCs w:val="18"/>
              </w:rPr>
              <w:t>（</w:t>
            </w:r>
            <w:r>
              <w:rPr>
                <w:rFonts w:hint="eastAsia"/>
                <w:b/>
                <w:sz w:val="18"/>
                <w:szCs w:val="18"/>
              </w:rPr>
              <w:t>4</w:t>
            </w:r>
            <w:r>
              <w:rPr>
                <w:b/>
                <w:sz w:val="18"/>
                <w:szCs w:val="18"/>
              </w:rPr>
              <w:t>学分）</w:t>
            </w:r>
          </w:p>
        </w:tc>
        <w:tc>
          <w:tcPr>
            <w:tcW w:w="3516" w:type="dxa"/>
            <w:shd w:val="clear" w:color="auto" w:fill="auto"/>
            <w:vAlign w:val="center"/>
          </w:tcPr>
          <w:p w14:paraId="2F126C7A">
            <w:pPr>
              <w:snapToGrid w:val="0"/>
              <w:spacing w:line="360" w:lineRule="auto"/>
              <w:jc w:val="left"/>
              <w:rPr>
                <w:sz w:val="18"/>
                <w:szCs w:val="18"/>
              </w:rPr>
            </w:pPr>
            <w:r>
              <w:rPr>
                <w:sz w:val="18"/>
                <w:szCs w:val="18"/>
              </w:rPr>
              <w:t>新时代中国特色社会主义理论与实践</w:t>
            </w:r>
          </w:p>
        </w:tc>
        <w:tc>
          <w:tcPr>
            <w:tcW w:w="1081" w:type="dxa"/>
            <w:shd w:val="clear" w:color="auto" w:fill="auto"/>
            <w:vAlign w:val="center"/>
          </w:tcPr>
          <w:p w14:paraId="70D8534B">
            <w:pPr>
              <w:snapToGrid w:val="0"/>
              <w:spacing w:line="360" w:lineRule="auto"/>
              <w:jc w:val="center"/>
              <w:rPr>
                <w:sz w:val="18"/>
                <w:szCs w:val="18"/>
              </w:rPr>
            </w:pPr>
            <w:r>
              <w:rPr>
                <w:sz w:val="18"/>
                <w:szCs w:val="18"/>
              </w:rPr>
              <w:t>TS0000001</w:t>
            </w:r>
          </w:p>
        </w:tc>
        <w:tc>
          <w:tcPr>
            <w:tcW w:w="709" w:type="dxa"/>
            <w:shd w:val="clear" w:color="auto" w:fill="auto"/>
            <w:vAlign w:val="center"/>
          </w:tcPr>
          <w:p w14:paraId="36004F52">
            <w:pPr>
              <w:snapToGrid w:val="0"/>
              <w:spacing w:line="360" w:lineRule="auto"/>
              <w:jc w:val="center"/>
              <w:rPr>
                <w:sz w:val="18"/>
                <w:szCs w:val="18"/>
              </w:rPr>
            </w:pPr>
            <w:r>
              <w:rPr>
                <w:sz w:val="18"/>
                <w:szCs w:val="18"/>
              </w:rPr>
              <w:t>2</w:t>
            </w:r>
          </w:p>
        </w:tc>
        <w:tc>
          <w:tcPr>
            <w:tcW w:w="709" w:type="dxa"/>
            <w:shd w:val="clear" w:color="auto" w:fill="auto"/>
            <w:vAlign w:val="center"/>
          </w:tcPr>
          <w:p w14:paraId="44EFC5FE">
            <w:pPr>
              <w:snapToGrid w:val="0"/>
              <w:spacing w:line="360" w:lineRule="auto"/>
              <w:jc w:val="center"/>
              <w:rPr>
                <w:sz w:val="18"/>
                <w:szCs w:val="18"/>
              </w:rPr>
            </w:pPr>
            <w:r>
              <w:rPr>
                <w:sz w:val="18"/>
                <w:szCs w:val="18"/>
              </w:rPr>
              <w:t>1</w:t>
            </w:r>
          </w:p>
        </w:tc>
        <w:tc>
          <w:tcPr>
            <w:tcW w:w="1045" w:type="dxa"/>
            <w:shd w:val="clear" w:color="auto" w:fill="auto"/>
            <w:vAlign w:val="center"/>
          </w:tcPr>
          <w:p w14:paraId="3D8B8CDF">
            <w:pPr>
              <w:snapToGrid w:val="0"/>
              <w:spacing w:line="360" w:lineRule="auto"/>
              <w:jc w:val="center"/>
              <w:rPr>
                <w:sz w:val="18"/>
                <w:szCs w:val="18"/>
              </w:rPr>
            </w:pPr>
            <w:r>
              <w:rPr>
                <w:rFonts w:hint="eastAsia"/>
                <w:sz w:val="18"/>
                <w:szCs w:val="18"/>
              </w:rPr>
              <w:t>考试</w:t>
            </w:r>
          </w:p>
        </w:tc>
      </w:tr>
      <w:tr w14:paraId="4F2617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shd w:val="clear" w:color="auto" w:fill="auto"/>
            <w:vAlign w:val="center"/>
          </w:tcPr>
          <w:p w14:paraId="48CF0139">
            <w:pPr>
              <w:snapToGrid w:val="0"/>
              <w:spacing w:line="360" w:lineRule="auto"/>
              <w:jc w:val="center"/>
              <w:rPr>
                <w:b/>
                <w:sz w:val="18"/>
                <w:szCs w:val="18"/>
              </w:rPr>
            </w:pPr>
          </w:p>
        </w:tc>
        <w:tc>
          <w:tcPr>
            <w:tcW w:w="1226" w:type="dxa"/>
            <w:vMerge w:val="continue"/>
            <w:shd w:val="clear" w:color="auto" w:fill="auto"/>
            <w:vAlign w:val="center"/>
          </w:tcPr>
          <w:p w14:paraId="486EB602">
            <w:pPr>
              <w:snapToGrid w:val="0"/>
              <w:spacing w:line="360" w:lineRule="auto"/>
              <w:jc w:val="center"/>
              <w:rPr>
                <w:b/>
                <w:sz w:val="18"/>
                <w:szCs w:val="18"/>
              </w:rPr>
            </w:pPr>
          </w:p>
        </w:tc>
        <w:tc>
          <w:tcPr>
            <w:tcW w:w="3516" w:type="dxa"/>
            <w:shd w:val="clear" w:color="auto" w:fill="auto"/>
            <w:vAlign w:val="center"/>
          </w:tcPr>
          <w:p w14:paraId="5A493D72">
            <w:pPr>
              <w:snapToGrid w:val="0"/>
              <w:spacing w:line="360" w:lineRule="auto"/>
              <w:jc w:val="left"/>
              <w:rPr>
                <w:sz w:val="18"/>
                <w:szCs w:val="18"/>
              </w:rPr>
            </w:pPr>
            <w:r>
              <w:rPr>
                <w:sz w:val="18"/>
                <w:szCs w:val="18"/>
              </w:rPr>
              <w:t>通用学术英语</w:t>
            </w:r>
          </w:p>
        </w:tc>
        <w:tc>
          <w:tcPr>
            <w:tcW w:w="1081" w:type="dxa"/>
            <w:shd w:val="clear" w:color="auto" w:fill="auto"/>
            <w:vAlign w:val="center"/>
          </w:tcPr>
          <w:p w14:paraId="46C72CA2">
            <w:pPr>
              <w:snapToGrid w:val="0"/>
              <w:spacing w:line="360" w:lineRule="auto"/>
              <w:jc w:val="center"/>
              <w:rPr>
                <w:sz w:val="18"/>
                <w:szCs w:val="18"/>
              </w:rPr>
            </w:pPr>
            <w:bookmarkStart w:id="1" w:name="OLE_LINK3"/>
            <w:r>
              <w:rPr>
                <w:sz w:val="18"/>
                <w:szCs w:val="18"/>
              </w:rPr>
              <w:t>TS0000002</w:t>
            </w:r>
            <w:bookmarkEnd w:id="1"/>
          </w:p>
        </w:tc>
        <w:tc>
          <w:tcPr>
            <w:tcW w:w="709" w:type="dxa"/>
            <w:shd w:val="clear" w:color="auto" w:fill="auto"/>
            <w:vAlign w:val="center"/>
          </w:tcPr>
          <w:p w14:paraId="6208241B">
            <w:pPr>
              <w:snapToGrid w:val="0"/>
              <w:spacing w:line="360" w:lineRule="auto"/>
              <w:jc w:val="center"/>
              <w:rPr>
                <w:sz w:val="18"/>
                <w:szCs w:val="18"/>
              </w:rPr>
            </w:pPr>
            <w:r>
              <w:rPr>
                <w:sz w:val="18"/>
                <w:szCs w:val="18"/>
              </w:rPr>
              <w:t>2</w:t>
            </w:r>
          </w:p>
        </w:tc>
        <w:tc>
          <w:tcPr>
            <w:tcW w:w="709" w:type="dxa"/>
            <w:shd w:val="clear" w:color="auto" w:fill="auto"/>
            <w:vAlign w:val="center"/>
          </w:tcPr>
          <w:p w14:paraId="6D5E172B">
            <w:pPr>
              <w:snapToGrid w:val="0"/>
              <w:spacing w:line="360" w:lineRule="auto"/>
              <w:jc w:val="center"/>
              <w:rPr>
                <w:sz w:val="18"/>
                <w:szCs w:val="18"/>
              </w:rPr>
            </w:pPr>
            <w:r>
              <w:rPr>
                <w:sz w:val="18"/>
                <w:szCs w:val="18"/>
              </w:rPr>
              <w:t>1</w:t>
            </w:r>
          </w:p>
        </w:tc>
        <w:tc>
          <w:tcPr>
            <w:tcW w:w="1045" w:type="dxa"/>
            <w:shd w:val="clear" w:color="auto" w:fill="auto"/>
            <w:vAlign w:val="center"/>
          </w:tcPr>
          <w:p w14:paraId="4DABB406">
            <w:pPr>
              <w:snapToGrid w:val="0"/>
              <w:spacing w:line="360" w:lineRule="auto"/>
              <w:jc w:val="center"/>
              <w:rPr>
                <w:sz w:val="18"/>
                <w:szCs w:val="18"/>
              </w:rPr>
            </w:pPr>
            <w:r>
              <w:rPr>
                <w:rFonts w:hint="eastAsia"/>
                <w:sz w:val="18"/>
                <w:szCs w:val="18"/>
              </w:rPr>
              <w:t>考试</w:t>
            </w:r>
          </w:p>
        </w:tc>
      </w:tr>
      <w:tr w14:paraId="6C5DE5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1F76B730">
            <w:pPr>
              <w:snapToGrid w:val="0"/>
              <w:spacing w:line="360" w:lineRule="auto"/>
              <w:jc w:val="center"/>
              <w:rPr>
                <w:b/>
                <w:sz w:val="18"/>
                <w:szCs w:val="18"/>
              </w:rPr>
            </w:pPr>
          </w:p>
        </w:tc>
        <w:tc>
          <w:tcPr>
            <w:tcW w:w="1226" w:type="dxa"/>
            <w:vMerge w:val="restart"/>
            <w:shd w:val="clear" w:color="auto" w:fill="auto"/>
            <w:vAlign w:val="center"/>
          </w:tcPr>
          <w:p w14:paraId="285E7DBD">
            <w:pPr>
              <w:snapToGrid w:val="0"/>
              <w:spacing w:line="360" w:lineRule="auto"/>
              <w:jc w:val="center"/>
              <w:rPr>
                <w:b/>
                <w:sz w:val="18"/>
                <w:szCs w:val="18"/>
              </w:rPr>
            </w:pPr>
            <w:r>
              <w:rPr>
                <w:b/>
                <w:sz w:val="18"/>
                <w:szCs w:val="18"/>
              </w:rPr>
              <w:t>学科基础课</w:t>
            </w:r>
          </w:p>
          <w:p w14:paraId="4C0A7235">
            <w:pPr>
              <w:snapToGrid w:val="0"/>
              <w:spacing w:line="360" w:lineRule="auto"/>
              <w:jc w:val="center"/>
              <w:rPr>
                <w:b/>
                <w:sz w:val="18"/>
                <w:szCs w:val="18"/>
              </w:rPr>
            </w:pPr>
            <w:r>
              <w:rPr>
                <w:b/>
                <w:sz w:val="18"/>
                <w:szCs w:val="18"/>
              </w:rPr>
              <w:t>（≥*学分）</w:t>
            </w:r>
          </w:p>
        </w:tc>
        <w:tc>
          <w:tcPr>
            <w:tcW w:w="3516" w:type="dxa"/>
            <w:shd w:val="clear" w:color="auto" w:fill="auto"/>
            <w:vAlign w:val="center"/>
          </w:tcPr>
          <w:p w14:paraId="47CC3E16">
            <w:pPr>
              <w:snapToGrid w:val="0"/>
              <w:spacing w:line="360" w:lineRule="auto"/>
              <w:jc w:val="left"/>
              <w:rPr>
                <w:sz w:val="18"/>
                <w:szCs w:val="18"/>
              </w:rPr>
            </w:pPr>
            <w:r>
              <w:rPr>
                <w:rFonts w:hint="eastAsia"/>
                <w:sz w:val="18"/>
                <w:szCs w:val="18"/>
                <w:lang w:val="en-US" w:eastAsia="zh-CN"/>
              </w:rPr>
              <w:t>学术道德</w:t>
            </w:r>
            <w:r>
              <w:rPr>
                <w:rFonts w:hint="eastAsia"/>
                <w:sz w:val="18"/>
                <w:szCs w:val="18"/>
              </w:rPr>
              <w:t>与论文写作</w:t>
            </w:r>
          </w:p>
        </w:tc>
        <w:tc>
          <w:tcPr>
            <w:tcW w:w="1081" w:type="dxa"/>
            <w:shd w:val="clear" w:color="auto" w:fill="auto"/>
            <w:vAlign w:val="center"/>
          </w:tcPr>
          <w:p w14:paraId="01769BE0">
            <w:pPr>
              <w:snapToGrid w:val="0"/>
              <w:spacing w:line="360" w:lineRule="auto"/>
              <w:jc w:val="center"/>
              <w:rPr>
                <w:rFonts w:hint="default" w:eastAsia="宋体"/>
                <w:sz w:val="18"/>
                <w:szCs w:val="18"/>
                <w:lang w:val="en-US" w:eastAsia="zh-CN"/>
              </w:rPr>
            </w:pPr>
            <w:r>
              <w:rPr>
                <w:sz w:val="18"/>
                <w:szCs w:val="18"/>
              </w:rPr>
              <w:t>XS04</w:t>
            </w:r>
            <w:r>
              <w:rPr>
                <w:rFonts w:hint="eastAsia"/>
                <w:sz w:val="18"/>
                <w:szCs w:val="18"/>
              </w:rPr>
              <w:t>42</w:t>
            </w:r>
            <w:r>
              <w:rPr>
                <w:rFonts w:hint="eastAsia"/>
                <w:sz w:val="18"/>
                <w:szCs w:val="18"/>
                <w:lang w:val="en-US" w:eastAsia="zh-CN"/>
              </w:rPr>
              <w:t>101</w:t>
            </w:r>
          </w:p>
        </w:tc>
        <w:tc>
          <w:tcPr>
            <w:tcW w:w="709" w:type="dxa"/>
            <w:shd w:val="clear" w:color="auto" w:fill="auto"/>
            <w:vAlign w:val="center"/>
          </w:tcPr>
          <w:p w14:paraId="3E469799">
            <w:pPr>
              <w:snapToGrid w:val="0"/>
              <w:spacing w:line="360" w:lineRule="auto"/>
              <w:jc w:val="center"/>
              <w:rPr>
                <w:rFonts w:hint="eastAsia" w:eastAsia="宋体"/>
                <w:sz w:val="18"/>
                <w:szCs w:val="18"/>
                <w:lang w:val="en-US" w:eastAsia="zh-CN"/>
              </w:rPr>
            </w:pPr>
            <w:r>
              <w:rPr>
                <w:rFonts w:hint="eastAsia"/>
                <w:sz w:val="18"/>
                <w:szCs w:val="18"/>
                <w:lang w:val="en-US" w:eastAsia="zh-CN"/>
              </w:rPr>
              <w:t>1</w:t>
            </w:r>
          </w:p>
        </w:tc>
        <w:tc>
          <w:tcPr>
            <w:tcW w:w="709" w:type="dxa"/>
            <w:shd w:val="clear" w:color="auto" w:fill="auto"/>
            <w:vAlign w:val="center"/>
          </w:tcPr>
          <w:p w14:paraId="35329D67">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71CD4F08">
            <w:pPr>
              <w:snapToGrid w:val="0"/>
              <w:spacing w:line="360" w:lineRule="auto"/>
              <w:jc w:val="center"/>
              <w:rPr>
                <w:sz w:val="18"/>
                <w:szCs w:val="18"/>
              </w:rPr>
            </w:pPr>
            <w:r>
              <w:rPr>
                <w:rFonts w:hint="eastAsia"/>
                <w:sz w:val="18"/>
                <w:szCs w:val="18"/>
              </w:rPr>
              <w:t>考查</w:t>
            </w:r>
          </w:p>
        </w:tc>
      </w:tr>
      <w:tr w14:paraId="5790A8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571" w:type="dxa"/>
            <w:vMerge w:val="continue"/>
            <w:shd w:val="clear" w:color="auto" w:fill="auto"/>
            <w:vAlign w:val="center"/>
          </w:tcPr>
          <w:p w14:paraId="692F1378">
            <w:pPr>
              <w:snapToGrid w:val="0"/>
              <w:spacing w:line="360" w:lineRule="auto"/>
              <w:jc w:val="center"/>
              <w:rPr>
                <w:b/>
                <w:sz w:val="18"/>
                <w:szCs w:val="18"/>
              </w:rPr>
            </w:pPr>
          </w:p>
        </w:tc>
        <w:tc>
          <w:tcPr>
            <w:tcW w:w="1226" w:type="dxa"/>
            <w:vMerge w:val="continue"/>
            <w:shd w:val="clear" w:color="auto" w:fill="auto"/>
            <w:vAlign w:val="center"/>
          </w:tcPr>
          <w:p w14:paraId="4E0ACE1E">
            <w:pPr>
              <w:snapToGrid w:val="0"/>
              <w:spacing w:line="360" w:lineRule="auto"/>
              <w:jc w:val="center"/>
              <w:rPr>
                <w:b/>
                <w:sz w:val="18"/>
                <w:szCs w:val="18"/>
              </w:rPr>
            </w:pPr>
          </w:p>
        </w:tc>
        <w:tc>
          <w:tcPr>
            <w:tcW w:w="3516" w:type="dxa"/>
            <w:shd w:val="clear" w:color="auto" w:fill="auto"/>
            <w:vAlign w:val="center"/>
          </w:tcPr>
          <w:p w14:paraId="4D70919F">
            <w:pPr>
              <w:snapToGrid w:val="0"/>
              <w:spacing w:line="360" w:lineRule="auto"/>
              <w:jc w:val="left"/>
              <w:rPr>
                <w:sz w:val="18"/>
                <w:szCs w:val="18"/>
              </w:rPr>
            </w:pPr>
            <w:r>
              <w:rPr>
                <w:rFonts w:hint="eastAsia"/>
                <w:sz w:val="18"/>
                <w:szCs w:val="18"/>
              </w:rPr>
              <w:t>公共管理学</w:t>
            </w:r>
          </w:p>
        </w:tc>
        <w:tc>
          <w:tcPr>
            <w:tcW w:w="1081" w:type="dxa"/>
            <w:shd w:val="clear" w:color="auto" w:fill="auto"/>
            <w:vAlign w:val="center"/>
          </w:tcPr>
          <w:p w14:paraId="728F5966">
            <w:pPr>
              <w:snapToGrid w:val="0"/>
              <w:spacing w:line="360" w:lineRule="auto"/>
              <w:jc w:val="center"/>
              <w:rPr>
                <w:sz w:val="18"/>
                <w:szCs w:val="18"/>
              </w:rPr>
            </w:pPr>
            <w:r>
              <w:rPr>
                <w:sz w:val="18"/>
                <w:szCs w:val="18"/>
              </w:rPr>
              <w:t>XS04</w:t>
            </w:r>
            <w:r>
              <w:rPr>
                <w:rFonts w:hint="eastAsia"/>
                <w:sz w:val="18"/>
                <w:szCs w:val="18"/>
              </w:rPr>
              <w:t>42</w:t>
            </w:r>
            <w:r>
              <w:rPr>
                <w:sz w:val="18"/>
                <w:szCs w:val="18"/>
              </w:rPr>
              <w:t>002</w:t>
            </w:r>
          </w:p>
        </w:tc>
        <w:tc>
          <w:tcPr>
            <w:tcW w:w="709" w:type="dxa"/>
            <w:shd w:val="clear" w:color="auto" w:fill="auto"/>
            <w:vAlign w:val="center"/>
          </w:tcPr>
          <w:p w14:paraId="006599B1">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54C5C3B0">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41F10D1B">
            <w:pPr>
              <w:snapToGrid w:val="0"/>
              <w:spacing w:line="360" w:lineRule="auto"/>
              <w:jc w:val="center"/>
              <w:rPr>
                <w:sz w:val="18"/>
                <w:szCs w:val="18"/>
              </w:rPr>
            </w:pPr>
            <w:r>
              <w:rPr>
                <w:rFonts w:hint="eastAsia"/>
                <w:sz w:val="18"/>
                <w:szCs w:val="18"/>
              </w:rPr>
              <w:t>考试</w:t>
            </w:r>
          </w:p>
        </w:tc>
      </w:tr>
      <w:tr w14:paraId="7466CA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726BCCAA">
            <w:pPr>
              <w:snapToGrid w:val="0"/>
              <w:spacing w:line="360" w:lineRule="auto"/>
              <w:jc w:val="center"/>
              <w:rPr>
                <w:b/>
                <w:sz w:val="18"/>
                <w:szCs w:val="18"/>
              </w:rPr>
            </w:pPr>
          </w:p>
        </w:tc>
        <w:tc>
          <w:tcPr>
            <w:tcW w:w="1226" w:type="dxa"/>
            <w:vMerge w:val="continue"/>
            <w:shd w:val="clear" w:color="auto" w:fill="auto"/>
            <w:vAlign w:val="center"/>
          </w:tcPr>
          <w:p w14:paraId="2C979C7B">
            <w:pPr>
              <w:snapToGrid w:val="0"/>
              <w:spacing w:line="360" w:lineRule="auto"/>
              <w:jc w:val="center"/>
              <w:rPr>
                <w:b/>
                <w:sz w:val="18"/>
                <w:szCs w:val="18"/>
              </w:rPr>
            </w:pPr>
          </w:p>
        </w:tc>
        <w:tc>
          <w:tcPr>
            <w:tcW w:w="3516" w:type="dxa"/>
            <w:shd w:val="clear" w:color="auto" w:fill="auto"/>
            <w:vAlign w:val="center"/>
          </w:tcPr>
          <w:p w14:paraId="4F5AE4F0">
            <w:pPr>
              <w:snapToGrid w:val="0"/>
              <w:spacing w:line="360" w:lineRule="auto"/>
              <w:jc w:val="left"/>
              <w:rPr>
                <w:sz w:val="18"/>
                <w:szCs w:val="18"/>
              </w:rPr>
            </w:pPr>
            <w:r>
              <w:rPr>
                <w:rFonts w:hint="eastAsia"/>
                <w:sz w:val="18"/>
                <w:szCs w:val="18"/>
              </w:rPr>
              <w:t>教育经济学</w:t>
            </w:r>
          </w:p>
        </w:tc>
        <w:tc>
          <w:tcPr>
            <w:tcW w:w="1081" w:type="dxa"/>
            <w:shd w:val="clear" w:color="auto" w:fill="auto"/>
            <w:vAlign w:val="center"/>
          </w:tcPr>
          <w:p w14:paraId="6D0DA540">
            <w:pPr>
              <w:snapToGrid w:val="0"/>
              <w:spacing w:line="360" w:lineRule="auto"/>
              <w:jc w:val="center"/>
              <w:rPr>
                <w:sz w:val="18"/>
                <w:szCs w:val="18"/>
              </w:rPr>
            </w:pPr>
            <w:r>
              <w:rPr>
                <w:sz w:val="18"/>
                <w:szCs w:val="18"/>
              </w:rPr>
              <w:t>XS04</w:t>
            </w:r>
            <w:r>
              <w:rPr>
                <w:rFonts w:hint="eastAsia"/>
                <w:sz w:val="18"/>
                <w:szCs w:val="18"/>
              </w:rPr>
              <w:t>42</w:t>
            </w:r>
            <w:r>
              <w:rPr>
                <w:sz w:val="18"/>
                <w:szCs w:val="18"/>
              </w:rPr>
              <w:t>003</w:t>
            </w:r>
          </w:p>
        </w:tc>
        <w:tc>
          <w:tcPr>
            <w:tcW w:w="709" w:type="dxa"/>
            <w:shd w:val="clear" w:color="auto" w:fill="auto"/>
            <w:vAlign w:val="center"/>
          </w:tcPr>
          <w:p w14:paraId="3F896ED4">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166D881F">
            <w:pPr>
              <w:snapToGrid w:val="0"/>
              <w:spacing w:line="360" w:lineRule="auto"/>
              <w:jc w:val="center"/>
              <w:rPr>
                <w:sz w:val="18"/>
                <w:szCs w:val="18"/>
              </w:rPr>
            </w:pPr>
            <w:r>
              <w:rPr>
                <w:rFonts w:hint="eastAsia"/>
                <w:sz w:val="18"/>
                <w:szCs w:val="18"/>
              </w:rPr>
              <w:t>2</w:t>
            </w:r>
          </w:p>
        </w:tc>
        <w:tc>
          <w:tcPr>
            <w:tcW w:w="1045" w:type="dxa"/>
            <w:shd w:val="clear" w:color="auto" w:fill="auto"/>
            <w:vAlign w:val="center"/>
          </w:tcPr>
          <w:p w14:paraId="030BBD38">
            <w:pPr>
              <w:snapToGrid w:val="0"/>
              <w:spacing w:line="360" w:lineRule="auto"/>
              <w:jc w:val="center"/>
              <w:rPr>
                <w:sz w:val="18"/>
                <w:szCs w:val="18"/>
              </w:rPr>
            </w:pPr>
            <w:r>
              <w:rPr>
                <w:rFonts w:hint="eastAsia"/>
                <w:sz w:val="18"/>
                <w:szCs w:val="18"/>
              </w:rPr>
              <w:t>考试</w:t>
            </w:r>
          </w:p>
        </w:tc>
      </w:tr>
      <w:tr w14:paraId="7D8472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7E3E6FB3">
            <w:pPr>
              <w:snapToGrid w:val="0"/>
              <w:spacing w:line="360" w:lineRule="auto"/>
              <w:jc w:val="center"/>
              <w:rPr>
                <w:b/>
                <w:sz w:val="18"/>
                <w:szCs w:val="18"/>
              </w:rPr>
            </w:pPr>
          </w:p>
        </w:tc>
        <w:tc>
          <w:tcPr>
            <w:tcW w:w="1226" w:type="dxa"/>
            <w:vMerge w:val="continue"/>
            <w:shd w:val="clear" w:color="auto" w:fill="auto"/>
            <w:vAlign w:val="center"/>
          </w:tcPr>
          <w:p w14:paraId="3C5022DC">
            <w:pPr>
              <w:snapToGrid w:val="0"/>
              <w:spacing w:line="360" w:lineRule="auto"/>
              <w:jc w:val="center"/>
              <w:rPr>
                <w:b/>
                <w:sz w:val="18"/>
                <w:szCs w:val="18"/>
              </w:rPr>
            </w:pPr>
          </w:p>
        </w:tc>
        <w:tc>
          <w:tcPr>
            <w:tcW w:w="3516" w:type="dxa"/>
            <w:shd w:val="clear" w:color="auto" w:fill="auto"/>
            <w:vAlign w:val="center"/>
          </w:tcPr>
          <w:p w14:paraId="69561D13">
            <w:pPr>
              <w:snapToGrid w:val="0"/>
              <w:spacing w:line="360" w:lineRule="auto"/>
              <w:jc w:val="left"/>
              <w:rPr>
                <w:sz w:val="18"/>
                <w:szCs w:val="18"/>
              </w:rPr>
            </w:pPr>
            <w:r>
              <w:rPr>
                <w:rFonts w:hint="eastAsia"/>
                <w:sz w:val="18"/>
                <w:szCs w:val="18"/>
              </w:rPr>
              <w:t>社会研究方法</w:t>
            </w:r>
          </w:p>
        </w:tc>
        <w:tc>
          <w:tcPr>
            <w:tcW w:w="1081" w:type="dxa"/>
            <w:shd w:val="clear" w:color="auto" w:fill="auto"/>
            <w:vAlign w:val="center"/>
          </w:tcPr>
          <w:p w14:paraId="27A642DD">
            <w:pPr>
              <w:snapToGrid w:val="0"/>
              <w:spacing w:line="360" w:lineRule="auto"/>
              <w:jc w:val="center"/>
              <w:rPr>
                <w:rFonts w:hint="default" w:eastAsia="宋体"/>
                <w:sz w:val="18"/>
                <w:szCs w:val="18"/>
                <w:lang w:val="en-US" w:eastAsia="zh-CN"/>
              </w:rPr>
            </w:pPr>
            <w:r>
              <w:rPr>
                <w:sz w:val="18"/>
                <w:szCs w:val="18"/>
              </w:rPr>
              <w:t>XS04</w:t>
            </w:r>
            <w:r>
              <w:rPr>
                <w:rFonts w:hint="eastAsia"/>
                <w:sz w:val="18"/>
                <w:szCs w:val="18"/>
                <w:lang w:val="en-US" w:eastAsia="zh-CN"/>
              </w:rPr>
              <w:t>15004</w:t>
            </w:r>
          </w:p>
        </w:tc>
        <w:tc>
          <w:tcPr>
            <w:tcW w:w="709" w:type="dxa"/>
            <w:shd w:val="clear" w:color="auto" w:fill="auto"/>
            <w:vAlign w:val="center"/>
          </w:tcPr>
          <w:p w14:paraId="305FCD69">
            <w:pPr>
              <w:snapToGrid w:val="0"/>
              <w:spacing w:line="360" w:lineRule="auto"/>
              <w:jc w:val="center"/>
              <w:rPr>
                <w:rFonts w:hint="eastAsia" w:eastAsia="宋体"/>
                <w:sz w:val="18"/>
                <w:szCs w:val="18"/>
                <w:lang w:val="en-US" w:eastAsia="zh-CN"/>
              </w:rPr>
            </w:pPr>
            <w:r>
              <w:rPr>
                <w:rFonts w:hint="eastAsia"/>
                <w:sz w:val="18"/>
                <w:szCs w:val="18"/>
                <w:lang w:val="en-US" w:eastAsia="zh-CN"/>
              </w:rPr>
              <w:t>3</w:t>
            </w:r>
          </w:p>
        </w:tc>
        <w:tc>
          <w:tcPr>
            <w:tcW w:w="709" w:type="dxa"/>
            <w:shd w:val="clear" w:color="auto" w:fill="auto"/>
            <w:vAlign w:val="center"/>
          </w:tcPr>
          <w:p w14:paraId="665806AA">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5A049993">
            <w:pPr>
              <w:snapToGrid w:val="0"/>
              <w:spacing w:line="360" w:lineRule="auto"/>
              <w:jc w:val="center"/>
              <w:rPr>
                <w:sz w:val="18"/>
                <w:szCs w:val="18"/>
              </w:rPr>
            </w:pPr>
            <w:r>
              <w:rPr>
                <w:rFonts w:hint="eastAsia"/>
                <w:sz w:val="18"/>
                <w:szCs w:val="18"/>
              </w:rPr>
              <w:t>考试</w:t>
            </w:r>
          </w:p>
        </w:tc>
      </w:tr>
      <w:tr w14:paraId="62F550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5A0FDBBB">
            <w:pPr>
              <w:snapToGrid w:val="0"/>
              <w:spacing w:line="360" w:lineRule="auto"/>
              <w:jc w:val="center"/>
              <w:rPr>
                <w:b/>
                <w:sz w:val="18"/>
                <w:szCs w:val="18"/>
              </w:rPr>
            </w:pPr>
          </w:p>
        </w:tc>
        <w:tc>
          <w:tcPr>
            <w:tcW w:w="1226" w:type="dxa"/>
            <w:vMerge w:val="restart"/>
            <w:shd w:val="clear" w:color="auto" w:fill="auto"/>
            <w:vAlign w:val="center"/>
          </w:tcPr>
          <w:p w14:paraId="2D6D822E">
            <w:pPr>
              <w:snapToGrid w:val="0"/>
              <w:spacing w:line="360" w:lineRule="auto"/>
              <w:jc w:val="center"/>
              <w:rPr>
                <w:b/>
                <w:sz w:val="18"/>
                <w:szCs w:val="18"/>
              </w:rPr>
            </w:pPr>
            <w:r>
              <w:rPr>
                <w:b/>
                <w:sz w:val="18"/>
                <w:szCs w:val="18"/>
              </w:rPr>
              <w:t>专业必修课</w:t>
            </w:r>
          </w:p>
          <w:p w14:paraId="5D27F21B">
            <w:pPr>
              <w:snapToGrid w:val="0"/>
              <w:spacing w:line="360" w:lineRule="auto"/>
              <w:jc w:val="center"/>
              <w:rPr>
                <w:b/>
                <w:sz w:val="18"/>
                <w:szCs w:val="18"/>
              </w:rPr>
            </w:pPr>
            <w:r>
              <w:rPr>
                <w:b/>
                <w:sz w:val="18"/>
                <w:szCs w:val="18"/>
              </w:rPr>
              <w:t>（≥*学分）</w:t>
            </w:r>
          </w:p>
        </w:tc>
        <w:tc>
          <w:tcPr>
            <w:tcW w:w="3516" w:type="dxa"/>
            <w:shd w:val="clear" w:color="auto" w:fill="auto"/>
            <w:vAlign w:val="center"/>
          </w:tcPr>
          <w:p w14:paraId="607FD604">
            <w:pPr>
              <w:snapToGrid w:val="0"/>
              <w:spacing w:line="360" w:lineRule="auto"/>
              <w:jc w:val="left"/>
            </w:pPr>
            <w:r>
              <w:rPr>
                <w:rFonts w:hint="eastAsia"/>
                <w:sz w:val="18"/>
                <w:szCs w:val="18"/>
              </w:rPr>
              <w:t>公共政策与教育社会问题分析</w:t>
            </w:r>
          </w:p>
        </w:tc>
        <w:tc>
          <w:tcPr>
            <w:tcW w:w="1081" w:type="dxa"/>
            <w:shd w:val="clear" w:color="auto" w:fill="auto"/>
            <w:vAlign w:val="center"/>
          </w:tcPr>
          <w:p w14:paraId="234239FC">
            <w:pPr>
              <w:snapToGrid w:val="0"/>
              <w:spacing w:line="360" w:lineRule="auto"/>
              <w:jc w:val="center"/>
              <w:rPr>
                <w:rFonts w:hint="eastAsia" w:eastAsia="宋体"/>
                <w:sz w:val="18"/>
                <w:szCs w:val="18"/>
                <w:lang w:val="en-US" w:eastAsia="zh-CN"/>
              </w:rPr>
            </w:pPr>
            <w:r>
              <w:rPr>
                <w:sz w:val="18"/>
                <w:szCs w:val="18"/>
              </w:rPr>
              <w:t>XS04</w:t>
            </w:r>
            <w:r>
              <w:rPr>
                <w:rFonts w:hint="eastAsia"/>
                <w:sz w:val="18"/>
                <w:szCs w:val="18"/>
              </w:rPr>
              <w:t>42</w:t>
            </w:r>
            <w:r>
              <w:rPr>
                <w:sz w:val="18"/>
                <w:szCs w:val="18"/>
              </w:rPr>
              <w:t>00</w:t>
            </w:r>
            <w:r>
              <w:rPr>
                <w:rFonts w:hint="eastAsia"/>
                <w:sz w:val="18"/>
                <w:szCs w:val="18"/>
                <w:lang w:val="en-US" w:eastAsia="zh-CN"/>
              </w:rPr>
              <w:t>4</w:t>
            </w:r>
          </w:p>
        </w:tc>
        <w:tc>
          <w:tcPr>
            <w:tcW w:w="709" w:type="dxa"/>
            <w:shd w:val="clear" w:color="auto" w:fill="auto"/>
            <w:vAlign w:val="center"/>
          </w:tcPr>
          <w:p w14:paraId="3EB74CEB">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190E9B15">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60602196">
            <w:pPr>
              <w:snapToGrid w:val="0"/>
              <w:spacing w:line="360" w:lineRule="auto"/>
              <w:jc w:val="center"/>
              <w:rPr>
                <w:sz w:val="18"/>
                <w:szCs w:val="18"/>
              </w:rPr>
            </w:pPr>
            <w:r>
              <w:rPr>
                <w:rFonts w:hint="eastAsia"/>
                <w:sz w:val="18"/>
                <w:szCs w:val="18"/>
              </w:rPr>
              <w:t>考试</w:t>
            </w:r>
          </w:p>
        </w:tc>
      </w:tr>
      <w:tr w14:paraId="6E81C9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2E6C1E38">
            <w:pPr>
              <w:snapToGrid w:val="0"/>
              <w:spacing w:line="360" w:lineRule="auto"/>
              <w:jc w:val="center"/>
              <w:rPr>
                <w:b/>
                <w:sz w:val="18"/>
                <w:szCs w:val="18"/>
              </w:rPr>
            </w:pPr>
          </w:p>
        </w:tc>
        <w:tc>
          <w:tcPr>
            <w:tcW w:w="1226" w:type="dxa"/>
            <w:vMerge w:val="continue"/>
            <w:shd w:val="clear" w:color="auto" w:fill="auto"/>
            <w:vAlign w:val="center"/>
          </w:tcPr>
          <w:p w14:paraId="04D02862">
            <w:pPr>
              <w:snapToGrid w:val="0"/>
              <w:spacing w:line="360" w:lineRule="auto"/>
              <w:jc w:val="center"/>
              <w:rPr>
                <w:b/>
                <w:sz w:val="18"/>
                <w:szCs w:val="18"/>
              </w:rPr>
            </w:pPr>
          </w:p>
        </w:tc>
        <w:tc>
          <w:tcPr>
            <w:tcW w:w="3516" w:type="dxa"/>
            <w:shd w:val="clear" w:color="auto" w:fill="auto"/>
            <w:vAlign w:val="center"/>
          </w:tcPr>
          <w:p w14:paraId="40A9E981">
            <w:pPr>
              <w:snapToGrid w:val="0"/>
              <w:spacing w:line="360" w:lineRule="auto"/>
              <w:jc w:val="left"/>
              <w:rPr>
                <w:i/>
                <w:sz w:val="18"/>
                <w:szCs w:val="18"/>
              </w:rPr>
            </w:pPr>
            <w:r>
              <w:rPr>
                <w:rFonts w:hint="eastAsia"/>
                <w:sz w:val="18"/>
                <w:szCs w:val="18"/>
              </w:rPr>
              <w:t>教育管理学</w:t>
            </w:r>
          </w:p>
        </w:tc>
        <w:tc>
          <w:tcPr>
            <w:tcW w:w="1081" w:type="dxa"/>
            <w:shd w:val="clear" w:color="auto" w:fill="auto"/>
            <w:vAlign w:val="center"/>
          </w:tcPr>
          <w:p w14:paraId="516FD2A7">
            <w:pPr>
              <w:snapToGrid w:val="0"/>
              <w:spacing w:line="360" w:lineRule="auto"/>
              <w:jc w:val="center"/>
              <w:rPr>
                <w:rFonts w:hint="default" w:eastAsia="宋体"/>
                <w:sz w:val="18"/>
                <w:szCs w:val="18"/>
                <w:lang w:val="en-US" w:eastAsia="zh-CN"/>
              </w:rPr>
            </w:pPr>
            <w:r>
              <w:rPr>
                <w:sz w:val="18"/>
                <w:szCs w:val="18"/>
              </w:rPr>
              <w:t>XS04</w:t>
            </w:r>
            <w:r>
              <w:rPr>
                <w:rFonts w:hint="eastAsia"/>
                <w:sz w:val="18"/>
                <w:szCs w:val="18"/>
              </w:rPr>
              <w:t>42</w:t>
            </w:r>
            <w:r>
              <w:rPr>
                <w:rFonts w:hint="eastAsia"/>
                <w:sz w:val="18"/>
                <w:szCs w:val="18"/>
                <w:lang w:val="en-US" w:eastAsia="zh-CN"/>
              </w:rPr>
              <w:t>201</w:t>
            </w:r>
          </w:p>
        </w:tc>
        <w:tc>
          <w:tcPr>
            <w:tcW w:w="709" w:type="dxa"/>
            <w:shd w:val="clear" w:color="auto" w:fill="auto"/>
            <w:vAlign w:val="center"/>
          </w:tcPr>
          <w:p w14:paraId="49F133DF">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455FDEBC">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09F09B48">
            <w:pPr>
              <w:snapToGrid w:val="0"/>
              <w:spacing w:line="360" w:lineRule="auto"/>
              <w:jc w:val="center"/>
              <w:rPr>
                <w:sz w:val="18"/>
                <w:szCs w:val="18"/>
              </w:rPr>
            </w:pPr>
            <w:r>
              <w:rPr>
                <w:rFonts w:hint="eastAsia"/>
                <w:sz w:val="18"/>
                <w:szCs w:val="18"/>
              </w:rPr>
              <w:t>考试</w:t>
            </w:r>
          </w:p>
        </w:tc>
      </w:tr>
      <w:tr w14:paraId="3DFEB7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7826FC95">
            <w:pPr>
              <w:snapToGrid w:val="0"/>
              <w:spacing w:line="360" w:lineRule="auto"/>
              <w:jc w:val="center"/>
              <w:rPr>
                <w:b/>
                <w:sz w:val="18"/>
                <w:szCs w:val="18"/>
              </w:rPr>
            </w:pPr>
          </w:p>
        </w:tc>
        <w:tc>
          <w:tcPr>
            <w:tcW w:w="1226" w:type="dxa"/>
            <w:vMerge w:val="continue"/>
            <w:shd w:val="clear" w:color="auto" w:fill="auto"/>
            <w:vAlign w:val="center"/>
          </w:tcPr>
          <w:p w14:paraId="0AB4DA7E">
            <w:pPr>
              <w:snapToGrid w:val="0"/>
              <w:spacing w:line="360" w:lineRule="auto"/>
              <w:jc w:val="center"/>
              <w:rPr>
                <w:b/>
                <w:sz w:val="18"/>
                <w:szCs w:val="18"/>
              </w:rPr>
            </w:pPr>
          </w:p>
        </w:tc>
        <w:tc>
          <w:tcPr>
            <w:tcW w:w="3516" w:type="dxa"/>
            <w:shd w:val="clear" w:color="auto" w:fill="auto"/>
            <w:vAlign w:val="center"/>
          </w:tcPr>
          <w:p w14:paraId="572EB8B6">
            <w:pPr>
              <w:snapToGrid w:val="0"/>
              <w:spacing w:line="360" w:lineRule="auto"/>
              <w:jc w:val="left"/>
              <w:rPr>
                <w:sz w:val="18"/>
                <w:szCs w:val="18"/>
              </w:rPr>
            </w:pPr>
            <w:r>
              <w:rPr>
                <w:rFonts w:hint="eastAsia"/>
                <w:sz w:val="18"/>
                <w:szCs w:val="18"/>
              </w:rPr>
              <w:t>教育组织战略与治理</w:t>
            </w:r>
          </w:p>
        </w:tc>
        <w:tc>
          <w:tcPr>
            <w:tcW w:w="1081" w:type="dxa"/>
            <w:shd w:val="clear" w:color="auto" w:fill="auto"/>
            <w:vAlign w:val="center"/>
          </w:tcPr>
          <w:p w14:paraId="36710D03">
            <w:pPr>
              <w:snapToGrid w:val="0"/>
              <w:spacing w:line="360" w:lineRule="auto"/>
              <w:jc w:val="center"/>
              <w:rPr>
                <w:rFonts w:hint="default" w:eastAsia="宋体"/>
                <w:sz w:val="18"/>
                <w:szCs w:val="18"/>
                <w:lang w:val="en-US" w:eastAsia="zh-CN"/>
              </w:rPr>
            </w:pPr>
            <w:r>
              <w:rPr>
                <w:sz w:val="18"/>
                <w:szCs w:val="18"/>
              </w:rPr>
              <w:t>XS04</w:t>
            </w:r>
            <w:r>
              <w:rPr>
                <w:rFonts w:hint="eastAsia"/>
                <w:sz w:val="18"/>
                <w:szCs w:val="18"/>
                <w:lang w:val="en-US" w:eastAsia="zh-CN"/>
              </w:rPr>
              <w:t>42202</w:t>
            </w:r>
          </w:p>
        </w:tc>
        <w:tc>
          <w:tcPr>
            <w:tcW w:w="709" w:type="dxa"/>
            <w:shd w:val="clear" w:color="auto" w:fill="auto"/>
            <w:vAlign w:val="center"/>
          </w:tcPr>
          <w:p w14:paraId="2A0CFF56">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4FAC5883">
            <w:pPr>
              <w:snapToGrid w:val="0"/>
              <w:spacing w:line="360" w:lineRule="auto"/>
              <w:jc w:val="center"/>
              <w:rPr>
                <w:sz w:val="18"/>
                <w:szCs w:val="18"/>
              </w:rPr>
            </w:pPr>
            <w:r>
              <w:rPr>
                <w:rFonts w:hint="eastAsia"/>
                <w:sz w:val="18"/>
                <w:szCs w:val="18"/>
              </w:rPr>
              <w:t>2</w:t>
            </w:r>
          </w:p>
        </w:tc>
        <w:tc>
          <w:tcPr>
            <w:tcW w:w="1045" w:type="dxa"/>
            <w:shd w:val="clear" w:color="auto" w:fill="auto"/>
            <w:vAlign w:val="center"/>
          </w:tcPr>
          <w:p w14:paraId="21CC845D">
            <w:pPr>
              <w:snapToGrid w:val="0"/>
              <w:spacing w:line="360" w:lineRule="auto"/>
              <w:jc w:val="center"/>
              <w:rPr>
                <w:sz w:val="18"/>
                <w:szCs w:val="18"/>
              </w:rPr>
            </w:pPr>
            <w:r>
              <w:rPr>
                <w:rFonts w:hint="eastAsia"/>
                <w:sz w:val="18"/>
                <w:szCs w:val="18"/>
              </w:rPr>
              <w:t>考试</w:t>
            </w:r>
          </w:p>
        </w:tc>
      </w:tr>
      <w:tr w14:paraId="504463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shd w:val="clear" w:color="auto" w:fill="auto"/>
            <w:vAlign w:val="center"/>
          </w:tcPr>
          <w:p w14:paraId="6FCEDF87">
            <w:pPr>
              <w:snapToGrid w:val="0"/>
              <w:spacing w:line="360" w:lineRule="auto"/>
              <w:jc w:val="center"/>
              <w:rPr>
                <w:b/>
                <w:sz w:val="18"/>
                <w:szCs w:val="18"/>
              </w:rPr>
            </w:pPr>
            <w:r>
              <w:rPr>
                <w:b/>
                <w:sz w:val="18"/>
                <w:szCs w:val="18"/>
              </w:rPr>
              <w:t>非学位课</w:t>
            </w:r>
          </w:p>
        </w:tc>
        <w:tc>
          <w:tcPr>
            <w:tcW w:w="1226" w:type="dxa"/>
            <w:vMerge w:val="restart"/>
            <w:shd w:val="clear" w:color="auto" w:fill="auto"/>
            <w:vAlign w:val="center"/>
          </w:tcPr>
          <w:p w14:paraId="6E623A92">
            <w:pPr>
              <w:snapToGrid w:val="0"/>
              <w:spacing w:line="360" w:lineRule="auto"/>
              <w:jc w:val="center"/>
              <w:rPr>
                <w:b/>
                <w:sz w:val="18"/>
                <w:szCs w:val="18"/>
              </w:rPr>
            </w:pPr>
            <w:r>
              <w:rPr>
                <w:b/>
                <w:sz w:val="18"/>
                <w:szCs w:val="18"/>
              </w:rPr>
              <w:t>公共通识课</w:t>
            </w:r>
          </w:p>
          <w:p w14:paraId="496DEF0C">
            <w:pPr>
              <w:snapToGrid w:val="0"/>
              <w:spacing w:line="360" w:lineRule="auto"/>
              <w:jc w:val="center"/>
              <w:rPr>
                <w:b/>
                <w:sz w:val="18"/>
                <w:szCs w:val="18"/>
              </w:rPr>
            </w:pPr>
            <w:r>
              <w:rPr>
                <w:b/>
                <w:sz w:val="18"/>
                <w:szCs w:val="18"/>
              </w:rPr>
              <w:t>（2学分）</w:t>
            </w:r>
          </w:p>
        </w:tc>
        <w:tc>
          <w:tcPr>
            <w:tcW w:w="3516" w:type="dxa"/>
            <w:shd w:val="clear" w:color="auto" w:fill="auto"/>
            <w:vAlign w:val="center"/>
          </w:tcPr>
          <w:p w14:paraId="19786A84">
            <w:pPr>
              <w:snapToGrid w:val="0"/>
              <w:spacing w:line="360" w:lineRule="auto"/>
              <w:jc w:val="left"/>
              <w:rPr>
                <w:sz w:val="18"/>
                <w:szCs w:val="18"/>
              </w:rPr>
            </w:pPr>
            <w:r>
              <w:rPr>
                <w:sz w:val="18"/>
                <w:szCs w:val="18"/>
              </w:rPr>
              <w:t>《习近平谈治国理政》研读</w:t>
            </w:r>
          </w:p>
        </w:tc>
        <w:tc>
          <w:tcPr>
            <w:tcW w:w="1081" w:type="dxa"/>
            <w:shd w:val="clear" w:color="auto" w:fill="auto"/>
            <w:vAlign w:val="center"/>
          </w:tcPr>
          <w:p w14:paraId="3B9B048C">
            <w:pPr>
              <w:snapToGrid w:val="0"/>
              <w:spacing w:line="360" w:lineRule="auto"/>
              <w:jc w:val="center"/>
              <w:rPr>
                <w:sz w:val="18"/>
                <w:szCs w:val="18"/>
              </w:rPr>
            </w:pPr>
            <w:r>
              <w:rPr>
                <w:sz w:val="18"/>
                <w:szCs w:val="18"/>
              </w:rPr>
              <w:t>TT0000101</w:t>
            </w:r>
          </w:p>
        </w:tc>
        <w:tc>
          <w:tcPr>
            <w:tcW w:w="709" w:type="dxa"/>
            <w:shd w:val="clear" w:color="auto" w:fill="auto"/>
            <w:vAlign w:val="center"/>
          </w:tcPr>
          <w:p w14:paraId="450A4A59">
            <w:pPr>
              <w:snapToGrid w:val="0"/>
              <w:spacing w:line="360" w:lineRule="auto"/>
              <w:jc w:val="center"/>
              <w:rPr>
                <w:sz w:val="18"/>
                <w:szCs w:val="18"/>
              </w:rPr>
            </w:pPr>
            <w:r>
              <w:rPr>
                <w:sz w:val="18"/>
                <w:szCs w:val="18"/>
              </w:rPr>
              <w:t>1</w:t>
            </w:r>
          </w:p>
        </w:tc>
        <w:tc>
          <w:tcPr>
            <w:tcW w:w="709" w:type="dxa"/>
            <w:shd w:val="clear" w:color="auto" w:fill="auto"/>
            <w:vAlign w:val="center"/>
          </w:tcPr>
          <w:p w14:paraId="36D309DB">
            <w:pPr>
              <w:snapToGrid w:val="0"/>
              <w:spacing w:line="360" w:lineRule="auto"/>
              <w:jc w:val="center"/>
              <w:rPr>
                <w:sz w:val="18"/>
                <w:szCs w:val="18"/>
              </w:rPr>
            </w:pPr>
            <w:r>
              <w:rPr>
                <w:sz w:val="18"/>
                <w:szCs w:val="18"/>
              </w:rPr>
              <w:t>2</w:t>
            </w:r>
          </w:p>
        </w:tc>
        <w:tc>
          <w:tcPr>
            <w:tcW w:w="1045" w:type="dxa"/>
            <w:shd w:val="clear" w:color="auto" w:fill="auto"/>
            <w:vAlign w:val="center"/>
          </w:tcPr>
          <w:p w14:paraId="592DE203">
            <w:pPr>
              <w:snapToGrid w:val="0"/>
              <w:spacing w:line="360" w:lineRule="auto"/>
              <w:jc w:val="center"/>
              <w:rPr>
                <w:sz w:val="18"/>
                <w:szCs w:val="18"/>
              </w:rPr>
            </w:pPr>
            <w:r>
              <w:rPr>
                <w:sz w:val="18"/>
                <w:szCs w:val="18"/>
              </w:rPr>
              <w:t>考查</w:t>
            </w:r>
          </w:p>
        </w:tc>
      </w:tr>
      <w:tr w14:paraId="7251EB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shd w:val="clear" w:color="auto" w:fill="auto"/>
            <w:vAlign w:val="center"/>
          </w:tcPr>
          <w:p w14:paraId="6AAC2FF3">
            <w:pPr>
              <w:snapToGrid w:val="0"/>
              <w:spacing w:line="360" w:lineRule="auto"/>
              <w:jc w:val="center"/>
              <w:rPr>
                <w:b/>
                <w:sz w:val="18"/>
                <w:szCs w:val="18"/>
              </w:rPr>
            </w:pPr>
          </w:p>
        </w:tc>
        <w:tc>
          <w:tcPr>
            <w:tcW w:w="1226" w:type="dxa"/>
            <w:vMerge w:val="continue"/>
            <w:shd w:val="clear" w:color="auto" w:fill="auto"/>
            <w:vAlign w:val="center"/>
          </w:tcPr>
          <w:p w14:paraId="6AB876A9">
            <w:pPr>
              <w:snapToGrid w:val="0"/>
              <w:spacing w:line="360" w:lineRule="auto"/>
              <w:jc w:val="center"/>
              <w:rPr>
                <w:b/>
                <w:sz w:val="18"/>
                <w:szCs w:val="18"/>
              </w:rPr>
            </w:pPr>
          </w:p>
        </w:tc>
        <w:tc>
          <w:tcPr>
            <w:tcW w:w="3516" w:type="dxa"/>
            <w:shd w:val="clear" w:color="auto" w:fill="auto"/>
            <w:vAlign w:val="center"/>
          </w:tcPr>
          <w:p w14:paraId="41AD1520">
            <w:pPr>
              <w:snapToGrid w:val="0"/>
              <w:spacing w:line="360" w:lineRule="auto"/>
              <w:jc w:val="left"/>
              <w:rPr>
                <w:sz w:val="18"/>
                <w:szCs w:val="18"/>
              </w:rPr>
            </w:pPr>
            <w:r>
              <w:rPr>
                <w:sz w:val="18"/>
                <w:szCs w:val="18"/>
              </w:rPr>
              <w:t>马克思主义与社会科学方法论</w:t>
            </w:r>
          </w:p>
        </w:tc>
        <w:tc>
          <w:tcPr>
            <w:tcW w:w="1081" w:type="dxa"/>
            <w:shd w:val="clear" w:color="auto" w:fill="auto"/>
            <w:vAlign w:val="center"/>
          </w:tcPr>
          <w:p w14:paraId="28103D66">
            <w:pPr>
              <w:snapToGrid w:val="0"/>
              <w:spacing w:line="360" w:lineRule="auto"/>
              <w:jc w:val="center"/>
              <w:rPr>
                <w:sz w:val="18"/>
                <w:szCs w:val="18"/>
              </w:rPr>
            </w:pPr>
            <w:r>
              <w:rPr>
                <w:sz w:val="18"/>
                <w:szCs w:val="18"/>
              </w:rPr>
              <w:t>TS0000101</w:t>
            </w:r>
          </w:p>
        </w:tc>
        <w:tc>
          <w:tcPr>
            <w:tcW w:w="709" w:type="dxa"/>
            <w:shd w:val="clear" w:color="auto" w:fill="auto"/>
            <w:vAlign w:val="center"/>
          </w:tcPr>
          <w:p w14:paraId="1210448E">
            <w:pPr>
              <w:snapToGrid w:val="0"/>
              <w:spacing w:line="360" w:lineRule="auto"/>
              <w:jc w:val="center"/>
              <w:rPr>
                <w:sz w:val="18"/>
                <w:szCs w:val="18"/>
              </w:rPr>
            </w:pPr>
            <w:r>
              <w:rPr>
                <w:sz w:val="18"/>
                <w:szCs w:val="18"/>
              </w:rPr>
              <w:t>1</w:t>
            </w:r>
          </w:p>
        </w:tc>
        <w:tc>
          <w:tcPr>
            <w:tcW w:w="709" w:type="dxa"/>
            <w:shd w:val="clear" w:color="auto" w:fill="auto"/>
            <w:vAlign w:val="center"/>
          </w:tcPr>
          <w:p w14:paraId="1522AE8A">
            <w:pPr>
              <w:snapToGrid w:val="0"/>
              <w:spacing w:line="360" w:lineRule="auto"/>
              <w:jc w:val="center"/>
              <w:rPr>
                <w:sz w:val="18"/>
                <w:szCs w:val="18"/>
              </w:rPr>
            </w:pPr>
            <w:r>
              <w:rPr>
                <w:sz w:val="18"/>
                <w:szCs w:val="18"/>
              </w:rPr>
              <w:t>2</w:t>
            </w:r>
          </w:p>
        </w:tc>
        <w:tc>
          <w:tcPr>
            <w:tcW w:w="1045" w:type="dxa"/>
            <w:shd w:val="clear" w:color="auto" w:fill="auto"/>
            <w:vAlign w:val="center"/>
          </w:tcPr>
          <w:p w14:paraId="6E8EAB63">
            <w:pPr>
              <w:snapToGrid w:val="0"/>
              <w:spacing w:line="360" w:lineRule="auto"/>
              <w:jc w:val="center"/>
              <w:rPr>
                <w:sz w:val="18"/>
                <w:szCs w:val="18"/>
              </w:rPr>
            </w:pPr>
            <w:r>
              <w:rPr>
                <w:sz w:val="18"/>
                <w:szCs w:val="18"/>
              </w:rPr>
              <w:t>考查</w:t>
            </w:r>
          </w:p>
        </w:tc>
      </w:tr>
      <w:tr w14:paraId="364D42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065CFF7">
            <w:pPr>
              <w:snapToGrid w:val="0"/>
              <w:spacing w:line="360" w:lineRule="auto"/>
              <w:rPr>
                <w:b/>
                <w:sz w:val="18"/>
                <w:szCs w:val="18"/>
              </w:rPr>
            </w:pPr>
          </w:p>
        </w:tc>
        <w:tc>
          <w:tcPr>
            <w:tcW w:w="1226" w:type="dxa"/>
            <w:vMerge w:val="restart"/>
            <w:shd w:val="clear" w:color="auto" w:fill="auto"/>
            <w:vAlign w:val="center"/>
          </w:tcPr>
          <w:p w14:paraId="6C4376C9">
            <w:pPr>
              <w:adjustRightInd w:val="0"/>
              <w:snapToGrid w:val="0"/>
              <w:spacing w:line="360" w:lineRule="auto"/>
              <w:jc w:val="center"/>
              <w:rPr>
                <w:b/>
                <w:sz w:val="18"/>
                <w:szCs w:val="18"/>
              </w:rPr>
            </w:pPr>
            <w:r>
              <w:rPr>
                <w:rFonts w:hint="eastAsia"/>
                <w:b/>
                <w:sz w:val="18"/>
                <w:szCs w:val="18"/>
              </w:rPr>
              <w:t>教育</w:t>
            </w:r>
          </w:p>
          <w:p w14:paraId="37E91496">
            <w:pPr>
              <w:adjustRightInd w:val="0"/>
              <w:snapToGrid w:val="0"/>
              <w:spacing w:line="360" w:lineRule="auto"/>
              <w:jc w:val="center"/>
              <w:rPr>
                <w:b/>
                <w:sz w:val="18"/>
                <w:szCs w:val="18"/>
              </w:rPr>
            </w:pPr>
            <w:r>
              <w:rPr>
                <w:rFonts w:hint="eastAsia"/>
                <w:b/>
                <w:sz w:val="18"/>
                <w:szCs w:val="18"/>
              </w:rPr>
              <w:t>管理</w:t>
            </w:r>
          </w:p>
          <w:p w14:paraId="53EFDAA8">
            <w:pPr>
              <w:adjustRightInd w:val="0"/>
              <w:snapToGrid w:val="0"/>
              <w:spacing w:line="360" w:lineRule="auto"/>
              <w:jc w:val="center"/>
              <w:rPr>
                <w:b/>
                <w:sz w:val="18"/>
                <w:szCs w:val="18"/>
              </w:rPr>
            </w:pPr>
            <w:r>
              <w:rPr>
                <w:rFonts w:hint="eastAsia"/>
                <w:b/>
                <w:sz w:val="18"/>
                <w:szCs w:val="18"/>
              </w:rPr>
              <w:t>方向</w:t>
            </w:r>
          </w:p>
          <w:p w14:paraId="483EC2DC">
            <w:pPr>
              <w:adjustRightInd w:val="0"/>
              <w:snapToGrid w:val="0"/>
              <w:spacing w:line="360" w:lineRule="auto"/>
              <w:jc w:val="center"/>
              <w:rPr>
                <w:b/>
                <w:sz w:val="18"/>
                <w:szCs w:val="18"/>
              </w:rPr>
            </w:pPr>
            <w:r>
              <w:rPr>
                <w:rFonts w:hint="eastAsia"/>
                <w:b/>
                <w:sz w:val="18"/>
                <w:szCs w:val="18"/>
              </w:rPr>
              <w:t>选修课</w:t>
            </w:r>
          </w:p>
        </w:tc>
        <w:tc>
          <w:tcPr>
            <w:tcW w:w="3516" w:type="dxa"/>
            <w:shd w:val="clear" w:color="auto" w:fill="auto"/>
            <w:vAlign w:val="center"/>
          </w:tcPr>
          <w:p w14:paraId="2AC63E20">
            <w:pPr>
              <w:snapToGrid w:val="0"/>
              <w:spacing w:line="360" w:lineRule="auto"/>
              <w:jc w:val="left"/>
              <w:rPr>
                <w:sz w:val="18"/>
                <w:szCs w:val="18"/>
              </w:rPr>
            </w:pPr>
            <w:r>
              <w:rPr>
                <w:rFonts w:hint="eastAsia"/>
                <w:sz w:val="18"/>
                <w:szCs w:val="18"/>
              </w:rPr>
              <w:t>教育心理学</w:t>
            </w:r>
          </w:p>
        </w:tc>
        <w:tc>
          <w:tcPr>
            <w:tcW w:w="1081" w:type="dxa"/>
            <w:shd w:val="clear" w:color="auto" w:fill="auto"/>
            <w:vAlign w:val="center"/>
          </w:tcPr>
          <w:p w14:paraId="124A210D">
            <w:pPr>
              <w:snapToGrid w:val="0"/>
              <w:spacing w:line="360" w:lineRule="auto"/>
              <w:jc w:val="center"/>
              <w:rPr>
                <w:rFonts w:hint="default" w:eastAsia="宋体"/>
                <w:sz w:val="18"/>
                <w:szCs w:val="18"/>
                <w:lang w:val="en-US" w:eastAsia="zh-CN"/>
              </w:rPr>
            </w:pPr>
            <w:r>
              <w:rPr>
                <w:sz w:val="18"/>
                <w:szCs w:val="18"/>
              </w:rPr>
              <w:t>XS04</w:t>
            </w:r>
            <w:r>
              <w:rPr>
                <w:rFonts w:hint="eastAsia"/>
                <w:sz w:val="18"/>
                <w:szCs w:val="18"/>
              </w:rPr>
              <w:t>422</w:t>
            </w:r>
            <w:r>
              <w:rPr>
                <w:rFonts w:hint="eastAsia"/>
                <w:sz w:val="18"/>
                <w:szCs w:val="18"/>
                <w:lang w:val="en-US" w:eastAsia="zh-CN"/>
              </w:rPr>
              <w:t>10</w:t>
            </w:r>
          </w:p>
        </w:tc>
        <w:tc>
          <w:tcPr>
            <w:tcW w:w="709" w:type="dxa"/>
            <w:shd w:val="clear" w:color="auto" w:fill="auto"/>
            <w:vAlign w:val="center"/>
          </w:tcPr>
          <w:p w14:paraId="40E2B7E1">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54B50981">
            <w:pPr>
              <w:snapToGrid w:val="0"/>
              <w:spacing w:line="360" w:lineRule="auto"/>
              <w:jc w:val="center"/>
              <w:rPr>
                <w:sz w:val="18"/>
                <w:szCs w:val="18"/>
              </w:rPr>
            </w:pPr>
            <w:r>
              <w:rPr>
                <w:rFonts w:hint="eastAsia"/>
                <w:sz w:val="18"/>
                <w:szCs w:val="18"/>
              </w:rPr>
              <w:t>2</w:t>
            </w:r>
          </w:p>
        </w:tc>
        <w:tc>
          <w:tcPr>
            <w:tcW w:w="1045" w:type="dxa"/>
            <w:vMerge w:val="restart"/>
            <w:shd w:val="clear" w:color="auto" w:fill="auto"/>
            <w:vAlign w:val="center"/>
          </w:tcPr>
          <w:p w14:paraId="403A80BD">
            <w:pPr>
              <w:adjustRightInd w:val="0"/>
              <w:snapToGrid w:val="0"/>
              <w:spacing w:line="360" w:lineRule="auto"/>
              <w:jc w:val="center"/>
              <w:rPr>
                <w:sz w:val="18"/>
                <w:szCs w:val="18"/>
              </w:rPr>
            </w:pPr>
            <w:r>
              <w:rPr>
                <w:sz w:val="18"/>
                <w:szCs w:val="18"/>
              </w:rPr>
              <w:t>本方向研究生至少选修</w:t>
            </w:r>
          </w:p>
          <w:p w14:paraId="1F69BB90">
            <w:pPr>
              <w:adjustRightInd w:val="0"/>
              <w:snapToGrid w:val="0"/>
              <w:spacing w:line="360" w:lineRule="auto"/>
              <w:jc w:val="center"/>
              <w:rPr>
                <w:sz w:val="18"/>
                <w:szCs w:val="18"/>
              </w:rPr>
            </w:pPr>
            <w:r>
              <w:rPr>
                <w:rFonts w:hint="eastAsia"/>
                <w:sz w:val="18"/>
                <w:szCs w:val="18"/>
              </w:rPr>
              <w:t>4</w:t>
            </w:r>
            <w:r>
              <w:rPr>
                <w:sz w:val="18"/>
                <w:szCs w:val="18"/>
              </w:rPr>
              <w:t>学分</w:t>
            </w:r>
          </w:p>
        </w:tc>
      </w:tr>
      <w:tr w14:paraId="34371A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CF0A166">
            <w:pPr>
              <w:snapToGrid w:val="0"/>
              <w:spacing w:line="360" w:lineRule="auto"/>
              <w:rPr>
                <w:b/>
                <w:sz w:val="18"/>
                <w:szCs w:val="18"/>
              </w:rPr>
            </w:pPr>
          </w:p>
        </w:tc>
        <w:tc>
          <w:tcPr>
            <w:tcW w:w="1226" w:type="dxa"/>
            <w:vMerge w:val="continue"/>
            <w:shd w:val="clear" w:color="auto" w:fill="auto"/>
            <w:vAlign w:val="center"/>
          </w:tcPr>
          <w:p w14:paraId="466C92DB">
            <w:pPr>
              <w:adjustRightInd w:val="0"/>
              <w:snapToGrid w:val="0"/>
              <w:spacing w:line="360" w:lineRule="auto"/>
              <w:jc w:val="center"/>
              <w:rPr>
                <w:b/>
                <w:sz w:val="18"/>
                <w:szCs w:val="18"/>
              </w:rPr>
            </w:pPr>
          </w:p>
        </w:tc>
        <w:tc>
          <w:tcPr>
            <w:tcW w:w="3516" w:type="dxa"/>
            <w:shd w:val="clear" w:color="auto" w:fill="auto"/>
            <w:vAlign w:val="center"/>
          </w:tcPr>
          <w:p w14:paraId="4E4ABC5E">
            <w:pPr>
              <w:snapToGrid w:val="0"/>
              <w:spacing w:line="360" w:lineRule="auto"/>
              <w:jc w:val="left"/>
              <w:rPr>
                <w:sz w:val="18"/>
                <w:szCs w:val="18"/>
              </w:rPr>
            </w:pPr>
            <w:r>
              <w:rPr>
                <w:rFonts w:hint="eastAsia"/>
                <w:sz w:val="18"/>
                <w:szCs w:val="18"/>
              </w:rPr>
              <w:t>教育社会学</w:t>
            </w:r>
          </w:p>
        </w:tc>
        <w:tc>
          <w:tcPr>
            <w:tcW w:w="1081" w:type="dxa"/>
            <w:shd w:val="clear" w:color="auto" w:fill="auto"/>
            <w:vAlign w:val="center"/>
          </w:tcPr>
          <w:p w14:paraId="24292FB4">
            <w:pPr>
              <w:snapToGrid w:val="0"/>
              <w:spacing w:line="360" w:lineRule="auto"/>
              <w:jc w:val="center"/>
              <w:rPr>
                <w:rFonts w:hint="default" w:eastAsia="宋体"/>
                <w:sz w:val="18"/>
                <w:szCs w:val="18"/>
                <w:lang w:val="en-US" w:eastAsia="zh-CN"/>
              </w:rPr>
            </w:pPr>
            <w:r>
              <w:rPr>
                <w:sz w:val="18"/>
                <w:szCs w:val="18"/>
              </w:rPr>
              <w:t>XS04</w:t>
            </w:r>
            <w:r>
              <w:rPr>
                <w:rFonts w:hint="eastAsia"/>
                <w:sz w:val="18"/>
                <w:szCs w:val="18"/>
              </w:rPr>
              <w:t>422</w:t>
            </w:r>
            <w:r>
              <w:rPr>
                <w:rFonts w:hint="eastAsia"/>
                <w:sz w:val="18"/>
                <w:szCs w:val="18"/>
                <w:lang w:val="en-US" w:eastAsia="zh-CN"/>
              </w:rPr>
              <w:t>11</w:t>
            </w:r>
          </w:p>
        </w:tc>
        <w:tc>
          <w:tcPr>
            <w:tcW w:w="709" w:type="dxa"/>
            <w:shd w:val="clear" w:color="auto" w:fill="auto"/>
            <w:vAlign w:val="center"/>
          </w:tcPr>
          <w:p w14:paraId="5B17BFCA">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39259973">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727CAE49">
            <w:pPr>
              <w:adjustRightInd w:val="0"/>
              <w:snapToGrid w:val="0"/>
              <w:spacing w:line="360" w:lineRule="auto"/>
              <w:jc w:val="center"/>
              <w:rPr>
                <w:sz w:val="18"/>
                <w:szCs w:val="18"/>
              </w:rPr>
            </w:pPr>
          </w:p>
        </w:tc>
      </w:tr>
      <w:tr w14:paraId="64D30B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9A3852E">
            <w:pPr>
              <w:snapToGrid w:val="0"/>
              <w:spacing w:line="360" w:lineRule="auto"/>
              <w:rPr>
                <w:b/>
                <w:sz w:val="18"/>
                <w:szCs w:val="18"/>
              </w:rPr>
            </w:pPr>
          </w:p>
        </w:tc>
        <w:tc>
          <w:tcPr>
            <w:tcW w:w="1226" w:type="dxa"/>
            <w:vMerge w:val="continue"/>
            <w:shd w:val="clear" w:color="auto" w:fill="auto"/>
            <w:vAlign w:val="center"/>
          </w:tcPr>
          <w:p w14:paraId="6138DE8C">
            <w:pPr>
              <w:snapToGrid w:val="0"/>
              <w:spacing w:line="360" w:lineRule="auto"/>
              <w:jc w:val="center"/>
              <w:rPr>
                <w:b/>
                <w:sz w:val="18"/>
                <w:szCs w:val="18"/>
              </w:rPr>
            </w:pPr>
          </w:p>
        </w:tc>
        <w:tc>
          <w:tcPr>
            <w:tcW w:w="3516" w:type="dxa"/>
            <w:shd w:val="clear" w:color="auto" w:fill="auto"/>
            <w:vAlign w:val="center"/>
          </w:tcPr>
          <w:p w14:paraId="5DBE7A79">
            <w:pPr>
              <w:snapToGrid w:val="0"/>
              <w:spacing w:line="360" w:lineRule="auto"/>
              <w:jc w:val="left"/>
              <w:rPr>
                <w:sz w:val="18"/>
                <w:szCs w:val="18"/>
              </w:rPr>
            </w:pPr>
            <w:r>
              <w:rPr>
                <w:rFonts w:hint="eastAsia"/>
                <w:sz w:val="18"/>
                <w:szCs w:val="18"/>
              </w:rPr>
              <w:t>教育法学</w:t>
            </w:r>
          </w:p>
        </w:tc>
        <w:tc>
          <w:tcPr>
            <w:tcW w:w="1081" w:type="dxa"/>
            <w:shd w:val="clear" w:color="auto" w:fill="auto"/>
            <w:vAlign w:val="center"/>
          </w:tcPr>
          <w:p w14:paraId="6F6D5716">
            <w:pPr>
              <w:snapToGrid w:val="0"/>
              <w:spacing w:line="360" w:lineRule="auto"/>
              <w:jc w:val="center"/>
              <w:rPr>
                <w:sz w:val="18"/>
                <w:szCs w:val="18"/>
              </w:rPr>
            </w:pPr>
            <w:r>
              <w:rPr>
                <w:sz w:val="18"/>
                <w:szCs w:val="18"/>
              </w:rPr>
              <w:t>XS04</w:t>
            </w:r>
            <w:r>
              <w:rPr>
                <w:rFonts w:hint="eastAsia"/>
                <w:sz w:val="18"/>
                <w:szCs w:val="18"/>
              </w:rPr>
              <w:t>42203</w:t>
            </w:r>
          </w:p>
        </w:tc>
        <w:tc>
          <w:tcPr>
            <w:tcW w:w="709" w:type="dxa"/>
            <w:shd w:val="clear" w:color="auto" w:fill="auto"/>
            <w:vAlign w:val="center"/>
          </w:tcPr>
          <w:p w14:paraId="50B2CCBE">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766588A3">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3037B978">
            <w:pPr>
              <w:snapToGrid w:val="0"/>
              <w:spacing w:line="360" w:lineRule="auto"/>
              <w:jc w:val="center"/>
              <w:rPr>
                <w:sz w:val="18"/>
                <w:szCs w:val="18"/>
              </w:rPr>
            </w:pPr>
          </w:p>
        </w:tc>
      </w:tr>
      <w:tr w14:paraId="40C8FE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244D960A">
            <w:pPr>
              <w:snapToGrid w:val="0"/>
              <w:spacing w:line="360" w:lineRule="auto"/>
              <w:rPr>
                <w:b/>
                <w:sz w:val="18"/>
                <w:szCs w:val="18"/>
              </w:rPr>
            </w:pPr>
          </w:p>
        </w:tc>
        <w:tc>
          <w:tcPr>
            <w:tcW w:w="1226" w:type="dxa"/>
            <w:vMerge w:val="continue"/>
            <w:shd w:val="clear" w:color="auto" w:fill="auto"/>
            <w:vAlign w:val="center"/>
          </w:tcPr>
          <w:p w14:paraId="4F81B681">
            <w:pPr>
              <w:snapToGrid w:val="0"/>
              <w:spacing w:line="360" w:lineRule="auto"/>
              <w:jc w:val="center"/>
              <w:rPr>
                <w:b/>
                <w:sz w:val="18"/>
                <w:szCs w:val="18"/>
              </w:rPr>
            </w:pPr>
          </w:p>
        </w:tc>
        <w:tc>
          <w:tcPr>
            <w:tcW w:w="3516" w:type="dxa"/>
            <w:shd w:val="clear" w:color="auto" w:fill="auto"/>
            <w:vAlign w:val="center"/>
          </w:tcPr>
          <w:p w14:paraId="3E434788">
            <w:pPr>
              <w:snapToGrid w:val="0"/>
              <w:spacing w:line="360" w:lineRule="auto"/>
              <w:jc w:val="left"/>
              <w:rPr>
                <w:sz w:val="18"/>
                <w:szCs w:val="18"/>
              </w:rPr>
            </w:pPr>
            <w:r>
              <w:rPr>
                <w:rFonts w:hint="eastAsia"/>
                <w:sz w:val="18"/>
                <w:szCs w:val="18"/>
              </w:rPr>
              <w:t>中外教育史</w:t>
            </w:r>
          </w:p>
        </w:tc>
        <w:tc>
          <w:tcPr>
            <w:tcW w:w="1081" w:type="dxa"/>
            <w:shd w:val="clear" w:color="auto" w:fill="auto"/>
            <w:vAlign w:val="center"/>
          </w:tcPr>
          <w:p w14:paraId="361C0FFD">
            <w:pPr>
              <w:snapToGrid w:val="0"/>
              <w:spacing w:line="360" w:lineRule="auto"/>
              <w:jc w:val="center"/>
              <w:rPr>
                <w:sz w:val="18"/>
                <w:szCs w:val="18"/>
              </w:rPr>
            </w:pPr>
            <w:r>
              <w:rPr>
                <w:sz w:val="18"/>
                <w:szCs w:val="18"/>
              </w:rPr>
              <w:t>XS04</w:t>
            </w:r>
            <w:r>
              <w:rPr>
                <w:rFonts w:hint="eastAsia"/>
                <w:sz w:val="18"/>
                <w:szCs w:val="18"/>
              </w:rPr>
              <w:t>42204</w:t>
            </w:r>
          </w:p>
        </w:tc>
        <w:tc>
          <w:tcPr>
            <w:tcW w:w="709" w:type="dxa"/>
            <w:shd w:val="clear" w:color="auto" w:fill="auto"/>
            <w:vAlign w:val="center"/>
          </w:tcPr>
          <w:p w14:paraId="6D9E1FBE">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6634BD1F">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10484D45">
            <w:pPr>
              <w:snapToGrid w:val="0"/>
              <w:spacing w:line="360" w:lineRule="auto"/>
              <w:jc w:val="center"/>
              <w:rPr>
                <w:sz w:val="18"/>
                <w:szCs w:val="18"/>
              </w:rPr>
            </w:pPr>
          </w:p>
        </w:tc>
      </w:tr>
      <w:tr w14:paraId="2FB706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66D52269">
            <w:pPr>
              <w:snapToGrid w:val="0"/>
              <w:spacing w:line="360" w:lineRule="auto"/>
              <w:rPr>
                <w:b/>
                <w:sz w:val="18"/>
                <w:szCs w:val="18"/>
              </w:rPr>
            </w:pPr>
          </w:p>
        </w:tc>
        <w:tc>
          <w:tcPr>
            <w:tcW w:w="1226" w:type="dxa"/>
            <w:vMerge w:val="continue"/>
            <w:shd w:val="clear" w:color="auto" w:fill="auto"/>
            <w:vAlign w:val="center"/>
          </w:tcPr>
          <w:p w14:paraId="19961633">
            <w:pPr>
              <w:snapToGrid w:val="0"/>
              <w:spacing w:line="360" w:lineRule="auto"/>
              <w:jc w:val="center"/>
              <w:rPr>
                <w:b/>
                <w:sz w:val="18"/>
                <w:szCs w:val="18"/>
              </w:rPr>
            </w:pPr>
          </w:p>
        </w:tc>
        <w:tc>
          <w:tcPr>
            <w:tcW w:w="3516" w:type="dxa"/>
            <w:shd w:val="clear" w:color="auto" w:fill="auto"/>
            <w:vAlign w:val="center"/>
          </w:tcPr>
          <w:p w14:paraId="2DDE6644">
            <w:pPr>
              <w:snapToGrid w:val="0"/>
              <w:spacing w:line="360" w:lineRule="auto"/>
              <w:jc w:val="left"/>
              <w:rPr>
                <w:sz w:val="18"/>
                <w:szCs w:val="18"/>
              </w:rPr>
            </w:pPr>
            <w:r>
              <w:rPr>
                <w:rFonts w:hint="eastAsia"/>
                <w:sz w:val="18"/>
                <w:szCs w:val="18"/>
              </w:rPr>
              <w:t>教育评价理论与实践</w:t>
            </w:r>
          </w:p>
        </w:tc>
        <w:tc>
          <w:tcPr>
            <w:tcW w:w="1081" w:type="dxa"/>
            <w:shd w:val="clear" w:color="auto" w:fill="auto"/>
            <w:vAlign w:val="center"/>
          </w:tcPr>
          <w:p w14:paraId="4805F9F9">
            <w:pPr>
              <w:snapToGrid w:val="0"/>
              <w:spacing w:line="360" w:lineRule="auto"/>
              <w:jc w:val="center"/>
              <w:rPr>
                <w:sz w:val="18"/>
                <w:szCs w:val="18"/>
              </w:rPr>
            </w:pPr>
            <w:r>
              <w:rPr>
                <w:sz w:val="18"/>
                <w:szCs w:val="18"/>
              </w:rPr>
              <w:t>XS04</w:t>
            </w:r>
            <w:r>
              <w:rPr>
                <w:rFonts w:hint="eastAsia"/>
                <w:sz w:val="18"/>
                <w:szCs w:val="18"/>
              </w:rPr>
              <w:t>42205</w:t>
            </w:r>
          </w:p>
        </w:tc>
        <w:tc>
          <w:tcPr>
            <w:tcW w:w="709" w:type="dxa"/>
            <w:shd w:val="clear" w:color="auto" w:fill="auto"/>
            <w:vAlign w:val="center"/>
          </w:tcPr>
          <w:p w14:paraId="285392EF">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2938AD9F">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7E697B95">
            <w:pPr>
              <w:snapToGrid w:val="0"/>
              <w:spacing w:line="360" w:lineRule="auto"/>
              <w:jc w:val="center"/>
              <w:rPr>
                <w:sz w:val="18"/>
                <w:szCs w:val="18"/>
              </w:rPr>
            </w:pPr>
          </w:p>
        </w:tc>
      </w:tr>
      <w:tr w14:paraId="3BB744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1096DA5">
            <w:pPr>
              <w:snapToGrid w:val="0"/>
              <w:spacing w:line="360" w:lineRule="auto"/>
              <w:rPr>
                <w:b/>
                <w:sz w:val="18"/>
                <w:szCs w:val="18"/>
              </w:rPr>
            </w:pPr>
          </w:p>
        </w:tc>
        <w:tc>
          <w:tcPr>
            <w:tcW w:w="1226" w:type="dxa"/>
            <w:vMerge w:val="continue"/>
            <w:shd w:val="clear" w:color="auto" w:fill="auto"/>
            <w:vAlign w:val="center"/>
          </w:tcPr>
          <w:p w14:paraId="21C03A7F">
            <w:pPr>
              <w:snapToGrid w:val="0"/>
              <w:spacing w:line="360" w:lineRule="auto"/>
              <w:jc w:val="center"/>
              <w:rPr>
                <w:b/>
                <w:sz w:val="18"/>
                <w:szCs w:val="18"/>
              </w:rPr>
            </w:pPr>
          </w:p>
        </w:tc>
        <w:tc>
          <w:tcPr>
            <w:tcW w:w="3516" w:type="dxa"/>
            <w:shd w:val="clear" w:color="auto" w:fill="auto"/>
            <w:vAlign w:val="center"/>
          </w:tcPr>
          <w:p w14:paraId="6690CEA9">
            <w:pPr>
              <w:snapToGrid w:val="0"/>
              <w:spacing w:line="360" w:lineRule="auto"/>
              <w:jc w:val="left"/>
              <w:rPr>
                <w:sz w:val="18"/>
                <w:szCs w:val="18"/>
              </w:rPr>
            </w:pPr>
            <w:r>
              <w:rPr>
                <w:rFonts w:hint="eastAsia"/>
                <w:sz w:val="18"/>
                <w:szCs w:val="18"/>
              </w:rPr>
              <w:t>教育管理研究前沿</w:t>
            </w:r>
          </w:p>
        </w:tc>
        <w:tc>
          <w:tcPr>
            <w:tcW w:w="1081" w:type="dxa"/>
            <w:shd w:val="clear" w:color="auto" w:fill="auto"/>
            <w:vAlign w:val="center"/>
          </w:tcPr>
          <w:p w14:paraId="5C550FE5">
            <w:pPr>
              <w:snapToGrid w:val="0"/>
              <w:spacing w:line="360" w:lineRule="auto"/>
              <w:jc w:val="center"/>
              <w:rPr>
                <w:sz w:val="18"/>
                <w:szCs w:val="18"/>
              </w:rPr>
            </w:pPr>
            <w:r>
              <w:rPr>
                <w:sz w:val="18"/>
                <w:szCs w:val="18"/>
              </w:rPr>
              <w:t>XS04</w:t>
            </w:r>
            <w:r>
              <w:rPr>
                <w:rFonts w:hint="eastAsia"/>
                <w:sz w:val="18"/>
                <w:szCs w:val="18"/>
              </w:rPr>
              <w:t>42206</w:t>
            </w:r>
          </w:p>
        </w:tc>
        <w:tc>
          <w:tcPr>
            <w:tcW w:w="709" w:type="dxa"/>
            <w:shd w:val="clear" w:color="auto" w:fill="auto"/>
            <w:vAlign w:val="center"/>
          </w:tcPr>
          <w:p w14:paraId="464FB09D">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7A374A81">
            <w:pPr>
              <w:snapToGrid w:val="0"/>
              <w:spacing w:line="360" w:lineRule="auto"/>
              <w:jc w:val="center"/>
              <w:rPr>
                <w:sz w:val="18"/>
                <w:szCs w:val="18"/>
              </w:rPr>
            </w:pPr>
            <w:r>
              <w:rPr>
                <w:rFonts w:hint="eastAsia"/>
                <w:sz w:val="18"/>
                <w:szCs w:val="18"/>
              </w:rPr>
              <w:t>1</w:t>
            </w:r>
          </w:p>
        </w:tc>
        <w:tc>
          <w:tcPr>
            <w:tcW w:w="1045" w:type="dxa"/>
            <w:vMerge w:val="continue"/>
            <w:shd w:val="clear" w:color="auto" w:fill="auto"/>
            <w:vAlign w:val="center"/>
          </w:tcPr>
          <w:p w14:paraId="36321E0A">
            <w:pPr>
              <w:snapToGrid w:val="0"/>
              <w:spacing w:line="360" w:lineRule="auto"/>
              <w:jc w:val="center"/>
              <w:rPr>
                <w:sz w:val="18"/>
                <w:szCs w:val="18"/>
              </w:rPr>
            </w:pPr>
          </w:p>
        </w:tc>
      </w:tr>
      <w:tr w14:paraId="45C22B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0BD0E9D">
            <w:pPr>
              <w:snapToGrid w:val="0"/>
              <w:spacing w:line="360" w:lineRule="auto"/>
              <w:rPr>
                <w:b/>
                <w:sz w:val="18"/>
                <w:szCs w:val="18"/>
              </w:rPr>
            </w:pPr>
          </w:p>
        </w:tc>
        <w:tc>
          <w:tcPr>
            <w:tcW w:w="1226" w:type="dxa"/>
            <w:vMerge w:val="restart"/>
            <w:shd w:val="clear" w:color="auto" w:fill="auto"/>
            <w:vAlign w:val="center"/>
          </w:tcPr>
          <w:p w14:paraId="76B9EF0C">
            <w:pPr>
              <w:adjustRightInd w:val="0"/>
              <w:snapToGrid w:val="0"/>
              <w:spacing w:line="360" w:lineRule="auto"/>
              <w:jc w:val="center"/>
              <w:rPr>
                <w:b/>
                <w:sz w:val="18"/>
                <w:szCs w:val="18"/>
              </w:rPr>
            </w:pPr>
            <w:r>
              <w:rPr>
                <w:rFonts w:hint="eastAsia"/>
                <w:b/>
                <w:sz w:val="18"/>
                <w:szCs w:val="18"/>
              </w:rPr>
              <w:t>教育</w:t>
            </w:r>
          </w:p>
          <w:p w14:paraId="197F79D3">
            <w:pPr>
              <w:adjustRightInd w:val="0"/>
              <w:snapToGrid w:val="0"/>
              <w:spacing w:line="360" w:lineRule="auto"/>
              <w:jc w:val="center"/>
              <w:rPr>
                <w:b/>
                <w:sz w:val="18"/>
                <w:szCs w:val="18"/>
              </w:rPr>
            </w:pPr>
            <w:r>
              <w:rPr>
                <w:rFonts w:hint="eastAsia"/>
                <w:b/>
                <w:sz w:val="18"/>
                <w:szCs w:val="18"/>
              </w:rPr>
              <w:t>经济</w:t>
            </w:r>
          </w:p>
          <w:p w14:paraId="596F4206">
            <w:pPr>
              <w:adjustRightInd w:val="0"/>
              <w:snapToGrid w:val="0"/>
              <w:spacing w:line="360" w:lineRule="auto"/>
              <w:jc w:val="center"/>
              <w:rPr>
                <w:b/>
                <w:sz w:val="18"/>
                <w:szCs w:val="18"/>
              </w:rPr>
            </w:pPr>
            <w:r>
              <w:rPr>
                <w:rFonts w:hint="eastAsia"/>
                <w:b/>
                <w:sz w:val="18"/>
                <w:szCs w:val="18"/>
              </w:rPr>
              <w:t>方向</w:t>
            </w:r>
          </w:p>
          <w:p w14:paraId="3A0D03E6">
            <w:pPr>
              <w:adjustRightInd w:val="0"/>
              <w:snapToGrid w:val="0"/>
              <w:spacing w:line="360" w:lineRule="auto"/>
              <w:jc w:val="center"/>
              <w:rPr>
                <w:b/>
                <w:sz w:val="18"/>
                <w:szCs w:val="18"/>
              </w:rPr>
            </w:pPr>
            <w:r>
              <w:rPr>
                <w:rFonts w:hint="eastAsia"/>
                <w:b/>
                <w:sz w:val="18"/>
                <w:szCs w:val="18"/>
              </w:rPr>
              <w:t>选修课</w:t>
            </w:r>
          </w:p>
        </w:tc>
        <w:tc>
          <w:tcPr>
            <w:tcW w:w="3516" w:type="dxa"/>
            <w:shd w:val="clear" w:color="auto" w:fill="auto"/>
            <w:vAlign w:val="center"/>
          </w:tcPr>
          <w:p w14:paraId="205B7462">
            <w:pPr>
              <w:snapToGrid w:val="0"/>
              <w:spacing w:line="360" w:lineRule="auto"/>
              <w:jc w:val="left"/>
              <w:rPr>
                <w:i/>
                <w:sz w:val="18"/>
                <w:szCs w:val="18"/>
              </w:rPr>
            </w:pPr>
            <w:r>
              <w:rPr>
                <w:rFonts w:hint="eastAsia"/>
                <w:sz w:val="18"/>
                <w:szCs w:val="18"/>
              </w:rPr>
              <w:t>西方教育经济学研究</w:t>
            </w:r>
          </w:p>
        </w:tc>
        <w:tc>
          <w:tcPr>
            <w:tcW w:w="1081" w:type="dxa"/>
            <w:shd w:val="clear" w:color="auto" w:fill="auto"/>
            <w:vAlign w:val="center"/>
          </w:tcPr>
          <w:p w14:paraId="6F8CA7AB">
            <w:pPr>
              <w:snapToGrid w:val="0"/>
              <w:spacing w:line="360" w:lineRule="auto"/>
              <w:jc w:val="center"/>
              <w:rPr>
                <w:sz w:val="18"/>
                <w:szCs w:val="18"/>
              </w:rPr>
            </w:pPr>
            <w:r>
              <w:rPr>
                <w:sz w:val="18"/>
                <w:szCs w:val="18"/>
              </w:rPr>
              <w:t>XS04</w:t>
            </w:r>
            <w:r>
              <w:rPr>
                <w:rFonts w:hint="eastAsia"/>
                <w:sz w:val="18"/>
                <w:szCs w:val="18"/>
              </w:rPr>
              <w:t>42207</w:t>
            </w:r>
          </w:p>
        </w:tc>
        <w:tc>
          <w:tcPr>
            <w:tcW w:w="709" w:type="dxa"/>
            <w:shd w:val="clear" w:color="auto" w:fill="auto"/>
            <w:vAlign w:val="center"/>
          </w:tcPr>
          <w:p w14:paraId="020943AF">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38764E17">
            <w:pPr>
              <w:snapToGrid w:val="0"/>
              <w:spacing w:line="360" w:lineRule="auto"/>
              <w:jc w:val="center"/>
              <w:rPr>
                <w:sz w:val="18"/>
                <w:szCs w:val="18"/>
              </w:rPr>
            </w:pPr>
            <w:r>
              <w:rPr>
                <w:rFonts w:hint="eastAsia"/>
                <w:sz w:val="18"/>
                <w:szCs w:val="18"/>
              </w:rPr>
              <w:t>2</w:t>
            </w:r>
          </w:p>
        </w:tc>
        <w:tc>
          <w:tcPr>
            <w:tcW w:w="1045" w:type="dxa"/>
            <w:vMerge w:val="restart"/>
            <w:shd w:val="clear" w:color="auto" w:fill="auto"/>
            <w:vAlign w:val="center"/>
          </w:tcPr>
          <w:p w14:paraId="2D9EA712">
            <w:pPr>
              <w:adjustRightInd w:val="0"/>
              <w:snapToGrid w:val="0"/>
              <w:spacing w:line="360" w:lineRule="auto"/>
              <w:jc w:val="center"/>
              <w:rPr>
                <w:sz w:val="18"/>
                <w:szCs w:val="18"/>
              </w:rPr>
            </w:pPr>
            <w:r>
              <w:rPr>
                <w:sz w:val="18"/>
                <w:szCs w:val="18"/>
              </w:rPr>
              <w:t>本方向研究生至少选修</w:t>
            </w:r>
          </w:p>
          <w:p w14:paraId="3A7C186F">
            <w:pPr>
              <w:adjustRightInd w:val="0"/>
              <w:snapToGrid w:val="0"/>
              <w:spacing w:line="360" w:lineRule="auto"/>
              <w:jc w:val="center"/>
              <w:rPr>
                <w:sz w:val="18"/>
                <w:szCs w:val="18"/>
              </w:rPr>
            </w:pPr>
            <w:r>
              <w:rPr>
                <w:rFonts w:hint="eastAsia"/>
                <w:sz w:val="18"/>
                <w:szCs w:val="18"/>
              </w:rPr>
              <w:t>4</w:t>
            </w:r>
            <w:r>
              <w:rPr>
                <w:sz w:val="18"/>
                <w:szCs w:val="18"/>
              </w:rPr>
              <w:t>学分</w:t>
            </w:r>
          </w:p>
        </w:tc>
      </w:tr>
      <w:tr w14:paraId="3747D5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3F3481BC">
            <w:pPr>
              <w:snapToGrid w:val="0"/>
              <w:spacing w:line="360" w:lineRule="auto"/>
              <w:rPr>
                <w:b/>
                <w:sz w:val="18"/>
                <w:szCs w:val="18"/>
              </w:rPr>
            </w:pPr>
          </w:p>
        </w:tc>
        <w:tc>
          <w:tcPr>
            <w:tcW w:w="1226" w:type="dxa"/>
            <w:vMerge w:val="continue"/>
            <w:shd w:val="clear" w:color="auto" w:fill="auto"/>
            <w:vAlign w:val="center"/>
          </w:tcPr>
          <w:p w14:paraId="5C61DAF8">
            <w:pPr>
              <w:adjustRightInd w:val="0"/>
              <w:snapToGrid w:val="0"/>
              <w:spacing w:line="360" w:lineRule="auto"/>
              <w:jc w:val="center"/>
              <w:rPr>
                <w:b/>
                <w:sz w:val="18"/>
                <w:szCs w:val="18"/>
              </w:rPr>
            </w:pPr>
          </w:p>
        </w:tc>
        <w:tc>
          <w:tcPr>
            <w:tcW w:w="3516" w:type="dxa"/>
            <w:shd w:val="clear" w:color="auto" w:fill="auto"/>
            <w:vAlign w:val="center"/>
          </w:tcPr>
          <w:p w14:paraId="311A357C">
            <w:pPr>
              <w:snapToGrid w:val="0"/>
              <w:spacing w:line="360" w:lineRule="auto"/>
              <w:jc w:val="left"/>
              <w:rPr>
                <w:i/>
                <w:sz w:val="18"/>
                <w:szCs w:val="18"/>
              </w:rPr>
            </w:pPr>
            <w:r>
              <w:rPr>
                <w:rFonts w:hint="eastAsia"/>
                <w:sz w:val="18"/>
                <w:szCs w:val="18"/>
              </w:rPr>
              <w:t>公共经济学</w:t>
            </w:r>
          </w:p>
        </w:tc>
        <w:tc>
          <w:tcPr>
            <w:tcW w:w="1081" w:type="dxa"/>
            <w:shd w:val="clear" w:color="auto" w:fill="auto"/>
            <w:vAlign w:val="center"/>
          </w:tcPr>
          <w:p w14:paraId="5582A445">
            <w:pPr>
              <w:snapToGrid w:val="0"/>
              <w:spacing w:line="360" w:lineRule="auto"/>
              <w:jc w:val="center"/>
              <w:rPr>
                <w:sz w:val="18"/>
                <w:szCs w:val="18"/>
              </w:rPr>
            </w:pPr>
            <w:r>
              <w:rPr>
                <w:sz w:val="18"/>
                <w:szCs w:val="18"/>
              </w:rPr>
              <w:t>XS04</w:t>
            </w:r>
            <w:r>
              <w:rPr>
                <w:rFonts w:hint="eastAsia"/>
                <w:sz w:val="18"/>
                <w:szCs w:val="18"/>
              </w:rPr>
              <w:t>42208</w:t>
            </w:r>
          </w:p>
        </w:tc>
        <w:tc>
          <w:tcPr>
            <w:tcW w:w="709" w:type="dxa"/>
            <w:shd w:val="clear" w:color="auto" w:fill="auto"/>
            <w:vAlign w:val="center"/>
          </w:tcPr>
          <w:p w14:paraId="0FE4DD2F">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5A06200D">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3808739B">
            <w:pPr>
              <w:adjustRightInd w:val="0"/>
              <w:snapToGrid w:val="0"/>
              <w:spacing w:line="360" w:lineRule="auto"/>
              <w:jc w:val="center"/>
              <w:rPr>
                <w:sz w:val="18"/>
                <w:szCs w:val="18"/>
              </w:rPr>
            </w:pPr>
          </w:p>
        </w:tc>
      </w:tr>
      <w:tr w14:paraId="43ECA9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A305FBC">
            <w:pPr>
              <w:snapToGrid w:val="0"/>
              <w:spacing w:line="360" w:lineRule="auto"/>
              <w:rPr>
                <w:b/>
                <w:sz w:val="18"/>
                <w:szCs w:val="18"/>
              </w:rPr>
            </w:pPr>
          </w:p>
        </w:tc>
        <w:tc>
          <w:tcPr>
            <w:tcW w:w="1226" w:type="dxa"/>
            <w:vMerge w:val="continue"/>
            <w:shd w:val="clear" w:color="auto" w:fill="auto"/>
            <w:vAlign w:val="center"/>
          </w:tcPr>
          <w:p w14:paraId="7CD56518">
            <w:pPr>
              <w:adjustRightInd w:val="0"/>
              <w:snapToGrid w:val="0"/>
              <w:spacing w:line="360" w:lineRule="auto"/>
              <w:jc w:val="center"/>
              <w:rPr>
                <w:b/>
                <w:sz w:val="18"/>
                <w:szCs w:val="18"/>
              </w:rPr>
            </w:pPr>
          </w:p>
        </w:tc>
        <w:tc>
          <w:tcPr>
            <w:tcW w:w="3516" w:type="dxa"/>
            <w:shd w:val="clear" w:color="auto" w:fill="auto"/>
            <w:vAlign w:val="center"/>
          </w:tcPr>
          <w:p w14:paraId="21943398">
            <w:pPr>
              <w:snapToGrid w:val="0"/>
              <w:spacing w:line="360" w:lineRule="auto"/>
              <w:jc w:val="left"/>
              <w:rPr>
                <w:i/>
                <w:sz w:val="18"/>
                <w:szCs w:val="18"/>
              </w:rPr>
            </w:pPr>
            <w:r>
              <w:rPr>
                <w:rFonts w:hint="eastAsia"/>
                <w:sz w:val="18"/>
                <w:szCs w:val="18"/>
              </w:rPr>
              <w:t>教育法学</w:t>
            </w:r>
          </w:p>
        </w:tc>
        <w:tc>
          <w:tcPr>
            <w:tcW w:w="1081" w:type="dxa"/>
            <w:shd w:val="clear" w:color="auto" w:fill="auto"/>
            <w:vAlign w:val="center"/>
          </w:tcPr>
          <w:p w14:paraId="4D8C1B05">
            <w:pPr>
              <w:snapToGrid w:val="0"/>
              <w:spacing w:line="360" w:lineRule="auto"/>
              <w:jc w:val="center"/>
              <w:rPr>
                <w:sz w:val="18"/>
                <w:szCs w:val="18"/>
              </w:rPr>
            </w:pPr>
            <w:r>
              <w:rPr>
                <w:sz w:val="18"/>
                <w:szCs w:val="18"/>
              </w:rPr>
              <w:t>XS04</w:t>
            </w:r>
            <w:r>
              <w:rPr>
                <w:rFonts w:hint="eastAsia"/>
                <w:sz w:val="18"/>
                <w:szCs w:val="18"/>
              </w:rPr>
              <w:t>42203</w:t>
            </w:r>
          </w:p>
        </w:tc>
        <w:tc>
          <w:tcPr>
            <w:tcW w:w="709" w:type="dxa"/>
            <w:shd w:val="clear" w:color="auto" w:fill="auto"/>
            <w:vAlign w:val="center"/>
          </w:tcPr>
          <w:p w14:paraId="12F56FA0">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6CC81AAC">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53B4389C">
            <w:pPr>
              <w:adjustRightInd w:val="0"/>
              <w:snapToGrid w:val="0"/>
              <w:spacing w:line="360" w:lineRule="auto"/>
              <w:jc w:val="center"/>
              <w:rPr>
                <w:sz w:val="18"/>
                <w:szCs w:val="18"/>
              </w:rPr>
            </w:pPr>
          </w:p>
        </w:tc>
      </w:tr>
      <w:tr w14:paraId="26F916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504D031">
            <w:pPr>
              <w:snapToGrid w:val="0"/>
              <w:spacing w:line="360" w:lineRule="auto"/>
              <w:rPr>
                <w:b/>
                <w:sz w:val="18"/>
                <w:szCs w:val="18"/>
              </w:rPr>
            </w:pPr>
          </w:p>
        </w:tc>
        <w:tc>
          <w:tcPr>
            <w:tcW w:w="1226" w:type="dxa"/>
            <w:vMerge w:val="continue"/>
            <w:shd w:val="clear" w:color="auto" w:fill="auto"/>
            <w:vAlign w:val="center"/>
          </w:tcPr>
          <w:p w14:paraId="64B3B4C0">
            <w:pPr>
              <w:adjustRightInd w:val="0"/>
              <w:snapToGrid w:val="0"/>
              <w:spacing w:line="360" w:lineRule="auto"/>
              <w:jc w:val="center"/>
              <w:rPr>
                <w:b/>
                <w:sz w:val="18"/>
                <w:szCs w:val="18"/>
              </w:rPr>
            </w:pPr>
          </w:p>
        </w:tc>
        <w:tc>
          <w:tcPr>
            <w:tcW w:w="3516" w:type="dxa"/>
            <w:shd w:val="clear" w:color="auto" w:fill="auto"/>
            <w:vAlign w:val="center"/>
          </w:tcPr>
          <w:p w14:paraId="5D2A187E">
            <w:pPr>
              <w:snapToGrid w:val="0"/>
              <w:spacing w:line="360" w:lineRule="auto"/>
              <w:jc w:val="left"/>
              <w:rPr>
                <w:i/>
                <w:sz w:val="18"/>
                <w:szCs w:val="18"/>
              </w:rPr>
            </w:pPr>
            <w:r>
              <w:rPr>
                <w:rFonts w:hint="eastAsia"/>
                <w:sz w:val="18"/>
                <w:szCs w:val="18"/>
              </w:rPr>
              <w:t>中外教育史</w:t>
            </w:r>
          </w:p>
        </w:tc>
        <w:tc>
          <w:tcPr>
            <w:tcW w:w="1081" w:type="dxa"/>
            <w:shd w:val="clear" w:color="auto" w:fill="auto"/>
            <w:vAlign w:val="center"/>
          </w:tcPr>
          <w:p w14:paraId="32FA8572">
            <w:pPr>
              <w:snapToGrid w:val="0"/>
              <w:spacing w:line="360" w:lineRule="auto"/>
              <w:jc w:val="center"/>
              <w:rPr>
                <w:sz w:val="18"/>
                <w:szCs w:val="18"/>
              </w:rPr>
            </w:pPr>
            <w:r>
              <w:rPr>
                <w:sz w:val="18"/>
                <w:szCs w:val="18"/>
              </w:rPr>
              <w:t>XS04</w:t>
            </w:r>
            <w:r>
              <w:rPr>
                <w:rFonts w:hint="eastAsia"/>
                <w:sz w:val="18"/>
                <w:szCs w:val="18"/>
              </w:rPr>
              <w:t>42204</w:t>
            </w:r>
          </w:p>
        </w:tc>
        <w:tc>
          <w:tcPr>
            <w:tcW w:w="709" w:type="dxa"/>
            <w:shd w:val="clear" w:color="auto" w:fill="auto"/>
            <w:vAlign w:val="center"/>
          </w:tcPr>
          <w:p w14:paraId="4FDE40ED">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1C6DAE20">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36BDB5ED">
            <w:pPr>
              <w:adjustRightInd w:val="0"/>
              <w:snapToGrid w:val="0"/>
              <w:spacing w:line="360" w:lineRule="auto"/>
              <w:jc w:val="center"/>
              <w:rPr>
                <w:sz w:val="18"/>
                <w:szCs w:val="18"/>
              </w:rPr>
            </w:pPr>
          </w:p>
        </w:tc>
      </w:tr>
      <w:tr w14:paraId="6EF17B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37CE2AF3">
            <w:pPr>
              <w:snapToGrid w:val="0"/>
              <w:spacing w:line="360" w:lineRule="auto"/>
              <w:rPr>
                <w:b/>
                <w:sz w:val="18"/>
                <w:szCs w:val="18"/>
              </w:rPr>
            </w:pPr>
          </w:p>
        </w:tc>
        <w:tc>
          <w:tcPr>
            <w:tcW w:w="1226" w:type="dxa"/>
            <w:vMerge w:val="continue"/>
            <w:shd w:val="clear" w:color="auto" w:fill="auto"/>
            <w:vAlign w:val="center"/>
          </w:tcPr>
          <w:p w14:paraId="7B5287D6">
            <w:pPr>
              <w:snapToGrid w:val="0"/>
              <w:spacing w:line="360" w:lineRule="auto"/>
              <w:jc w:val="center"/>
              <w:rPr>
                <w:b/>
                <w:sz w:val="18"/>
                <w:szCs w:val="18"/>
              </w:rPr>
            </w:pPr>
          </w:p>
        </w:tc>
        <w:tc>
          <w:tcPr>
            <w:tcW w:w="3516" w:type="dxa"/>
            <w:shd w:val="clear" w:color="auto" w:fill="auto"/>
            <w:vAlign w:val="center"/>
          </w:tcPr>
          <w:p w14:paraId="28321B99">
            <w:pPr>
              <w:adjustRightInd w:val="0"/>
              <w:snapToGrid w:val="0"/>
              <w:spacing w:line="360" w:lineRule="auto"/>
              <w:jc w:val="left"/>
              <w:rPr>
                <w:rFonts w:hint="eastAsia" w:asciiTheme="majorEastAsia" w:hAnsiTheme="majorEastAsia" w:eastAsiaTheme="majorEastAsia" w:cstheme="majorEastAsia"/>
                <w:sz w:val="18"/>
                <w:szCs w:val="18"/>
              </w:rPr>
            </w:pPr>
            <w:r>
              <w:rPr>
                <w:rFonts w:hint="eastAsia"/>
                <w:sz w:val="18"/>
                <w:szCs w:val="18"/>
              </w:rPr>
              <w:t>教育评价理论与实践</w:t>
            </w:r>
          </w:p>
        </w:tc>
        <w:tc>
          <w:tcPr>
            <w:tcW w:w="1081" w:type="dxa"/>
            <w:shd w:val="clear" w:color="auto" w:fill="auto"/>
            <w:vAlign w:val="center"/>
          </w:tcPr>
          <w:p w14:paraId="255983FE">
            <w:pPr>
              <w:snapToGrid w:val="0"/>
              <w:spacing w:line="360" w:lineRule="auto"/>
              <w:jc w:val="center"/>
              <w:rPr>
                <w:sz w:val="18"/>
                <w:szCs w:val="18"/>
              </w:rPr>
            </w:pPr>
            <w:r>
              <w:rPr>
                <w:sz w:val="18"/>
                <w:szCs w:val="18"/>
              </w:rPr>
              <w:t>XS04</w:t>
            </w:r>
            <w:r>
              <w:rPr>
                <w:rFonts w:hint="eastAsia"/>
                <w:sz w:val="18"/>
                <w:szCs w:val="18"/>
              </w:rPr>
              <w:t>42205</w:t>
            </w:r>
          </w:p>
        </w:tc>
        <w:tc>
          <w:tcPr>
            <w:tcW w:w="709" w:type="dxa"/>
            <w:shd w:val="clear" w:color="auto" w:fill="auto"/>
            <w:vAlign w:val="center"/>
          </w:tcPr>
          <w:p w14:paraId="76295EB8">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2C23A292">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6E2079E7">
            <w:pPr>
              <w:snapToGrid w:val="0"/>
              <w:spacing w:line="360" w:lineRule="auto"/>
              <w:jc w:val="center"/>
              <w:rPr>
                <w:sz w:val="18"/>
                <w:szCs w:val="18"/>
              </w:rPr>
            </w:pPr>
          </w:p>
        </w:tc>
      </w:tr>
      <w:tr w14:paraId="7C56FB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3CE87D16">
            <w:pPr>
              <w:snapToGrid w:val="0"/>
              <w:spacing w:line="360" w:lineRule="auto"/>
              <w:rPr>
                <w:b/>
                <w:sz w:val="18"/>
                <w:szCs w:val="18"/>
              </w:rPr>
            </w:pPr>
          </w:p>
        </w:tc>
        <w:tc>
          <w:tcPr>
            <w:tcW w:w="1226" w:type="dxa"/>
            <w:vMerge w:val="continue"/>
            <w:shd w:val="clear" w:color="auto" w:fill="auto"/>
            <w:vAlign w:val="center"/>
          </w:tcPr>
          <w:p w14:paraId="3E138757">
            <w:pPr>
              <w:snapToGrid w:val="0"/>
              <w:spacing w:line="360" w:lineRule="auto"/>
              <w:jc w:val="center"/>
              <w:rPr>
                <w:b/>
                <w:sz w:val="18"/>
                <w:szCs w:val="18"/>
              </w:rPr>
            </w:pPr>
          </w:p>
        </w:tc>
        <w:tc>
          <w:tcPr>
            <w:tcW w:w="3516" w:type="dxa"/>
            <w:shd w:val="clear" w:color="auto" w:fill="auto"/>
            <w:vAlign w:val="center"/>
          </w:tcPr>
          <w:p w14:paraId="0E3BDFFD">
            <w:pPr>
              <w:adjustRightInd w:val="0"/>
              <w:snapToGrid w:val="0"/>
              <w:spacing w:line="360" w:lineRule="auto"/>
              <w:jc w:val="left"/>
              <w:rPr>
                <w:i/>
                <w:sz w:val="18"/>
                <w:szCs w:val="18"/>
              </w:rPr>
            </w:pPr>
            <w:r>
              <w:rPr>
                <w:rFonts w:hint="eastAsia" w:asciiTheme="majorEastAsia" w:hAnsiTheme="majorEastAsia" w:eastAsiaTheme="majorEastAsia" w:cstheme="majorEastAsia"/>
                <w:sz w:val="18"/>
                <w:szCs w:val="18"/>
              </w:rPr>
              <w:t>教育经济研究前沿</w:t>
            </w:r>
          </w:p>
        </w:tc>
        <w:tc>
          <w:tcPr>
            <w:tcW w:w="1081" w:type="dxa"/>
            <w:shd w:val="clear" w:color="auto" w:fill="auto"/>
            <w:vAlign w:val="center"/>
          </w:tcPr>
          <w:p w14:paraId="2A0C960C">
            <w:pPr>
              <w:snapToGrid w:val="0"/>
              <w:spacing w:line="360" w:lineRule="auto"/>
              <w:jc w:val="center"/>
              <w:rPr>
                <w:sz w:val="18"/>
                <w:szCs w:val="18"/>
              </w:rPr>
            </w:pPr>
            <w:r>
              <w:rPr>
                <w:sz w:val="18"/>
                <w:szCs w:val="18"/>
              </w:rPr>
              <w:t>XS04</w:t>
            </w:r>
            <w:r>
              <w:rPr>
                <w:rFonts w:hint="eastAsia"/>
                <w:sz w:val="18"/>
                <w:szCs w:val="18"/>
              </w:rPr>
              <w:t>42209</w:t>
            </w:r>
          </w:p>
        </w:tc>
        <w:tc>
          <w:tcPr>
            <w:tcW w:w="709" w:type="dxa"/>
            <w:shd w:val="clear" w:color="auto" w:fill="auto"/>
            <w:vAlign w:val="center"/>
          </w:tcPr>
          <w:p w14:paraId="3FE5197C">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530F7CB1">
            <w:pPr>
              <w:snapToGrid w:val="0"/>
              <w:spacing w:line="360" w:lineRule="auto"/>
              <w:jc w:val="center"/>
              <w:rPr>
                <w:sz w:val="18"/>
                <w:szCs w:val="18"/>
              </w:rPr>
            </w:pPr>
            <w:r>
              <w:rPr>
                <w:rFonts w:hint="eastAsia"/>
                <w:sz w:val="18"/>
                <w:szCs w:val="18"/>
              </w:rPr>
              <w:t>1</w:t>
            </w:r>
          </w:p>
        </w:tc>
        <w:tc>
          <w:tcPr>
            <w:tcW w:w="1045" w:type="dxa"/>
            <w:vMerge w:val="continue"/>
            <w:shd w:val="clear" w:color="auto" w:fill="auto"/>
            <w:vAlign w:val="center"/>
          </w:tcPr>
          <w:p w14:paraId="142F798E">
            <w:pPr>
              <w:snapToGrid w:val="0"/>
              <w:spacing w:line="360" w:lineRule="auto"/>
              <w:jc w:val="center"/>
              <w:rPr>
                <w:sz w:val="18"/>
                <w:szCs w:val="18"/>
              </w:rPr>
            </w:pPr>
          </w:p>
        </w:tc>
      </w:tr>
      <w:tr w14:paraId="0209CD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shd w:val="clear" w:color="auto" w:fill="auto"/>
            <w:vAlign w:val="center"/>
          </w:tcPr>
          <w:p w14:paraId="2FFF1392">
            <w:pPr>
              <w:snapToGrid w:val="0"/>
              <w:spacing w:line="360" w:lineRule="auto"/>
              <w:jc w:val="center"/>
              <w:rPr>
                <w:b/>
                <w:sz w:val="18"/>
                <w:szCs w:val="18"/>
              </w:rPr>
            </w:pPr>
            <w:r>
              <w:rPr>
                <w:b/>
                <w:sz w:val="18"/>
                <w:szCs w:val="18"/>
              </w:rPr>
              <w:t>必修环节</w:t>
            </w:r>
          </w:p>
          <w:p w14:paraId="679E8C99">
            <w:pPr>
              <w:snapToGrid w:val="0"/>
              <w:spacing w:line="360" w:lineRule="auto"/>
              <w:jc w:val="center"/>
              <w:rPr>
                <w:b/>
                <w:sz w:val="18"/>
                <w:szCs w:val="18"/>
              </w:rPr>
            </w:pPr>
          </w:p>
        </w:tc>
        <w:tc>
          <w:tcPr>
            <w:tcW w:w="1226" w:type="dxa"/>
            <w:vMerge w:val="restart"/>
            <w:shd w:val="clear" w:color="auto" w:fill="auto"/>
            <w:vAlign w:val="center"/>
          </w:tcPr>
          <w:p w14:paraId="4884AB23">
            <w:pPr>
              <w:snapToGrid w:val="0"/>
              <w:spacing w:line="360" w:lineRule="auto"/>
              <w:jc w:val="center"/>
              <w:rPr>
                <w:b/>
                <w:sz w:val="18"/>
                <w:szCs w:val="18"/>
              </w:rPr>
            </w:pPr>
            <w:r>
              <w:rPr>
                <w:b/>
                <w:sz w:val="18"/>
                <w:szCs w:val="18"/>
              </w:rPr>
              <w:t>素质拓展</w:t>
            </w:r>
          </w:p>
        </w:tc>
        <w:tc>
          <w:tcPr>
            <w:tcW w:w="3516" w:type="dxa"/>
            <w:shd w:val="clear" w:color="auto" w:fill="auto"/>
            <w:vAlign w:val="center"/>
          </w:tcPr>
          <w:p w14:paraId="24A64A96">
            <w:pPr>
              <w:snapToGrid w:val="0"/>
              <w:spacing w:line="360" w:lineRule="auto"/>
              <w:jc w:val="left"/>
              <w:rPr>
                <w:sz w:val="18"/>
                <w:szCs w:val="18"/>
              </w:rPr>
            </w:pPr>
            <w:r>
              <w:rPr>
                <w:sz w:val="18"/>
                <w:szCs w:val="18"/>
              </w:rPr>
              <w:t>入学教育</w:t>
            </w:r>
          </w:p>
        </w:tc>
        <w:tc>
          <w:tcPr>
            <w:tcW w:w="1081" w:type="dxa"/>
            <w:shd w:val="clear" w:color="auto" w:fill="auto"/>
            <w:vAlign w:val="center"/>
          </w:tcPr>
          <w:p w14:paraId="1A883369">
            <w:pPr>
              <w:snapToGrid w:val="0"/>
              <w:spacing w:line="360" w:lineRule="auto"/>
              <w:jc w:val="center"/>
              <w:rPr>
                <w:sz w:val="18"/>
                <w:szCs w:val="18"/>
              </w:rPr>
            </w:pPr>
          </w:p>
        </w:tc>
        <w:tc>
          <w:tcPr>
            <w:tcW w:w="709" w:type="dxa"/>
            <w:shd w:val="clear" w:color="auto" w:fill="auto"/>
            <w:vAlign w:val="center"/>
          </w:tcPr>
          <w:p w14:paraId="76291197">
            <w:pPr>
              <w:snapToGrid w:val="0"/>
              <w:spacing w:line="360" w:lineRule="auto"/>
              <w:jc w:val="center"/>
              <w:rPr>
                <w:sz w:val="18"/>
                <w:szCs w:val="18"/>
              </w:rPr>
            </w:pPr>
            <w:r>
              <w:rPr>
                <w:rFonts w:hint="eastAsia"/>
                <w:sz w:val="18"/>
                <w:szCs w:val="18"/>
              </w:rPr>
              <w:t>1</w:t>
            </w:r>
          </w:p>
        </w:tc>
        <w:tc>
          <w:tcPr>
            <w:tcW w:w="709" w:type="dxa"/>
            <w:shd w:val="clear" w:color="auto" w:fill="auto"/>
            <w:vAlign w:val="center"/>
          </w:tcPr>
          <w:p w14:paraId="2094D4E1">
            <w:pPr>
              <w:snapToGrid w:val="0"/>
              <w:spacing w:line="360" w:lineRule="auto"/>
              <w:jc w:val="center"/>
              <w:rPr>
                <w:sz w:val="18"/>
                <w:szCs w:val="18"/>
              </w:rPr>
            </w:pPr>
            <w:r>
              <w:rPr>
                <w:sz w:val="18"/>
                <w:szCs w:val="18"/>
              </w:rPr>
              <w:t>1</w:t>
            </w:r>
          </w:p>
        </w:tc>
        <w:tc>
          <w:tcPr>
            <w:tcW w:w="1045" w:type="dxa"/>
            <w:vMerge w:val="restart"/>
            <w:shd w:val="clear" w:color="auto" w:fill="auto"/>
            <w:vAlign w:val="center"/>
          </w:tcPr>
          <w:p w14:paraId="08B77B82">
            <w:pPr>
              <w:snapToGrid w:val="0"/>
              <w:spacing w:line="360" w:lineRule="auto"/>
              <w:jc w:val="center"/>
              <w:rPr>
                <w:i/>
                <w:sz w:val="18"/>
                <w:szCs w:val="18"/>
              </w:rPr>
            </w:pPr>
          </w:p>
        </w:tc>
      </w:tr>
      <w:tr w14:paraId="1812D4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shd w:val="clear" w:color="auto" w:fill="auto"/>
            <w:vAlign w:val="center"/>
          </w:tcPr>
          <w:p w14:paraId="4D1B5020">
            <w:pPr>
              <w:snapToGrid w:val="0"/>
              <w:spacing w:line="360" w:lineRule="auto"/>
              <w:jc w:val="center"/>
              <w:rPr>
                <w:b/>
                <w:sz w:val="18"/>
                <w:szCs w:val="18"/>
              </w:rPr>
            </w:pPr>
          </w:p>
        </w:tc>
        <w:tc>
          <w:tcPr>
            <w:tcW w:w="1226" w:type="dxa"/>
            <w:vMerge w:val="continue"/>
            <w:shd w:val="clear" w:color="auto" w:fill="auto"/>
            <w:vAlign w:val="center"/>
          </w:tcPr>
          <w:p w14:paraId="2BDDC0EF">
            <w:pPr>
              <w:snapToGrid w:val="0"/>
              <w:spacing w:line="360" w:lineRule="auto"/>
              <w:jc w:val="center"/>
              <w:rPr>
                <w:b/>
                <w:sz w:val="18"/>
                <w:szCs w:val="18"/>
              </w:rPr>
            </w:pPr>
          </w:p>
        </w:tc>
        <w:tc>
          <w:tcPr>
            <w:tcW w:w="3516" w:type="dxa"/>
            <w:shd w:val="clear" w:color="auto" w:fill="auto"/>
            <w:vAlign w:val="center"/>
          </w:tcPr>
          <w:p w14:paraId="753F4B1E">
            <w:pPr>
              <w:snapToGrid w:val="0"/>
              <w:spacing w:line="360" w:lineRule="auto"/>
              <w:jc w:val="left"/>
              <w:rPr>
                <w:sz w:val="18"/>
                <w:szCs w:val="18"/>
              </w:rPr>
            </w:pPr>
            <w:r>
              <w:rPr>
                <w:sz w:val="18"/>
                <w:szCs w:val="18"/>
              </w:rPr>
              <w:t>学术</w:t>
            </w:r>
            <w:r>
              <w:rPr>
                <w:rFonts w:hint="eastAsia"/>
                <w:sz w:val="18"/>
                <w:szCs w:val="18"/>
              </w:rPr>
              <w:t>及实践</w:t>
            </w:r>
            <w:r>
              <w:rPr>
                <w:sz w:val="18"/>
                <w:szCs w:val="18"/>
              </w:rPr>
              <w:t>活动</w:t>
            </w:r>
          </w:p>
        </w:tc>
        <w:tc>
          <w:tcPr>
            <w:tcW w:w="1081" w:type="dxa"/>
            <w:shd w:val="clear" w:color="auto" w:fill="auto"/>
            <w:vAlign w:val="center"/>
          </w:tcPr>
          <w:p w14:paraId="1831A3E1">
            <w:pPr>
              <w:snapToGrid w:val="0"/>
              <w:spacing w:line="360" w:lineRule="auto"/>
              <w:jc w:val="center"/>
              <w:rPr>
                <w:sz w:val="18"/>
                <w:szCs w:val="18"/>
              </w:rPr>
            </w:pPr>
          </w:p>
        </w:tc>
        <w:tc>
          <w:tcPr>
            <w:tcW w:w="709" w:type="dxa"/>
            <w:shd w:val="clear" w:color="auto" w:fill="auto"/>
            <w:vAlign w:val="center"/>
          </w:tcPr>
          <w:p w14:paraId="4368AA75">
            <w:pPr>
              <w:snapToGrid w:val="0"/>
              <w:spacing w:line="360" w:lineRule="auto"/>
              <w:jc w:val="center"/>
              <w:rPr>
                <w:sz w:val="18"/>
                <w:szCs w:val="18"/>
              </w:rPr>
            </w:pPr>
            <w:r>
              <w:rPr>
                <w:sz w:val="18"/>
                <w:szCs w:val="18"/>
              </w:rPr>
              <w:t>1</w:t>
            </w:r>
          </w:p>
        </w:tc>
        <w:tc>
          <w:tcPr>
            <w:tcW w:w="709" w:type="dxa"/>
            <w:shd w:val="clear" w:color="auto" w:fill="auto"/>
            <w:vAlign w:val="center"/>
          </w:tcPr>
          <w:p w14:paraId="21601B6E">
            <w:pPr>
              <w:snapToGrid w:val="0"/>
              <w:spacing w:line="360" w:lineRule="auto"/>
              <w:jc w:val="center"/>
              <w:rPr>
                <w:sz w:val="18"/>
                <w:szCs w:val="18"/>
              </w:rPr>
            </w:pPr>
            <w:r>
              <w:rPr>
                <w:rFonts w:hint="eastAsia"/>
                <w:sz w:val="18"/>
                <w:szCs w:val="18"/>
              </w:rPr>
              <w:t>1-6</w:t>
            </w:r>
          </w:p>
        </w:tc>
        <w:tc>
          <w:tcPr>
            <w:tcW w:w="1045" w:type="dxa"/>
            <w:vMerge w:val="continue"/>
            <w:shd w:val="clear" w:color="auto" w:fill="auto"/>
            <w:vAlign w:val="center"/>
          </w:tcPr>
          <w:p w14:paraId="7F090507">
            <w:pPr>
              <w:snapToGrid w:val="0"/>
              <w:spacing w:line="360" w:lineRule="auto"/>
              <w:jc w:val="center"/>
              <w:rPr>
                <w:sz w:val="18"/>
                <w:szCs w:val="18"/>
              </w:rPr>
            </w:pPr>
          </w:p>
        </w:tc>
      </w:tr>
      <w:tr w14:paraId="67C78A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161EA949">
            <w:pPr>
              <w:snapToGrid w:val="0"/>
              <w:spacing w:line="360" w:lineRule="auto"/>
              <w:rPr>
                <w:b/>
                <w:sz w:val="18"/>
                <w:szCs w:val="18"/>
              </w:rPr>
            </w:pPr>
          </w:p>
        </w:tc>
        <w:tc>
          <w:tcPr>
            <w:tcW w:w="1226" w:type="dxa"/>
            <w:vMerge w:val="restart"/>
            <w:shd w:val="clear" w:color="auto" w:fill="auto"/>
            <w:vAlign w:val="center"/>
          </w:tcPr>
          <w:p w14:paraId="315102C7">
            <w:pPr>
              <w:snapToGrid w:val="0"/>
              <w:spacing w:line="360" w:lineRule="auto"/>
              <w:jc w:val="center"/>
              <w:rPr>
                <w:b/>
                <w:sz w:val="18"/>
                <w:szCs w:val="18"/>
              </w:rPr>
            </w:pPr>
            <w:r>
              <w:rPr>
                <w:b/>
                <w:sz w:val="18"/>
                <w:szCs w:val="18"/>
              </w:rPr>
              <w:t>学术训练</w:t>
            </w:r>
          </w:p>
        </w:tc>
        <w:tc>
          <w:tcPr>
            <w:tcW w:w="3516" w:type="dxa"/>
            <w:shd w:val="clear" w:color="auto" w:fill="auto"/>
            <w:vAlign w:val="center"/>
          </w:tcPr>
          <w:p w14:paraId="0BE45B0C">
            <w:pPr>
              <w:snapToGrid w:val="0"/>
              <w:spacing w:line="360" w:lineRule="auto"/>
              <w:jc w:val="left"/>
              <w:rPr>
                <w:sz w:val="18"/>
                <w:szCs w:val="18"/>
              </w:rPr>
            </w:pPr>
            <w:r>
              <w:rPr>
                <w:sz w:val="18"/>
                <w:szCs w:val="18"/>
              </w:rPr>
              <w:t>中期筛选</w:t>
            </w:r>
          </w:p>
        </w:tc>
        <w:tc>
          <w:tcPr>
            <w:tcW w:w="1081" w:type="dxa"/>
            <w:shd w:val="clear" w:color="auto" w:fill="auto"/>
            <w:vAlign w:val="center"/>
          </w:tcPr>
          <w:p w14:paraId="52858B2A">
            <w:pPr>
              <w:snapToGrid w:val="0"/>
              <w:spacing w:line="360" w:lineRule="auto"/>
              <w:jc w:val="center"/>
              <w:rPr>
                <w:sz w:val="18"/>
                <w:szCs w:val="18"/>
              </w:rPr>
            </w:pPr>
          </w:p>
        </w:tc>
        <w:tc>
          <w:tcPr>
            <w:tcW w:w="709" w:type="dxa"/>
            <w:shd w:val="clear" w:color="auto" w:fill="auto"/>
            <w:vAlign w:val="center"/>
          </w:tcPr>
          <w:p w14:paraId="68389FC0">
            <w:pPr>
              <w:snapToGrid w:val="0"/>
              <w:spacing w:line="360" w:lineRule="auto"/>
              <w:jc w:val="center"/>
              <w:rPr>
                <w:sz w:val="18"/>
                <w:szCs w:val="18"/>
              </w:rPr>
            </w:pPr>
          </w:p>
        </w:tc>
        <w:tc>
          <w:tcPr>
            <w:tcW w:w="709" w:type="dxa"/>
            <w:shd w:val="clear" w:color="auto" w:fill="auto"/>
            <w:vAlign w:val="center"/>
          </w:tcPr>
          <w:p w14:paraId="5F556C41">
            <w:pPr>
              <w:snapToGrid w:val="0"/>
              <w:spacing w:line="360" w:lineRule="auto"/>
              <w:jc w:val="center"/>
              <w:rPr>
                <w:sz w:val="18"/>
                <w:szCs w:val="18"/>
              </w:rPr>
            </w:pPr>
            <w:r>
              <w:rPr>
                <w:rFonts w:hint="eastAsia"/>
                <w:iCs/>
                <w:sz w:val="18"/>
                <w:szCs w:val="18"/>
              </w:rPr>
              <w:t>3</w:t>
            </w:r>
          </w:p>
        </w:tc>
        <w:tc>
          <w:tcPr>
            <w:tcW w:w="1045" w:type="dxa"/>
            <w:vMerge w:val="restart"/>
            <w:shd w:val="clear" w:color="auto" w:fill="auto"/>
            <w:vAlign w:val="center"/>
          </w:tcPr>
          <w:p w14:paraId="6B26DBD8">
            <w:pPr>
              <w:snapToGrid w:val="0"/>
              <w:spacing w:line="360" w:lineRule="auto"/>
              <w:jc w:val="center"/>
              <w:rPr>
                <w:sz w:val="18"/>
                <w:szCs w:val="18"/>
              </w:rPr>
            </w:pPr>
            <w:r>
              <w:rPr>
                <w:sz w:val="18"/>
                <w:szCs w:val="18"/>
              </w:rPr>
              <w:t>过程管理</w:t>
            </w:r>
          </w:p>
          <w:p w14:paraId="4CCCCC54">
            <w:pPr>
              <w:snapToGrid w:val="0"/>
              <w:spacing w:line="360" w:lineRule="auto"/>
              <w:jc w:val="center"/>
              <w:rPr>
                <w:sz w:val="18"/>
                <w:szCs w:val="18"/>
              </w:rPr>
            </w:pPr>
            <w:r>
              <w:rPr>
                <w:sz w:val="18"/>
                <w:szCs w:val="18"/>
              </w:rPr>
              <w:t>无学分</w:t>
            </w:r>
          </w:p>
        </w:tc>
      </w:tr>
      <w:tr w14:paraId="42BE20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6D26D351">
            <w:pPr>
              <w:snapToGrid w:val="0"/>
              <w:spacing w:line="360" w:lineRule="auto"/>
              <w:rPr>
                <w:b/>
                <w:sz w:val="18"/>
                <w:szCs w:val="18"/>
              </w:rPr>
            </w:pPr>
          </w:p>
        </w:tc>
        <w:tc>
          <w:tcPr>
            <w:tcW w:w="1226" w:type="dxa"/>
            <w:vMerge w:val="continue"/>
            <w:shd w:val="clear" w:color="auto" w:fill="auto"/>
            <w:vAlign w:val="center"/>
          </w:tcPr>
          <w:p w14:paraId="0585A984">
            <w:pPr>
              <w:snapToGrid w:val="0"/>
              <w:spacing w:line="360" w:lineRule="auto"/>
              <w:jc w:val="center"/>
              <w:rPr>
                <w:b/>
                <w:sz w:val="18"/>
                <w:szCs w:val="18"/>
              </w:rPr>
            </w:pPr>
          </w:p>
        </w:tc>
        <w:tc>
          <w:tcPr>
            <w:tcW w:w="3516" w:type="dxa"/>
            <w:shd w:val="clear" w:color="auto" w:fill="auto"/>
            <w:vAlign w:val="center"/>
          </w:tcPr>
          <w:p w14:paraId="73C4CD65">
            <w:pPr>
              <w:snapToGrid w:val="0"/>
              <w:spacing w:line="360" w:lineRule="auto"/>
              <w:jc w:val="left"/>
              <w:rPr>
                <w:sz w:val="18"/>
                <w:szCs w:val="18"/>
              </w:rPr>
            </w:pPr>
            <w:r>
              <w:rPr>
                <w:sz w:val="18"/>
                <w:szCs w:val="18"/>
              </w:rPr>
              <w:t>论文开题</w:t>
            </w:r>
          </w:p>
        </w:tc>
        <w:tc>
          <w:tcPr>
            <w:tcW w:w="1081" w:type="dxa"/>
            <w:shd w:val="clear" w:color="auto" w:fill="auto"/>
            <w:vAlign w:val="center"/>
          </w:tcPr>
          <w:p w14:paraId="60088E7B">
            <w:pPr>
              <w:snapToGrid w:val="0"/>
              <w:spacing w:line="360" w:lineRule="auto"/>
              <w:jc w:val="center"/>
              <w:rPr>
                <w:sz w:val="18"/>
                <w:szCs w:val="18"/>
              </w:rPr>
            </w:pPr>
          </w:p>
        </w:tc>
        <w:tc>
          <w:tcPr>
            <w:tcW w:w="709" w:type="dxa"/>
            <w:shd w:val="clear" w:color="auto" w:fill="auto"/>
            <w:vAlign w:val="center"/>
          </w:tcPr>
          <w:p w14:paraId="434EE903">
            <w:pPr>
              <w:snapToGrid w:val="0"/>
              <w:spacing w:line="360" w:lineRule="auto"/>
              <w:jc w:val="center"/>
              <w:rPr>
                <w:sz w:val="18"/>
                <w:szCs w:val="18"/>
              </w:rPr>
            </w:pPr>
          </w:p>
        </w:tc>
        <w:tc>
          <w:tcPr>
            <w:tcW w:w="709" w:type="dxa"/>
            <w:shd w:val="clear" w:color="auto" w:fill="auto"/>
            <w:vAlign w:val="center"/>
          </w:tcPr>
          <w:p w14:paraId="454DFA3F">
            <w:pPr>
              <w:snapToGrid w:val="0"/>
              <w:spacing w:line="360" w:lineRule="auto"/>
              <w:jc w:val="center"/>
              <w:rPr>
                <w:sz w:val="18"/>
                <w:szCs w:val="18"/>
              </w:rPr>
            </w:pPr>
            <w:r>
              <w:rPr>
                <w:rFonts w:hint="eastAsia"/>
                <w:iCs/>
                <w:sz w:val="18"/>
                <w:szCs w:val="18"/>
              </w:rPr>
              <w:t>3</w:t>
            </w:r>
          </w:p>
        </w:tc>
        <w:tc>
          <w:tcPr>
            <w:tcW w:w="1045" w:type="dxa"/>
            <w:vMerge w:val="continue"/>
            <w:shd w:val="clear" w:color="auto" w:fill="auto"/>
            <w:vAlign w:val="center"/>
          </w:tcPr>
          <w:p w14:paraId="5B861AC7">
            <w:pPr>
              <w:snapToGrid w:val="0"/>
              <w:spacing w:line="360" w:lineRule="auto"/>
              <w:jc w:val="center"/>
              <w:rPr>
                <w:sz w:val="18"/>
                <w:szCs w:val="18"/>
              </w:rPr>
            </w:pPr>
          </w:p>
        </w:tc>
      </w:tr>
      <w:tr w14:paraId="1374DE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12F5ABC2">
            <w:pPr>
              <w:snapToGrid w:val="0"/>
              <w:spacing w:line="360" w:lineRule="auto"/>
              <w:rPr>
                <w:b/>
                <w:sz w:val="18"/>
                <w:szCs w:val="18"/>
              </w:rPr>
            </w:pPr>
          </w:p>
        </w:tc>
        <w:tc>
          <w:tcPr>
            <w:tcW w:w="1226" w:type="dxa"/>
            <w:vMerge w:val="continue"/>
            <w:shd w:val="clear" w:color="auto" w:fill="auto"/>
            <w:vAlign w:val="center"/>
          </w:tcPr>
          <w:p w14:paraId="75CAF5F5">
            <w:pPr>
              <w:snapToGrid w:val="0"/>
              <w:spacing w:line="360" w:lineRule="auto"/>
              <w:jc w:val="center"/>
              <w:rPr>
                <w:b/>
                <w:sz w:val="18"/>
                <w:szCs w:val="18"/>
              </w:rPr>
            </w:pPr>
          </w:p>
        </w:tc>
        <w:tc>
          <w:tcPr>
            <w:tcW w:w="3516" w:type="dxa"/>
            <w:shd w:val="clear" w:color="auto" w:fill="auto"/>
            <w:vAlign w:val="center"/>
          </w:tcPr>
          <w:p w14:paraId="064AB8F6">
            <w:pPr>
              <w:snapToGrid w:val="0"/>
              <w:spacing w:line="360" w:lineRule="auto"/>
              <w:jc w:val="left"/>
              <w:rPr>
                <w:sz w:val="18"/>
                <w:szCs w:val="18"/>
              </w:rPr>
            </w:pPr>
            <w:r>
              <w:rPr>
                <w:sz w:val="18"/>
                <w:szCs w:val="18"/>
              </w:rPr>
              <w:t>论文中期进展报告</w:t>
            </w:r>
          </w:p>
        </w:tc>
        <w:tc>
          <w:tcPr>
            <w:tcW w:w="1081" w:type="dxa"/>
            <w:shd w:val="clear" w:color="auto" w:fill="auto"/>
            <w:vAlign w:val="center"/>
          </w:tcPr>
          <w:p w14:paraId="7BA659B4">
            <w:pPr>
              <w:snapToGrid w:val="0"/>
              <w:spacing w:line="360" w:lineRule="auto"/>
              <w:jc w:val="center"/>
              <w:rPr>
                <w:sz w:val="18"/>
                <w:szCs w:val="18"/>
              </w:rPr>
            </w:pPr>
          </w:p>
        </w:tc>
        <w:tc>
          <w:tcPr>
            <w:tcW w:w="709" w:type="dxa"/>
            <w:shd w:val="clear" w:color="auto" w:fill="auto"/>
            <w:vAlign w:val="center"/>
          </w:tcPr>
          <w:p w14:paraId="37CC5244">
            <w:pPr>
              <w:snapToGrid w:val="0"/>
              <w:spacing w:line="360" w:lineRule="auto"/>
              <w:jc w:val="center"/>
              <w:rPr>
                <w:sz w:val="18"/>
                <w:szCs w:val="18"/>
              </w:rPr>
            </w:pPr>
          </w:p>
        </w:tc>
        <w:tc>
          <w:tcPr>
            <w:tcW w:w="709" w:type="dxa"/>
            <w:shd w:val="clear" w:color="auto" w:fill="auto"/>
            <w:vAlign w:val="center"/>
          </w:tcPr>
          <w:p w14:paraId="347CC88E">
            <w:pPr>
              <w:snapToGrid w:val="0"/>
              <w:spacing w:line="360" w:lineRule="auto"/>
              <w:jc w:val="center"/>
              <w:rPr>
                <w:sz w:val="18"/>
                <w:szCs w:val="18"/>
              </w:rPr>
            </w:pPr>
            <w:r>
              <w:rPr>
                <w:rFonts w:hint="eastAsia"/>
                <w:iCs/>
                <w:sz w:val="18"/>
                <w:szCs w:val="18"/>
              </w:rPr>
              <w:t>4</w:t>
            </w:r>
          </w:p>
        </w:tc>
        <w:tc>
          <w:tcPr>
            <w:tcW w:w="1045" w:type="dxa"/>
            <w:vMerge w:val="continue"/>
            <w:shd w:val="clear" w:color="auto" w:fill="auto"/>
          </w:tcPr>
          <w:p w14:paraId="3226BEDC">
            <w:pPr>
              <w:snapToGrid w:val="0"/>
              <w:spacing w:line="360" w:lineRule="auto"/>
              <w:jc w:val="center"/>
              <w:rPr>
                <w:sz w:val="18"/>
                <w:szCs w:val="18"/>
              </w:rPr>
            </w:pPr>
          </w:p>
        </w:tc>
      </w:tr>
      <w:tr w14:paraId="5AD54A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588D9E0">
            <w:pPr>
              <w:snapToGrid w:val="0"/>
              <w:spacing w:line="360" w:lineRule="auto"/>
              <w:rPr>
                <w:b/>
                <w:sz w:val="18"/>
                <w:szCs w:val="18"/>
              </w:rPr>
            </w:pPr>
          </w:p>
        </w:tc>
        <w:tc>
          <w:tcPr>
            <w:tcW w:w="1226" w:type="dxa"/>
            <w:vMerge w:val="continue"/>
            <w:shd w:val="clear" w:color="auto" w:fill="auto"/>
            <w:vAlign w:val="center"/>
          </w:tcPr>
          <w:p w14:paraId="6E1B2623">
            <w:pPr>
              <w:snapToGrid w:val="0"/>
              <w:spacing w:line="360" w:lineRule="auto"/>
              <w:jc w:val="center"/>
              <w:rPr>
                <w:b/>
                <w:sz w:val="18"/>
                <w:szCs w:val="18"/>
              </w:rPr>
            </w:pPr>
          </w:p>
        </w:tc>
        <w:tc>
          <w:tcPr>
            <w:tcW w:w="3516" w:type="dxa"/>
            <w:shd w:val="clear" w:color="auto" w:fill="auto"/>
            <w:vAlign w:val="center"/>
          </w:tcPr>
          <w:p w14:paraId="2292FCA9">
            <w:pPr>
              <w:snapToGrid w:val="0"/>
              <w:spacing w:line="360" w:lineRule="auto"/>
              <w:jc w:val="left"/>
              <w:rPr>
                <w:sz w:val="18"/>
                <w:szCs w:val="18"/>
              </w:rPr>
            </w:pPr>
            <w:r>
              <w:rPr>
                <w:sz w:val="18"/>
                <w:szCs w:val="18"/>
              </w:rPr>
              <w:t>论文预答辩</w:t>
            </w:r>
          </w:p>
        </w:tc>
        <w:tc>
          <w:tcPr>
            <w:tcW w:w="1081" w:type="dxa"/>
            <w:shd w:val="clear" w:color="auto" w:fill="auto"/>
            <w:vAlign w:val="center"/>
          </w:tcPr>
          <w:p w14:paraId="7BF3A141">
            <w:pPr>
              <w:snapToGrid w:val="0"/>
              <w:spacing w:line="360" w:lineRule="auto"/>
              <w:jc w:val="center"/>
              <w:rPr>
                <w:sz w:val="18"/>
                <w:szCs w:val="18"/>
              </w:rPr>
            </w:pPr>
          </w:p>
        </w:tc>
        <w:tc>
          <w:tcPr>
            <w:tcW w:w="709" w:type="dxa"/>
            <w:shd w:val="clear" w:color="auto" w:fill="auto"/>
            <w:vAlign w:val="center"/>
          </w:tcPr>
          <w:p w14:paraId="4C7E2DDA">
            <w:pPr>
              <w:snapToGrid w:val="0"/>
              <w:spacing w:line="360" w:lineRule="auto"/>
              <w:jc w:val="center"/>
              <w:rPr>
                <w:sz w:val="18"/>
                <w:szCs w:val="18"/>
              </w:rPr>
            </w:pPr>
          </w:p>
        </w:tc>
        <w:tc>
          <w:tcPr>
            <w:tcW w:w="709" w:type="dxa"/>
            <w:shd w:val="clear" w:color="auto" w:fill="auto"/>
            <w:vAlign w:val="center"/>
          </w:tcPr>
          <w:p w14:paraId="1FB1EC20">
            <w:pPr>
              <w:snapToGrid w:val="0"/>
              <w:spacing w:line="360" w:lineRule="auto"/>
              <w:jc w:val="center"/>
              <w:rPr>
                <w:sz w:val="18"/>
                <w:szCs w:val="18"/>
              </w:rPr>
            </w:pPr>
            <w:r>
              <w:rPr>
                <w:rFonts w:hint="eastAsia"/>
                <w:iCs/>
                <w:sz w:val="18"/>
                <w:szCs w:val="18"/>
              </w:rPr>
              <w:t>6</w:t>
            </w:r>
          </w:p>
        </w:tc>
        <w:tc>
          <w:tcPr>
            <w:tcW w:w="1045" w:type="dxa"/>
            <w:vMerge w:val="continue"/>
            <w:shd w:val="clear" w:color="auto" w:fill="auto"/>
          </w:tcPr>
          <w:p w14:paraId="07BC38A2">
            <w:pPr>
              <w:snapToGrid w:val="0"/>
              <w:spacing w:line="360" w:lineRule="auto"/>
              <w:jc w:val="center"/>
              <w:rPr>
                <w:sz w:val="18"/>
                <w:szCs w:val="18"/>
              </w:rPr>
            </w:pPr>
          </w:p>
        </w:tc>
      </w:tr>
      <w:tr w14:paraId="406A24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3937FE5">
            <w:pPr>
              <w:snapToGrid w:val="0"/>
              <w:spacing w:line="360" w:lineRule="auto"/>
              <w:rPr>
                <w:sz w:val="18"/>
                <w:szCs w:val="18"/>
              </w:rPr>
            </w:pPr>
          </w:p>
        </w:tc>
        <w:tc>
          <w:tcPr>
            <w:tcW w:w="1226" w:type="dxa"/>
            <w:vMerge w:val="continue"/>
            <w:shd w:val="clear" w:color="auto" w:fill="auto"/>
          </w:tcPr>
          <w:p w14:paraId="0C9E5C6C">
            <w:pPr>
              <w:snapToGrid w:val="0"/>
              <w:spacing w:line="360" w:lineRule="auto"/>
              <w:jc w:val="center"/>
              <w:rPr>
                <w:sz w:val="18"/>
                <w:szCs w:val="18"/>
              </w:rPr>
            </w:pPr>
          </w:p>
        </w:tc>
        <w:tc>
          <w:tcPr>
            <w:tcW w:w="3516" w:type="dxa"/>
            <w:shd w:val="clear" w:color="auto" w:fill="auto"/>
            <w:vAlign w:val="center"/>
          </w:tcPr>
          <w:p w14:paraId="324C41C0">
            <w:pPr>
              <w:snapToGrid w:val="0"/>
              <w:spacing w:line="360" w:lineRule="auto"/>
              <w:jc w:val="left"/>
              <w:rPr>
                <w:sz w:val="18"/>
                <w:szCs w:val="18"/>
              </w:rPr>
            </w:pPr>
            <w:r>
              <w:rPr>
                <w:sz w:val="18"/>
                <w:szCs w:val="18"/>
              </w:rPr>
              <w:t>论文评审</w:t>
            </w:r>
          </w:p>
        </w:tc>
        <w:tc>
          <w:tcPr>
            <w:tcW w:w="1081" w:type="dxa"/>
            <w:shd w:val="clear" w:color="auto" w:fill="auto"/>
            <w:vAlign w:val="center"/>
          </w:tcPr>
          <w:p w14:paraId="3283242A">
            <w:pPr>
              <w:snapToGrid w:val="0"/>
              <w:spacing w:line="360" w:lineRule="auto"/>
              <w:jc w:val="center"/>
              <w:rPr>
                <w:sz w:val="18"/>
                <w:szCs w:val="18"/>
              </w:rPr>
            </w:pPr>
          </w:p>
        </w:tc>
        <w:tc>
          <w:tcPr>
            <w:tcW w:w="709" w:type="dxa"/>
            <w:shd w:val="clear" w:color="auto" w:fill="auto"/>
            <w:vAlign w:val="center"/>
          </w:tcPr>
          <w:p w14:paraId="6C0F28AF">
            <w:pPr>
              <w:snapToGrid w:val="0"/>
              <w:spacing w:line="360" w:lineRule="auto"/>
              <w:jc w:val="center"/>
              <w:rPr>
                <w:sz w:val="18"/>
                <w:szCs w:val="18"/>
              </w:rPr>
            </w:pPr>
          </w:p>
        </w:tc>
        <w:tc>
          <w:tcPr>
            <w:tcW w:w="709" w:type="dxa"/>
            <w:shd w:val="clear" w:color="auto" w:fill="auto"/>
            <w:vAlign w:val="center"/>
          </w:tcPr>
          <w:p w14:paraId="1C98C214">
            <w:pPr>
              <w:snapToGrid w:val="0"/>
              <w:spacing w:line="360" w:lineRule="auto"/>
              <w:jc w:val="center"/>
              <w:rPr>
                <w:sz w:val="18"/>
                <w:szCs w:val="18"/>
              </w:rPr>
            </w:pPr>
            <w:r>
              <w:rPr>
                <w:sz w:val="18"/>
                <w:szCs w:val="18"/>
              </w:rPr>
              <w:t>6</w:t>
            </w:r>
          </w:p>
        </w:tc>
        <w:tc>
          <w:tcPr>
            <w:tcW w:w="1045" w:type="dxa"/>
            <w:vMerge w:val="continue"/>
            <w:shd w:val="clear" w:color="auto" w:fill="auto"/>
          </w:tcPr>
          <w:p w14:paraId="2B5A4086">
            <w:pPr>
              <w:snapToGrid w:val="0"/>
              <w:spacing w:line="360" w:lineRule="auto"/>
              <w:jc w:val="center"/>
              <w:rPr>
                <w:sz w:val="18"/>
                <w:szCs w:val="18"/>
              </w:rPr>
            </w:pPr>
          </w:p>
        </w:tc>
      </w:tr>
      <w:tr w14:paraId="270BDB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3092730">
            <w:pPr>
              <w:snapToGrid w:val="0"/>
              <w:spacing w:line="360" w:lineRule="auto"/>
              <w:rPr>
                <w:sz w:val="18"/>
                <w:szCs w:val="18"/>
              </w:rPr>
            </w:pPr>
          </w:p>
        </w:tc>
        <w:tc>
          <w:tcPr>
            <w:tcW w:w="1226" w:type="dxa"/>
            <w:vMerge w:val="continue"/>
            <w:shd w:val="clear" w:color="auto" w:fill="auto"/>
          </w:tcPr>
          <w:p w14:paraId="513140D7">
            <w:pPr>
              <w:snapToGrid w:val="0"/>
              <w:spacing w:line="360" w:lineRule="auto"/>
              <w:jc w:val="center"/>
              <w:rPr>
                <w:sz w:val="18"/>
                <w:szCs w:val="18"/>
              </w:rPr>
            </w:pPr>
          </w:p>
        </w:tc>
        <w:tc>
          <w:tcPr>
            <w:tcW w:w="3516" w:type="dxa"/>
            <w:shd w:val="clear" w:color="auto" w:fill="auto"/>
            <w:vAlign w:val="center"/>
          </w:tcPr>
          <w:p w14:paraId="6991613A">
            <w:pPr>
              <w:snapToGrid w:val="0"/>
              <w:spacing w:line="360" w:lineRule="auto"/>
              <w:jc w:val="left"/>
              <w:rPr>
                <w:sz w:val="18"/>
                <w:szCs w:val="18"/>
              </w:rPr>
            </w:pPr>
            <w:r>
              <w:rPr>
                <w:sz w:val="18"/>
                <w:szCs w:val="18"/>
              </w:rPr>
              <w:t>论文答辩</w:t>
            </w:r>
          </w:p>
        </w:tc>
        <w:tc>
          <w:tcPr>
            <w:tcW w:w="1081" w:type="dxa"/>
            <w:shd w:val="clear" w:color="auto" w:fill="auto"/>
            <w:vAlign w:val="center"/>
          </w:tcPr>
          <w:p w14:paraId="094BE835">
            <w:pPr>
              <w:snapToGrid w:val="0"/>
              <w:spacing w:line="360" w:lineRule="auto"/>
              <w:jc w:val="center"/>
              <w:rPr>
                <w:sz w:val="18"/>
                <w:szCs w:val="18"/>
              </w:rPr>
            </w:pPr>
          </w:p>
        </w:tc>
        <w:tc>
          <w:tcPr>
            <w:tcW w:w="709" w:type="dxa"/>
            <w:shd w:val="clear" w:color="auto" w:fill="auto"/>
            <w:vAlign w:val="center"/>
          </w:tcPr>
          <w:p w14:paraId="4017EF94">
            <w:pPr>
              <w:snapToGrid w:val="0"/>
              <w:spacing w:line="360" w:lineRule="auto"/>
              <w:jc w:val="center"/>
              <w:rPr>
                <w:sz w:val="18"/>
                <w:szCs w:val="18"/>
              </w:rPr>
            </w:pPr>
          </w:p>
        </w:tc>
        <w:tc>
          <w:tcPr>
            <w:tcW w:w="709" w:type="dxa"/>
            <w:shd w:val="clear" w:color="auto" w:fill="auto"/>
            <w:vAlign w:val="center"/>
          </w:tcPr>
          <w:p w14:paraId="714ECEB0">
            <w:pPr>
              <w:snapToGrid w:val="0"/>
              <w:spacing w:line="360" w:lineRule="auto"/>
              <w:jc w:val="center"/>
              <w:rPr>
                <w:sz w:val="18"/>
                <w:szCs w:val="18"/>
              </w:rPr>
            </w:pPr>
            <w:r>
              <w:rPr>
                <w:sz w:val="18"/>
                <w:szCs w:val="18"/>
              </w:rPr>
              <w:t>6</w:t>
            </w:r>
          </w:p>
        </w:tc>
        <w:tc>
          <w:tcPr>
            <w:tcW w:w="1045" w:type="dxa"/>
            <w:vMerge w:val="continue"/>
            <w:shd w:val="clear" w:color="auto" w:fill="auto"/>
          </w:tcPr>
          <w:p w14:paraId="775C328A">
            <w:pPr>
              <w:snapToGrid w:val="0"/>
              <w:spacing w:line="360" w:lineRule="auto"/>
              <w:jc w:val="center"/>
              <w:rPr>
                <w:sz w:val="18"/>
                <w:szCs w:val="18"/>
              </w:rPr>
            </w:pPr>
          </w:p>
        </w:tc>
      </w:tr>
      <w:bookmarkEnd w:id="2"/>
    </w:tbl>
    <w:p w14:paraId="0CDEA856">
      <w:pPr>
        <w:snapToGrid w:val="0"/>
        <w:spacing w:line="360" w:lineRule="auto"/>
        <w:ind w:firstLine="480" w:firstLineChars="200"/>
        <w:rPr>
          <w:rFonts w:eastAsiaTheme="minorEastAsia"/>
          <w:bCs/>
          <w:sz w:val="24"/>
        </w:rPr>
      </w:pPr>
      <w:r>
        <w:rPr>
          <w:rFonts w:eastAsiaTheme="minorEastAsia"/>
          <w:bCs/>
          <w:sz w:val="24"/>
        </w:rPr>
        <w:t>*公共外语课程按入学时的外国语考试科目修读相关语种。</w:t>
      </w:r>
    </w:p>
    <w:p w14:paraId="54ECAA55">
      <w:pPr>
        <w:snapToGrid w:val="0"/>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64F5679">
      <w:pPr>
        <w:snapToGrid w:val="0"/>
        <w:spacing w:line="360" w:lineRule="auto"/>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7CB52064">
      <w:pPr>
        <w:snapToGrid w:val="0"/>
        <w:spacing w:line="360" w:lineRule="auto"/>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7F0B89E9">
      <w:pPr>
        <w:adjustRightInd w:val="0"/>
        <w:snapToGrid w:val="0"/>
        <w:spacing w:line="360" w:lineRule="auto"/>
        <w:ind w:firstLine="480" w:firstLineChars="200"/>
        <w:rPr>
          <w:kern w:val="0"/>
          <w:sz w:val="24"/>
        </w:rPr>
      </w:pPr>
      <w:r>
        <w:rPr>
          <w:rFonts w:hint="eastAsia"/>
          <w:kern w:val="0"/>
          <w:sz w:val="24"/>
        </w:rPr>
        <w:t>3.研究生在读期间完成下列实践活动之一，可以获得实践活动学分：</w:t>
      </w:r>
    </w:p>
    <w:p w14:paraId="78B6B28B">
      <w:pPr>
        <w:adjustRightInd w:val="0"/>
        <w:snapToGrid w:val="0"/>
        <w:spacing w:line="360" w:lineRule="auto"/>
        <w:ind w:firstLine="480" w:firstLineChars="200"/>
        <w:rPr>
          <w:kern w:val="0"/>
          <w:sz w:val="24"/>
        </w:rPr>
      </w:pPr>
      <w:r>
        <w:rPr>
          <w:rFonts w:hint="eastAsia"/>
          <w:kern w:val="0"/>
          <w:sz w:val="24"/>
        </w:rPr>
        <w:t>（1）参与校级及以上研究生创新资助项目1项，有相关佐证材料。</w:t>
      </w:r>
    </w:p>
    <w:p w14:paraId="13EC64ED">
      <w:pPr>
        <w:adjustRightInd w:val="0"/>
        <w:snapToGrid w:val="0"/>
        <w:spacing w:line="360" w:lineRule="auto"/>
        <w:ind w:firstLine="480" w:firstLineChars="200"/>
        <w:rPr>
          <w:kern w:val="0"/>
          <w:sz w:val="24"/>
        </w:rPr>
      </w:pPr>
      <w:r>
        <w:rPr>
          <w:rFonts w:hint="eastAsia"/>
          <w:kern w:val="0"/>
          <w:sz w:val="24"/>
        </w:rPr>
        <w:t>（2）参与学校认可的高水平大赛并获得校级三等奖及以上奖励，以获奖证书或者结题文件为准。</w:t>
      </w:r>
    </w:p>
    <w:p w14:paraId="578D5CF1">
      <w:pPr>
        <w:adjustRightInd w:val="0"/>
        <w:snapToGrid w:val="0"/>
        <w:spacing w:line="360" w:lineRule="auto"/>
        <w:ind w:firstLine="480" w:firstLineChars="200"/>
        <w:rPr>
          <w:rFonts w:eastAsiaTheme="minorEastAsia"/>
          <w:bCs/>
          <w:sz w:val="24"/>
        </w:rPr>
      </w:pPr>
      <w:r>
        <w:rPr>
          <w:rFonts w:hint="eastAsia"/>
          <w:kern w:val="0"/>
          <w:sz w:val="24"/>
        </w:rPr>
        <w:t>（3）参与本学科案例库建设取得相关成果，或调研和撰写研究报告等相关任务，需提供经导师书面认可的佐证材料。</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3846D0"/>
    <w:multiLevelType w:val="multilevel"/>
    <w:tmpl w:val="783846D0"/>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3719"/>
    <w:rsid w:val="000253FB"/>
    <w:rsid w:val="000254D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5BC0"/>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97D40"/>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07EE"/>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83F"/>
    <w:rsid w:val="000F4E87"/>
    <w:rsid w:val="001004D8"/>
    <w:rsid w:val="00100A1C"/>
    <w:rsid w:val="001015A9"/>
    <w:rsid w:val="00101847"/>
    <w:rsid w:val="00101F57"/>
    <w:rsid w:val="00104300"/>
    <w:rsid w:val="00104851"/>
    <w:rsid w:val="00104B89"/>
    <w:rsid w:val="00104BB1"/>
    <w:rsid w:val="0010579B"/>
    <w:rsid w:val="00105E20"/>
    <w:rsid w:val="0010689A"/>
    <w:rsid w:val="001101F5"/>
    <w:rsid w:val="00110577"/>
    <w:rsid w:val="00110911"/>
    <w:rsid w:val="00110D6C"/>
    <w:rsid w:val="00111BCA"/>
    <w:rsid w:val="0011294E"/>
    <w:rsid w:val="00112E68"/>
    <w:rsid w:val="00113B61"/>
    <w:rsid w:val="00114345"/>
    <w:rsid w:val="00115E4B"/>
    <w:rsid w:val="00116A41"/>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607F"/>
    <w:rsid w:val="00150EC3"/>
    <w:rsid w:val="001513DE"/>
    <w:rsid w:val="001519AB"/>
    <w:rsid w:val="00153B3C"/>
    <w:rsid w:val="001548B0"/>
    <w:rsid w:val="001559E7"/>
    <w:rsid w:val="00155AAE"/>
    <w:rsid w:val="001566EB"/>
    <w:rsid w:val="00156C5F"/>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906"/>
    <w:rsid w:val="00172DEF"/>
    <w:rsid w:val="00173690"/>
    <w:rsid w:val="00173BBC"/>
    <w:rsid w:val="00174672"/>
    <w:rsid w:val="001749C9"/>
    <w:rsid w:val="00175197"/>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1D60"/>
    <w:rsid w:val="001C2996"/>
    <w:rsid w:val="001C30DC"/>
    <w:rsid w:val="001C45C2"/>
    <w:rsid w:val="001C481C"/>
    <w:rsid w:val="001C5480"/>
    <w:rsid w:val="001C6211"/>
    <w:rsid w:val="001C7066"/>
    <w:rsid w:val="001C752D"/>
    <w:rsid w:val="001D183F"/>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6ED4"/>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0CB0"/>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9A7"/>
    <w:rsid w:val="002C5D7C"/>
    <w:rsid w:val="002C68F2"/>
    <w:rsid w:val="002C6CF4"/>
    <w:rsid w:val="002C7D60"/>
    <w:rsid w:val="002D2E9E"/>
    <w:rsid w:val="002D326B"/>
    <w:rsid w:val="002D34C1"/>
    <w:rsid w:val="002D3E23"/>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737"/>
    <w:rsid w:val="00325D12"/>
    <w:rsid w:val="003267DB"/>
    <w:rsid w:val="00326A2C"/>
    <w:rsid w:val="003279B0"/>
    <w:rsid w:val="00331123"/>
    <w:rsid w:val="00331B4B"/>
    <w:rsid w:val="00331D3B"/>
    <w:rsid w:val="00332C98"/>
    <w:rsid w:val="00334F71"/>
    <w:rsid w:val="00335BB9"/>
    <w:rsid w:val="00335DAD"/>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7779A"/>
    <w:rsid w:val="00382199"/>
    <w:rsid w:val="003825C6"/>
    <w:rsid w:val="00382F33"/>
    <w:rsid w:val="00383F4C"/>
    <w:rsid w:val="00383FF4"/>
    <w:rsid w:val="00384607"/>
    <w:rsid w:val="00386FF4"/>
    <w:rsid w:val="00387621"/>
    <w:rsid w:val="0039122B"/>
    <w:rsid w:val="003916C3"/>
    <w:rsid w:val="0039293A"/>
    <w:rsid w:val="00392FBD"/>
    <w:rsid w:val="00393220"/>
    <w:rsid w:val="00395216"/>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49CC"/>
    <w:rsid w:val="003D51E0"/>
    <w:rsid w:val="003D5FEE"/>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5EEA"/>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26AEF"/>
    <w:rsid w:val="00431329"/>
    <w:rsid w:val="0043229B"/>
    <w:rsid w:val="00432B06"/>
    <w:rsid w:val="00432D6A"/>
    <w:rsid w:val="00437442"/>
    <w:rsid w:val="00441446"/>
    <w:rsid w:val="00442209"/>
    <w:rsid w:val="004424CB"/>
    <w:rsid w:val="004439DC"/>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1D29"/>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043"/>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1CA2"/>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334"/>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1DAD"/>
    <w:rsid w:val="00642498"/>
    <w:rsid w:val="00642F6D"/>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0B3"/>
    <w:rsid w:val="006B348B"/>
    <w:rsid w:val="006B36E1"/>
    <w:rsid w:val="006B6B5A"/>
    <w:rsid w:val="006B6C53"/>
    <w:rsid w:val="006C1073"/>
    <w:rsid w:val="006C10AB"/>
    <w:rsid w:val="006C1A84"/>
    <w:rsid w:val="006C1CC1"/>
    <w:rsid w:val="006C250B"/>
    <w:rsid w:val="006C420C"/>
    <w:rsid w:val="006C54A4"/>
    <w:rsid w:val="006C6316"/>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0D4"/>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475B3"/>
    <w:rsid w:val="007500A4"/>
    <w:rsid w:val="007522EC"/>
    <w:rsid w:val="00753336"/>
    <w:rsid w:val="00754A9F"/>
    <w:rsid w:val="00754B70"/>
    <w:rsid w:val="00755EC4"/>
    <w:rsid w:val="0075725A"/>
    <w:rsid w:val="00757690"/>
    <w:rsid w:val="00760479"/>
    <w:rsid w:val="00762DAD"/>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0B60"/>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C7F38"/>
    <w:rsid w:val="007D0362"/>
    <w:rsid w:val="007D10C7"/>
    <w:rsid w:val="007D1900"/>
    <w:rsid w:val="007D324B"/>
    <w:rsid w:val="007D4B00"/>
    <w:rsid w:val="007D6195"/>
    <w:rsid w:val="007D6EC1"/>
    <w:rsid w:val="007D700A"/>
    <w:rsid w:val="007D7AA5"/>
    <w:rsid w:val="007E024F"/>
    <w:rsid w:val="007E1960"/>
    <w:rsid w:val="007E1A2A"/>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481"/>
    <w:rsid w:val="00826699"/>
    <w:rsid w:val="00831257"/>
    <w:rsid w:val="0083140F"/>
    <w:rsid w:val="008331FE"/>
    <w:rsid w:val="00834A04"/>
    <w:rsid w:val="008376C2"/>
    <w:rsid w:val="008377F9"/>
    <w:rsid w:val="00840242"/>
    <w:rsid w:val="008407D9"/>
    <w:rsid w:val="00841C9C"/>
    <w:rsid w:val="00842714"/>
    <w:rsid w:val="00843F7B"/>
    <w:rsid w:val="0084438E"/>
    <w:rsid w:val="0084492D"/>
    <w:rsid w:val="00844D1E"/>
    <w:rsid w:val="00844EE4"/>
    <w:rsid w:val="008455F2"/>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36B"/>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4772E"/>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660E"/>
    <w:rsid w:val="00967005"/>
    <w:rsid w:val="0097176E"/>
    <w:rsid w:val="00973AB8"/>
    <w:rsid w:val="00973B69"/>
    <w:rsid w:val="009749A0"/>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271"/>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25B"/>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0C24"/>
    <w:rsid w:val="00A53FB7"/>
    <w:rsid w:val="00A54190"/>
    <w:rsid w:val="00A565B8"/>
    <w:rsid w:val="00A604EA"/>
    <w:rsid w:val="00A60EA4"/>
    <w:rsid w:val="00A60F28"/>
    <w:rsid w:val="00A611DA"/>
    <w:rsid w:val="00A61879"/>
    <w:rsid w:val="00A621C1"/>
    <w:rsid w:val="00A624D8"/>
    <w:rsid w:val="00A6293C"/>
    <w:rsid w:val="00A62BA5"/>
    <w:rsid w:val="00A62E1B"/>
    <w:rsid w:val="00A62FC8"/>
    <w:rsid w:val="00A64077"/>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4B3D"/>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33F7"/>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9C6"/>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0DC3"/>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033B"/>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3E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41D"/>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1F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921"/>
    <w:rsid w:val="00D15AB1"/>
    <w:rsid w:val="00D16345"/>
    <w:rsid w:val="00D16FE0"/>
    <w:rsid w:val="00D175EE"/>
    <w:rsid w:val="00D22644"/>
    <w:rsid w:val="00D22B96"/>
    <w:rsid w:val="00D22D5C"/>
    <w:rsid w:val="00D22FC3"/>
    <w:rsid w:val="00D241DB"/>
    <w:rsid w:val="00D241FC"/>
    <w:rsid w:val="00D243C2"/>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0C3"/>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8D6"/>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4DB7"/>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E746B"/>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BE6"/>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45B0"/>
    <w:rsid w:val="00F35EF6"/>
    <w:rsid w:val="00F40FDE"/>
    <w:rsid w:val="00F415B1"/>
    <w:rsid w:val="00F42341"/>
    <w:rsid w:val="00F45E65"/>
    <w:rsid w:val="00F461CE"/>
    <w:rsid w:val="00F46832"/>
    <w:rsid w:val="00F46EB4"/>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4B1A"/>
    <w:rsid w:val="00F86280"/>
    <w:rsid w:val="00F87824"/>
    <w:rsid w:val="00F878F0"/>
    <w:rsid w:val="00F90852"/>
    <w:rsid w:val="00F910A7"/>
    <w:rsid w:val="00F916B8"/>
    <w:rsid w:val="00F91D1B"/>
    <w:rsid w:val="00F91DF7"/>
    <w:rsid w:val="00F92634"/>
    <w:rsid w:val="00F92683"/>
    <w:rsid w:val="00F93A48"/>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1F3A"/>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C7DF2"/>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5348"/>
    <w:rsid w:val="00FE6A1E"/>
    <w:rsid w:val="00FE6B2A"/>
    <w:rsid w:val="00FE7F66"/>
    <w:rsid w:val="00FF0343"/>
    <w:rsid w:val="00FF0CF7"/>
    <w:rsid w:val="00FF1F8D"/>
    <w:rsid w:val="00FF2D9D"/>
    <w:rsid w:val="00FF40BB"/>
    <w:rsid w:val="00FF5CED"/>
    <w:rsid w:val="00FF7300"/>
    <w:rsid w:val="00FF735B"/>
    <w:rsid w:val="1FE96C05"/>
    <w:rsid w:val="52C50E10"/>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3582</Words>
  <Characters>3827</Characters>
  <Lines>60</Lines>
  <Paragraphs>36</Paragraphs>
  <TotalTime>205</TotalTime>
  <ScaleCrop>false</ScaleCrop>
  <LinksUpToDate>false</LinksUpToDate>
  <CharactersWithSpaces>3844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2025-04-16T03:10:00Z</dcterms:created>
  <dc:creator>刘明旭</dc:creator>
  <cp:lastModifiedBy>送送</cp:lastModifiedBy>
  <cp:lastPrinted>2025-03-14T03:17:00Z</cp:lastPrinted>
  <dcterms:modified xsi:type="dcterms:W3CDTF">2025-07-10T10:06:02Z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02446411C13C4FF2A44494DF5597AD3B_12</vt:lpwstr>
  </property>
</Properties>
</file>