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C43D02">
      <w:pPr>
        <w:ind w:left="321" w:leftChars="153" w:right="227"/>
        <w:jc w:val="center"/>
        <w:rPr>
          <w:rFonts w:eastAsia="黑体"/>
          <w:b/>
          <w:bCs/>
          <w:sz w:val="36"/>
          <w:szCs w:val="36"/>
        </w:rPr>
      </w:pPr>
      <w:r>
        <w:rPr>
          <w:rFonts w:hint="eastAsia" w:eastAsia="黑体"/>
          <w:b/>
          <w:bCs/>
          <w:i w:val="0"/>
          <w:iCs/>
          <w:color w:val="auto"/>
          <w:sz w:val="36"/>
          <w:szCs w:val="36"/>
          <w:u w:val="single"/>
          <w:lang w:val="en-US" w:eastAsia="zh-CN"/>
        </w:rPr>
        <w:t>数字经济管理</w:t>
      </w:r>
      <w:r>
        <w:rPr>
          <w:rFonts w:eastAsia="黑体"/>
          <w:b/>
          <w:bCs/>
          <w:sz w:val="36"/>
          <w:szCs w:val="36"/>
        </w:rPr>
        <w:t>专业学术学位博士研究生培养方案</w:t>
      </w:r>
    </w:p>
    <w:p w14:paraId="1420CED3">
      <w:pPr>
        <w:ind w:left="321" w:leftChars="153" w:right="227"/>
        <w:jc w:val="center"/>
        <w:rPr>
          <w:rFonts w:eastAsia="黑体"/>
          <w:b/>
          <w:bCs/>
          <w:sz w:val="28"/>
          <w:szCs w:val="28"/>
        </w:rPr>
      </w:pPr>
      <w:r>
        <w:rPr>
          <w:rFonts w:eastAsia="黑体"/>
          <w:b/>
          <w:bCs/>
          <w:sz w:val="28"/>
          <w:szCs w:val="28"/>
        </w:rPr>
        <w:t>（</w:t>
      </w:r>
      <w:r>
        <w:rPr>
          <w:rFonts w:hint="eastAsia" w:eastAsia="黑体"/>
          <w:b/>
          <w:bCs/>
          <w:color w:val="auto"/>
          <w:sz w:val="28"/>
          <w:szCs w:val="28"/>
          <w:lang w:val="en-US" w:eastAsia="zh-CN"/>
        </w:rPr>
        <w:t>管理</w:t>
      </w:r>
      <w:r>
        <w:rPr>
          <w:rFonts w:eastAsia="黑体"/>
          <w:b/>
          <w:bCs/>
          <w:color w:val="auto"/>
          <w:sz w:val="28"/>
          <w:szCs w:val="28"/>
        </w:rPr>
        <w:t>学</w:t>
      </w:r>
      <w:r>
        <w:rPr>
          <w:rFonts w:eastAsia="黑体"/>
          <w:b/>
          <w:bCs/>
          <w:sz w:val="28"/>
          <w:szCs w:val="28"/>
        </w:rPr>
        <w:t>院)</w:t>
      </w:r>
    </w:p>
    <w:p w14:paraId="64A119CD">
      <w:pPr>
        <w:spacing w:line="360" w:lineRule="auto"/>
        <w:ind w:firstLine="560"/>
        <w:rPr>
          <w:rFonts w:eastAsia="黑体"/>
          <w:bCs/>
          <w:sz w:val="28"/>
          <w:szCs w:val="28"/>
        </w:rPr>
      </w:pPr>
      <w:r>
        <w:rPr>
          <w:rFonts w:eastAsia="黑体"/>
          <w:bCs/>
          <w:sz w:val="28"/>
          <w:szCs w:val="28"/>
        </w:rPr>
        <w:t>一、专业名称、代码</w:t>
      </w:r>
    </w:p>
    <w:p w14:paraId="621895B2">
      <w:pPr>
        <w:widowControl/>
        <w:spacing w:line="360" w:lineRule="auto"/>
        <w:ind w:firstLine="960" w:firstLineChars="400"/>
        <w:jc w:val="left"/>
        <w:rPr>
          <w:rFonts w:hint="default" w:eastAsia="宋体"/>
          <w:color w:val="222222"/>
          <w:kern w:val="0"/>
          <w:sz w:val="18"/>
          <w:szCs w:val="18"/>
          <w:lang w:val="en-US" w:eastAsia="zh-CN"/>
        </w:rPr>
      </w:pPr>
      <w:r>
        <w:rPr>
          <w:color w:val="222222"/>
          <w:kern w:val="0"/>
          <w:sz w:val="24"/>
        </w:rPr>
        <w:t>专业名称：</w:t>
      </w:r>
      <w:r>
        <w:rPr>
          <w:rFonts w:hint="eastAsia"/>
          <w:color w:val="222222"/>
          <w:kern w:val="0"/>
          <w:sz w:val="24"/>
          <w:lang w:val="en-US" w:eastAsia="zh-CN"/>
        </w:rPr>
        <w:t>数字经济管理</w:t>
      </w:r>
    </w:p>
    <w:p w14:paraId="3ECDB3EA">
      <w:pPr>
        <w:widowControl/>
        <w:spacing w:line="360" w:lineRule="auto"/>
        <w:ind w:firstLine="960" w:firstLineChars="400"/>
        <w:jc w:val="left"/>
        <w:rPr>
          <w:rFonts w:hint="default" w:eastAsia="宋体"/>
          <w:color w:val="222222"/>
          <w:kern w:val="0"/>
          <w:sz w:val="18"/>
          <w:szCs w:val="18"/>
          <w:lang w:val="en-US" w:eastAsia="zh-CN"/>
        </w:rPr>
      </w:pPr>
      <w:r>
        <w:rPr>
          <w:color w:val="222222"/>
          <w:kern w:val="0"/>
          <w:sz w:val="24"/>
        </w:rPr>
        <w:t>专业代码：</w:t>
      </w:r>
      <w:r>
        <w:rPr>
          <w:rFonts w:hint="eastAsia"/>
          <w:color w:val="222222"/>
          <w:kern w:val="0"/>
          <w:sz w:val="24"/>
          <w:lang w:val="en-US" w:eastAsia="zh-CN"/>
        </w:rPr>
        <w:t>1201J2</w:t>
      </w:r>
    </w:p>
    <w:p w14:paraId="501ED78E">
      <w:pPr>
        <w:spacing w:line="360" w:lineRule="auto"/>
        <w:ind w:firstLine="560" w:firstLineChars="200"/>
        <w:rPr>
          <w:rFonts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7B9C1BAF">
      <w:pPr>
        <w:spacing w:line="360" w:lineRule="auto"/>
        <w:ind w:firstLine="480" w:firstLineChars="200"/>
        <w:rPr>
          <w:rFonts w:hint="eastAsia" w:eastAsiaTheme="minorEastAsia"/>
          <w:iCs/>
          <w:sz w:val="24"/>
        </w:rPr>
      </w:pPr>
      <w:r>
        <w:rPr>
          <w:rFonts w:hint="eastAsia" w:eastAsiaTheme="minorEastAsia"/>
          <w:iCs/>
          <w:sz w:val="24"/>
        </w:rPr>
        <w:t>河北大学数字经济管理是</w:t>
      </w:r>
      <w:r>
        <w:rPr>
          <w:rFonts w:hint="eastAsia" w:eastAsiaTheme="minorEastAsia"/>
          <w:iCs/>
          <w:sz w:val="24"/>
          <w:lang w:val="en-US" w:eastAsia="zh-CN"/>
        </w:rPr>
        <w:t>自设</w:t>
      </w:r>
      <w:r>
        <w:rPr>
          <w:rFonts w:hint="eastAsia" w:eastAsiaTheme="minorEastAsia"/>
          <w:iCs/>
          <w:sz w:val="24"/>
        </w:rPr>
        <w:t>交叉学科，其依托于管理科学与工程、</w:t>
      </w:r>
      <w:r>
        <w:rPr>
          <w:rFonts w:hint="eastAsia" w:eastAsiaTheme="minorEastAsia"/>
          <w:iCs/>
          <w:sz w:val="24"/>
          <w:lang w:val="en-US" w:eastAsia="zh-CN"/>
        </w:rPr>
        <w:t>信息资源</w:t>
      </w:r>
      <w:r>
        <w:rPr>
          <w:rFonts w:hint="eastAsia" w:eastAsiaTheme="minorEastAsia"/>
          <w:iCs/>
          <w:sz w:val="24"/>
        </w:rPr>
        <w:t>管理两个一级学科博士点基础进行建设。数字经济管理交叉学科博士点，于2020年10月呈报教育部，2021年6月获批增设。2022年开始招收数字经济管理方向博士研究生。数字经济管理是时代发展的必然，符合国家重大战略方向，满足社会发展需求。研究内容包含了众多分支和学科交叉领域，如数字政府治理、企业转型与治理、数字化运营、智能决策管理、智能财务、智慧金融、平台经济等。该学科目前形成以管理学为主，与经济学、数据科学等学科交叉融合，数字化特色明显的专业发展特征。数字经济管理专业“扎根京津冀、服务国家重大战略需求，培养复合型创新人才”。</w:t>
      </w:r>
    </w:p>
    <w:p w14:paraId="1D59B68D">
      <w:pPr>
        <w:spacing w:line="360" w:lineRule="auto"/>
        <w:ind w:firstLine="560" w:firstLineChars="200"/>
        <w:rPr>
          <w:rFonts w:eastAsia="黑体"/>
          <w:bCs/>
          <w:sz w:val="28"/>
          <w:szCs w:val="28"/>
        </w:rPr>
      </w:pPr>
      <w:r>
        <w:rPr>
          <w:rFonts w:eastAsia="黑体"/>
          <w:bCs/>
          <w:sz w:val="28"/>
          <w:szCs w:val="28"/>
        </w:rPr>
        <w:t>三、研究方向</w:t>
      </w:r>
    </w:p>
    <w:p w14:paraId="34AAABBA">
      <w:pPr>
        <w:spacing w:line="360" w:lineRule="auto"/>
        <w:ind w:firstLine="482" w:firstLineChars="200"/>
        <w:rPr>
          <w:b/>
          <w:bCs/>
          <w:sz w:val="24"/>
        </w:rPr>
      </w:pPr>
      <w:r>
        <w:rPr>
          <w:rFonts w:hint="eastAsia" w:ascii="宋体" w:hAnsi="宋体"/>
          <w:b/>
          <w:bCs/>
          <w:sz w:val="24"/>
        </w:rPr>
        <w:t>1、</w:t>
      </w:r>
      <w:r>
        <w:rPr>
          <w:rFonts w:hint="eastAsia"/>
          <w:b/>
          <w:bCs/>
          <w:sz w:val="24"/>
        </w:rPr>
        <w:t>数字政府治理</w:t>
      </w:r>
    </w:p>
    <w:p w14:paraId="0C4A5B58">
      <w:pPr>
        <w:spacing w:line="440" w:lineRule="exact"/>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①探索未来数字政府形态及政府治理的前沿性研究。紧跟国内外学术研究和实践创新前沿，结合我国政治经济社会文化的发展背景，探索研究未来数字政府治理的创新趋势和创新范式。</w:t>
      </w:r>
    </w:p>
    <w:p w14:paraId="1B9F09AD">
      <w:pPr>
        <w:spacing w:line="440" w:lineRule="exact"/>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②聚焦国家在推动政务数据开放、政务数据交换共享、智慧城市建设等领域的政策创新与实践。依托政府各类决策、管理和服务系统以及电子政务和智能政务平台上的数据资源，开展电子政务及智慧城市系统中信息数据的分析及应用。</w:t>
      </w:r>
    </w:p>
    <w:p w14:paraId="3C1BA72B">
      <w:pPr>
        <w:spacing w:line="440" w:lineRule="exact"/>
        <w:ind w:firstLine="480" w:firstLineChars="200"/>
        <w:rPr>
          <w:rFonts w:hint="eastAsia"/>
          <w:sz w:val="24"/>
        </w:rPr>
      </w:pPr>
      <w:r>
        <w:rPr>
          <w:rFonts w:hint="eastAsia" w:eastAsiaTheme="minorEastAsia"/>
          <w:iCs/>
          <w:color w:val="000000" w:themeColor="text1"/>
          <w:sz w:val="24"/>
          <w14:textFill>
            <w14:solidFill>
              <w14:schemeClr w14:val="tx1"/>
            </w14:solidFill>
          </w14:textFill>
        </w:rPr>
        <w:t>③开展政务数据的挖掘分析与政策研究。通过对政府网站及政务服务平台监测数据的深度分析，研究政府履职、政策执行、改革创新等方面的情况，探索数据驱动的社会治理研究及基于大数据的智慧城市管理。</w:t>
      </w:r>
    </w:p>
    <w:p w14:paraId="6E00FEA7">
      <w:pPr>
        <w:spacing w:line="360" w:lineRule="auto"/>
        <w:ind w:firstLine="482" w:firstLineChars="200"/>
        <w:rPr>
          <w:rFonts w:hint="default" w:eastAsia="宋体"/>
          <w:b/>
          <w:bCs/>
          <w:sz w:val="24"/>
          <w:lang w:val="en-US" w:eastAsia="zh-CN"/>
        </w:rPr>
      </w:pPr>
      <w:r>
        <w:rPr>
          <w:rFonts w:hint="eastAsia" w:ascii="宋体" w:hAnsi="宋体"/>
          <w:b/>
          <w:bCs/>
          <w:sz w:val="24"/>
        </w:rPr>
        <w:t>2、</w:t>
      </w:r>
      <w:r>
        <w:rPr>
          <w:rFonts w:hint="eastAsia" w:eastAsiaTheme="minorEastAsia"/>
          <w:b/>
          <w:bCs/>
          <w:iCs/>
          <w:color w:val="000000" w:themeColor="text1"/>
          <w:sz w:val="24"/>
          <w14:textFill>
            <w14:solidFill>
              <w14:schemeClr w14:val="tx1"/>
            </w14:solidFill>
          </w14:textFill>
        </w:rPr>
        <w:t>智能决策与优化</w:t>
      </w:r>
    </w:p>
    <w:p w14:paraId="381026AF">
      <w:pPr>
        <w:spacing w:line="440" w:lineRule="exact"/>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①数据驱动的智能决策与优化方法理论研究。运用统计学、运筹学等知识，研究海量数据的存储与管理方法，研究不确定性优化理论与多目标决策理论在数据驱动环境下的应用，构建自动化、智能化，的决策支持系统。</w:t>
      </w:r>
    </w:p>
    <w:p w14:paraId="5EA8E828">
      <w:pPr>
        <w:spacing w:line="440" w:lineRule="exact"/>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②复杂数据环境下智能决策应用研究。探究复杂制造与服务系统运营中海量数据的收集、整理与挖掘，结合企业管理及公共服务，构建全产业链智能化决策系统，实现智能制造、智能销售、智能服务等一系列重要应用。</w:t>
      </w:r>
    </w:p>
    <w:p w14:paraId="464F8B66">
      <w:pPr>
        <w:spacing w:line="360" w:lineRule="auto"/>
        <w:ind w:firstLine="482" w:firstLineChars="200"/>
        <w:rPr>
          <w:b/>
          <w:bCs/>
          <w:sz w:val="24"/>
        </w:rPr>
      </w:pPr>
      <w:r>
        <w:rPr>
          <w:rFonts w:hint="eastAsia" w:ascii="宋体" w:hAnsi="宋体"/>
          <w:b/>
          <w:bCs/>
          <w:sz w:val="24"/>
        </w:rPr>
        <w:t>3、</w:t>
      </w:r>
      <w:r>
        <w:rPr>
          <w:rFonts w:hint="eastAsia" w:eastAsiaTheme="minorEastAsia"/>
          <w:b/>
          <w:bCs/>
          <w:iCs/>
          <w:color w:val="000000" w:themeColor="text1"/>
          <w:sz w:val="24"/>
          <w14:textFill>
            <w14:solidFill>
              <w14:schemeClr w14:val="tx1"/>
            </w14:solidFill>
          </w14:textFill>
        </w:rPr>
        <w:t>企业数字化运营与管理</w:t>
      </w:r>
    </w:p>
    <w:p w14:paraId="5BB00542">
      <w:pPr>
        <w:spacing w:line="440" w:lineRule="exact"/>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①企业数字化运营研究。研究国内外关于企业数字化运营及转型的相关理论问题，分析和研究国内外具有代表性的企业数字化转型发展案例，科学揭示不同类型企业数字化转型规律，为政府的政策制定和企业数字化运营实践提供理论指导和政策建议。</w:t>
      </w:r>
    </w:p>
    <w:p w14:paraId="0AC6A4EC">
      <w:pPr>
        <w:spacing w:line="440" w:lineRule="exact"/>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②企业数字化治理研究。关注数字化背景下企业治理机制创新实践，通过对国内外企业数字化治理创新实践的研究分析，综合运用质性和量化研究方法，实现理论建构与检验，为推动企业数字化治理实践提供了理论指导和管理启示。</w:t>
      </w:r>
    </w:p>
    <w:p w14:paraId="13FF6CC0">
      <w:pPr>
        <w:spacing w:line="360" w:lineRule="auto"/>
        <w:ind w:firstLine="482" w:firstLineChars="200"/>
        <w:rPr>
          <w:rFonts w:hint="default" w:eastAsia="宋体"/>
          <w:b/>
          <w:bCs/>
          <w:sz w:val="24"/>
          <w:lang w:val="en-US" w:eastAsia="zh-CN"/>
        </w:rPr>
      </w:pPr>
      <w:r>
        <w:rPr>
          <w:rFonts w:hint="eastAsia" w:ascii="宋体" w:hAnsi="宋体"/>
          <w:b/>
          <w:bCs/>
          <w:sz w:val="24"/>
          <w:lang w:val="en-US" w:eastAsia="zh-CN"/>
        </w:rPr>
        <w:t>4</w:t>
      </w:r>
      <w:r>
        <w:rPr>
          <w:rFonts w:hint="eastAsia" w:ascii="宋体" w:hAnsi="宋体"/>
          <w:b/>
          <w:bCs/>
          <w:sz w:val="24"/>
        </w:rPr>
        <w:t>、</w:t>
      </w:r>
      <w:r>
        <w:rPr>
          <w:rFonts w:hint="eastAsia" w:eastAsiaTheme="minorEastAsia"/>
          <w:b/>
          <w:bCs/>
          <w:iCs/>
          <w:color w:val="000000" w:themeColor="text1"/>
          <w:sz w:val="24"/>
          <w14:textFill>
            <w14:solidFill>
              <w14:schemeClr w14:val="tx1"/>
            </w14:solidFill>
          </w14:textFill>
        </w:rPr>
        <w:t>智慧财务</w:t>
      </w:r>
    </w:p>
    <w:p w14:paraId="193E01B8">
      <w:pPr>
        <w:spacing w:line="440" w:lineRule="exact"/>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①智慧财务的理论研究。综合运用扎根理论、案例研究、问卷调查与分析等质化和量化研究方法，系统揭示企业智慧财务管理的实现机理，明确智慧财务管理的结构维度、影响因素、绩效结果等，深化智慧财务管理的理论建构。</w:t>
      </w:r>
    </w:p>
    <w:p w14:paraId="7AD4B97F">
      <w:pPr>
        <w:spacing w:line="440" w:lineRule="exact"/>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②智慧财务的应用研究。综合运用大数据、人工智能等先进数字化手段以及财务管理相关知识，推动实现传统财务向数据共享和信息传输自动化以及机器学习智慧化的财务变革。开展面向智慧财务的管理流程优化、实施智慧财务管理系统的规划与设计，构建智慧财务管理实施评价指标体系，为企业智慧管理提供解决方案。</w:t>
      </w:r>
    </w:p>
    <w:p w14:paraId="055BEC73">
      <w:pPr>
        <w:spacing w:line="360" w:lineRule="auto"/>
        <w:ind w:firstLine="560" w:firstLineChars="200"/>
        <w:rPr>
          <w:rFonts w:eastAsia="黑体"/>
          <w:bCs/>
          <w:sz w:val="28"/>
          <w:szCs w:val="28"/>
        </w:rPr>
      </w:pPr>
      <w:r>
        <w:rPr>
          <w:rFonts w:eastAsia="黑体"/>
          <w:bCs/>
          <w:sz w:val="28"/>
          <w:szCs w:val="28"/>
        </w:rPr>
        <w:t>四、学制及学习年限</w:t>
      </w:r>
    </w:p>
    <w:p w14:paraId="0A480385">
      <w:pPr>
        <w:spacing w:line="360" w:lineRule="auto"/>
        <w:ind w:firstLine="480" w:firstLineChars="200"/>
        <w:rPr>
          <w:rFonts w:eastAsiaTheme="minorEastAsia"/>
          <w:i/>
          <w:color w:val="FF0000"/>
          <w:sz w:val="24"/>
        </w:rPr>
      </w:pPr>
      <w:r>
        <w:rPr>
          <w:rFonts w:eastAsiaTheme="minorEastAsia"/>
          <w:color w:val="000000"/>
          <w:sz w:val="24"/>
        </w:rPr>
        <w:t>本专业学制为4年，在校最长学习年限（含休学）不超过8年。</w:t>
      </w:r>
    </w:p>
    <w:p w14:paraId="4C3ADB7A">
      <w:pPr>
        <w:spacing w:line="360" w:lineRule="auto"/>
        <w:ind w:firstLine="560" w:firstLineChars="200"/>
        <w:rPr>
          <w:rFonts w:eastAsia="黑体"/>
          <w:bCs/>
          <w:sz w:val="28"/>
          <w:szCs w:val="28"/>
        </w:rPr>
      </w:pPr>
      <w:r>
        <w:rPr>
          <w:rFonts w:eastAsia="黑体"/>
          <w:bCs/>
          <w:sz w:val="28"/>
          <w:szCs w:val="28"/>
        </w:rPr>
        <w:t>五、培养目标</w:t>
      </w:r>
    </w:p>
    <w:p w14:paraId="0EA2BD7A">
      <w:pPr>
        <w:spacing w:line="360" w:lineRule="auto"/>
        <w:ind w:firstLine="480"/>
        <w:rPr>
          <w:rFonts w:eastAsiaTheme="minorEastAsia"/>
          <w:i w:val="0"/>
          <w:iCs/>
          <w:color w:val="auto"/>
          <w:sz w:val="24"/>
        </w:rPr>
      </w:pPr>
      <w:r>
        <w:rPr>
          <w:rFonts w:eastAsiaTheme="minorEastAsia"/>
          <w:i w:val="0"/>
          <w:iCs/>
          <w:color w:val="auto"/>
          <w:sz w:val="24"/>
        </w:rPr>
        <w:t>1. 树立正确的中国特色社会主义核心价值观，具有坚定的理想信念，高尚的道德情操，优良的学术作风，高度的社会责任感。</w:t>
      </w:r>
    </w:p>
    <w:p w14:paraId="186DD86C">
      <w:pPr>
        <w:spacing w:line="360" w:lineRule="auto"/>
        <w:ind w:firstLine="480"/>
        <w:rPr>
          <w:rFonts w:eastAsiaTheme="minorEastAsia"/>
          <w:iCs/>
          <w:sz w:val="24"/>
        </w:rPr>
      </w:pPr>
      <w:r>
        <w:rPr>
          <w:rFonts w:eastAsiaTheme="minorEastAsia"/>
          <w:i w:val="0"/>
          <w:iCs/>
          <w:color w:val="auto"/>
          <w:sz w:val="24"/>
        </w:rPr>
        <w:t xml:space="preserve">2. </w:t>
      </w:r>
      <w:r>
        <w:rPr>
          <w:rFonts w:hint="eastAsia" w:eastAsiaTheme="minorEastAsia"/>
          <w:i w:val="0"/>
          <w:iCs/>
          <w:color w:val="auto"/>
          <w:sz w:val="24"/>
        </w:rPr>
        <w:t>深入学习商业、管理、经济领域相关知识</w:t>
      </w:r>
      <w:r>
        <w:rPr>
          <w:rFonts w:hint="eastAsia" w:eastAsiaTheme="minorEastAsia"/>
          <w:i w:val="0"/>
          <w:iCs/>
          <w:color w:val="auto"/>
          <w:sz w:val="24"/>
          <w:lang w:eastAsia="zh-CN"/>
        </w:rPr>
        <w:t>，</w:t>
      </w:r>
      <w:r>
        <w:rPr>
          <w:rFonts w:eastAsiaTheme="minorEastAsia"/>
          <w:iCs/>
          <w:sz w:val="24"/>
        </w:rPr>
        <w:t>掌握坚实宽广的基础理论和系统深入的专门知识，掌握</w:t>
      </w:r>
      <w:r>
        <w:rPr>
          <w:rFonts w:hint="eastAsia" w:eastAsiaTheme="minorEastAsia"/>
          <w:iCs/>
          <w:sz w:val="24"/>
        </w:rPr>
        <w:t>数字经济与管理</w:t>
      </w:r>
      <w:r>
        <w:rPr>
          <w:rFonts w:eastAsiaTheme="minorEastAsia"/>
          <w:iCs/>
          <w:sz w:val="24"/>
        </w:rPr>
        <w:t>学科的科学研究方法及必要的现代实验方法和技能，熟悉本学科的前沿研究领域</w:t>
      </w:r>
      <w:r>
        <w:rPr>
          <w:rFonts w:hint="eastAsia" w:eastAsiaTheme="minorEastAsia"/>
          <w:iCs/>
          <w:sz w:val="24"/>
          <w:lang w:eastAsia="zh-CN"/>
        </w:rPr>
        <w:t>，</w:t>
      </w:r>
      <w:r>
        <w:rPr>
          <w:rFonts w:hint="eastAsia" w:eastAsiaTheme="minorEastAsia"/>
          <w:i w:val="0"/>
          <w:iCs/>
          <w:color w:val="auto"/>
          <w:sz w:val="24"/>
        </w:rPr>
        <w:t>洞悉现实社会的重大问题与管理需求</w:t>
      </w:r>
      <w:r>
        <w:rPr>
          <w:rFonts w:hint="eastAsia" w:eastAsiaTheme="minorEastAsia"/>
          <w:i w:val="0"/>
          <w:iCs/>
          <w:color w:val="auto"/>
          <w:sz w:val="24"/>
          <w:lang w:eastAsia="zh-CN"/>
        </w:rPr>
        <w:t>，</w:t>
      </w:r>
      <w:r>
        <w:rPr>
          <w:rFonts w:hint="eastAsia" w:eastAsiaTheme="minorEastAsia"/>
          <w:i w:val="0"/>
          <w:iCs/>
          <w:color w:val="auto"/>
          <w:sz w:val="24"/>
        </w:rPr>
        <w:t>具备多学科和系统性思维模式</w:t>
      </w:r>
      <w:r>
        <w:rPr>
          <w:rFonts w:hint="eastAsia" w:eastAsiaTheme="minorEastAsia"/>
          <w:i w:val="0"/>
          <w:iCs/>
          <w:color w:val="auto"/>
          <w:sz w:val="24"/>
          <w:lang w:eastAsia="zh-CN"/>
        </w:rPr>
        <w:t>，</w:t>
      </w:r>
      <w:r>
        <w:rPr>
          <w:rFonts w:hint="eastAsia" w:eastAsiaTheme="minorEastAsia"/>
          <w:i w:val="0"/>
          <w:iCs/>
          <w:color w:val="auto"/>
          <w:sz w:val="24"/>
          <w:lang w:val="en-US" w:eastAsia="zh-CN"/>
        </w:rPr>
        <w:t>能够</w:t>
      </w:r>
      <w:r>
        <w:rPr>
          <w:rFonts w:hint="eastAsia" w:eastAsiaTheme="minorEastAsia"/>
          <w:i w:val="0"/>
          <w:iCs/>
          <w:color w:val="auto"/>
          <w:sz w:val="24"/>
        </w:rPr>
        <w:t>运用严谨的思维和方法解决研究问题</w:t>
      </w:r>
      <w:r>
        <w:rPr>
          <w:rFonts w:hint="eastAsia" w:eastAsiaTheme="minorEastAsia"/>
          <w:i w:val="0"/>
          <w:iCs/>
          <w:color w:val="auto"/>
          <w:sz w:val="24"/>
          <w:lang w:eastAsia="zh-CN"/>
        </w:rPr>
        <w:t>。</w:t>
      </w:r>
      <w:r>
        <w:rPr>
          <w:rFonts w:eastAsiaTheme="minorEastAsia"/>
          <w:iCs/>
          <w:sz w:val="24"/>
        </w:rPr>
        <w:t>具有独立从事科学研究和解决实际问题的能力。</w:t>
      </w:r>
    </w:p>
    <w:p w14:paraId="69F8CC0D">
      <w:pPr>
        <w:spacing w:line="360" w:lineRule="auto"/>
        <w:ind w:firstLine="480"/>
        <w:rPr>
          <w:rFonts w:eastAsiaTheme="minorEastAsia"/>
          <w:i w:val="0"/>
          <w:iCs/>
          <w:color w:val="auto"/>
          <w:sz w:val="24"/>
        </w:rPr>
      </w:pPr>
      <w:r>
        <w:rPr>
          <w:rFonts w:eastAsiaTheme="minorEastAsia"/>
          <w:i w:val="0"/>
          <w:iCs/>
          <w:color w:val="auto"/>
          <w:sz w:val="24"/>
        </w:rPr>
        <w:t>3. 至少掌握一门外国语，能熟练阅读本专业的外文资料，具有撰写学术论文和进行国际学术交流的能力。</w:t>
      </w:r>
    </w:p>
    <w:p w14:paraId="666AE060">
      <w:pPr>
        <w:spacing w:line="360" w:lineRule="auto"/>
        <w:ind w:firstLine="480"/>
        <w:rPr>
          <w:rFonts w:eastAsiaTheme="minorEastAsia"/>
          <w:i w:val="0"/>
          <w:iCs/>
          <w:color w:val="auto"/>
          <w:sz w:val="24"/>
        </w:rPr>
      </w:pPr>
      <w:r>
        <w:rPr>
          <w:rFonts w:eastAsiaTheme="minorEastAsia"/>
          <w:i w:val="0"/>
          <w:iCs/>
          <w:color w:val="auto"/>
          <w:sz w:val="24"/>
        </w:rPr>
        <w:t>4. 具有良好的团队意识和团队合作精神。</w:t>
      </w:r>
    </w:p>
    <w:p w14:paraId="1874BD4E">
      <w:pPr>
        <w:spacing w:line="360" w:lineRule="auto"/>
        <w:ind w:firstLine="480"/>
        <w:rPr>
          <w:rFonts w:eastAsiaTheme="minorEastAsia"/>
          <w:i w:val="0"/>
          <w:iCs/>
          <w:color w:val="auto"/>
          <w:sz w:val="24"/>
        </w:rPr>
      </w:pPr>
      <w:r>
        <w:rPr>
          <w:rFonts w:eastAsiaTheme="minorEastAsia"/>
          <w:i w:val="0"/>
          <w:iCs/>
          <w:color w:val="auto"/>
          <w:sz w:val="24"/>
        </w:rPr>
        <w:t>5. 具有良好的心理素养。</w:t>
      </w:r>
    </w:p>
    <w:p w14:paraId="3B46D36F">
      <w:pPr>
        <w:spacing w:line="360" w:lineRule="auto"/>
        <w:ind w:firstLine="480"/>
        <w:rPr>
          <w:rFonts w:eastAsiaTheme="minorEastAsia"/>
          <w:i w:val="0"/>
          <w:iCs/>
          <w:color w:val="auto"/>
          <w:sz w:val="24"/>
        </w:rPr>
      </w:pPr>
      <w:r>
        <w:rPr>
          <w:rFonts w:eastAsiaTheme="minorEastAsia"/>
          <w:i w:val="0"/>
          <w:iCs/>
          <w:color w:val="auto"/>
          <w:sz w:val="24"/>
        </w:rPr>
        <w:t>6. 培养德智体美劳全面发展的社会主义事业接班人。</w:t>
      </w:r>
    </w:p>
    <w:p w14:paraId="171D198D">
      <w:pPr>
        <w:spacing w:line="360" w:lineRule="auto"/>
        <w:ind w:firstLine="560" w:firstLineChars="200"/>
        <w:rPr>
          <w:rFonts w:eastAsia="黑体"/>
          <w:bCs/>
          <w:sz w:val="28"/>
          <w:szCs w:val="28"/>
        </w:rPr>
      </w:pPr>
      <w:r>
        <w:rPr>
          <w:rFonts w:hint="eastAsia" w:eastAsia="黑体"/>
          <w:bCs/>
          <w:sz w:val="28"/>
          <w:szCs w:val="28"/>
        </w:rPr>
        <w:t>六、培养方式</w:t>
      </w:r>
    </w:p>
    <w:p w14:paraId="6B9117B0">
      <w:pPr>
        <w:spacing w:line="360" w:lineRule="auto"/>
        <w:ind w:firstLine="480" w:firstLineChars="200"/>
        <w:rPr>
          <w:rFonts w:asciiTheme="minorEastAsia" w:hAnsiTheme="minorEastAsia" w:eastAsiaTheme="minorEastAsia"/>
          <w:bCs/>
          <w:i/>
          <w:color w:val="FF0000"/>
          <w:sz w:val="24"/>
          <w:highlight w:val="none"/>
        </w:rPr>
      </w:pPr>
      <w:r>
        <w:rPr>
          <w:rFonts w:hint="eastAsia"/>
          <w:sz w:val="24"/>
          <w:highlight w:val="none"/>
        </w:rPr>
        <w:t>本专业采用导师负责制与学科组集体培养相结合的方式，以科研能力培养为核心，通过课程学习、文献阅读、课题研究、学术交流与学位论文撰写等环节，系统提升学生的理论水平和创新能力。要求学生完成规定学分，</w:t>
      </w:r>
      <w:r>
        <w:rPr>
          <w:rFonts w:hint="eastAsia"/>
          <w:sz w:val="24"/>
          <w:highlight w:val="none"/>
          <w:lang w:val="en-US" w:eastAsia="zh-CN"/>
        </w:rPr>
        <w:t>取得一定水平的科研成果，</w:t>
      </w:r>
      <w:r>
        <w:rPr>
          <w:rFonts w:hint="eastAsia"/>
          <w:sz w:val="24"/>
          <w:highlight w:val="none"/>
        </w:rPr>
        <w:t>并通过学位论文答辩。</w:t>
      </w:r>
    </w:p>
    <w:p w14:paraId="01ADB0C7">
      <w:pPr>
        <w:spacing w:line="360" w:lineRule="auto"/>
        <w:ind w:firstLine="560" w:firstLineChars="200"/>
        <w:rPr>
          <w:rFonts w:eastAsia="黑体"/>
          <w:bCs/>
          <w:sz w:val="28"/>
          <w:szCs w:val="28"/>
        </w:rPr>
      </w:pPr>
      <w:r>
        <w:rPr>
          <w:rFonts w:hint="eastAsia" w:eastAsia="黑体"/>
          <w:bCs/>
          <w:sz w:val="28"/>
          <w:szCs w:val="28"/>
        </w:rPr>
        <w:t>七</w:t>
      </w:r>
      <w:r>
        <w:rPr>
          <w:rFonts w:eastAsia="黑体"/>
          <w:bCs/>
          <w:sz w:val="28"/>
          <w:szCs w:val="28"/>
        </w:rPr>
        <w:t>、中期筛选</w:t>
      </w:r>
    </w:p>
    <w:p w14:paraId="563E1263">
      <w:pPr>
        <w:spacing w:line="360" w:lineRule="auto"/>
        <w:ind w:firstLine="480" w:firstLineChars="20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在完成培养方案规定的课程学习、考核成绩合格、获得规定的学分后，按照《河北大学研究生中期筛选管理办法》（校政字〔2021〕15号）的相关规定，组织开展中期筛选工作。</w:t>
      </w:r>
    </w:p>
    <w:p w14:paraId="1FF20E83">
      <w:pPr>
        <w:spacing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6F6D0A1A">
      <w:pPr>
        <w:widowControl/>
        <w:spacing w:line="360" w:lineRule="auto"/>
        <w:ind w:firstLine="480"/>
        <w:jc w:val="left"/>
        <w:rPr>
          <w:i w:val="0"/>
          <w:iCs w:val="0"/>
          <w:color w:val="auto"/>
          <w:kern w:val="0"/>
          <w:sz w:val="18"/>
          <w:szCs w:val="18"/>
        </w:rPr>
      </w:pPr>
      <w:r>
        <w:rPr>
          <w:bCs/>
          <w:i w:val="0"/>
          <w:iCs w:val="0"/>
          <w:color w:val="auto"/>
          <w:kern w:val="0"/>
          <w:sz w:val="24"/>
        </w:rPr>
        <w:t>1.总体要求：</w:t>
      </w:r>
      <w:r>
        <w:rPr>
          <w:i w:val="0"/>
          <w:iCs w:val="0"/>
          <w:color w:val="auto"/>
          <w:kern w:val="0"/>
          <w:sz w:val="24"/>
        </w:rPr>
        <w:t>按照《河北大学关于开展2025版研究生培养方案修订工作的指导意见》（校政字</w:t>
      </w:r>
      <w:r>
        <w:rPr>
          <w:rFonts w:eastAsiaTheme="minorEastAsia"/>
          <w:bCs/>
          <w:i w:val="0"/>
          <w:iCs w:val="0"/>
          <w:color w:val="auto"/>
          <w:sz w:val="24"/>
        </w:rPr>
        <w:t>〔2025〕9号</w:t>
      </w:r>
      <w:r>
        <w:rPr>
          <w:i w:val="0"/>
          <w:iCs w:val="0"/>
          <w:color w:val="auto"/>
          <w:kern w:val="0"/>
          <w:sz w:val="24"/>
        </w:rPr>
        <w:t>）规定，博士研究生论文开题与答辩时间间隔原则上不少于18个月。学位（毕业）论文应当表明作者</w:t>
      </w:r>
      <w:r>
        <w:rPr>
          <w:rFonts w:eastAsiaTheme="minorEastAsia"/>
          <w:i w:val="0"/>
          <w:iCs w:val="0"/>
          <w:color w:val="auto"/>
          <w:sz w:val="24"/>
        </w:rPr>
        <w:t>具有独立从事学术研究工作的能力， 在学术研究领域做出创新性成果。</w:t>
      </w:r>
    </w:p>
    <w:p w14:paraId="00B3B68F">
      <w:pPr>
        <w:widowControl/>
        <w:spacing w:line="360" w:lineRule="auto"/>
        <w:ind w:firstLine="480"/>
        <w:jc w:val="left"/>
        <w:rPr>
          <w:i w:val="0"/>
          <w:iCs w:val="0"/>
          <w:color w:val="auto"/>
          <w:kern w:val="0"/>
          <w:sz w:val="18"/>
          <w:szCs w:val="18"/>
        </w:rPr>
      </w:pPr>
      <w:r>
        <w:rPr>
          <w:bCs/>
          <w:i w:val="0"/>
          <w:iCs w:val="0"/>
          <w:color w:val="auto"/>
          <w:kern w:val="0"/>
          <w:sz w:val="24"/>
        </w:rPr>
        <w:t>2.开题：</w:t>
      </w:r>
      <w:r>
        <w:rPr>
          <w:i w:val="0"/>
          <w:iCs w:val="0"/>
          <w:color w:val="auto"/>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1497FD92">
      <w:pPr>
        <w:widowControl/>
        <w:spacing w:line="360" w:lineRule="auto"/>
        <w:ind w:firstLine="480"/>
        <w:jc w:val="left"/>
        <w:rPr>
          <w:i w:val="0"/>
          <w:iCs w:val="0"/>
          <w:color w:val="auto"/>
          <w:kern w:val="0"/>
          <w:sz w:val="18"/>
          <w:szCs w:val="18"/>
        </w:rPr>
      </w:pPr>
      <w:r>
        <w:rPr>
          <w:i w:val="0"/>
          <w:iCs w:val="0"/>
          <w:color w:val="auto"/>
          <w:kern w:val="0"/>
          <w:sz w:val="24"/>
        </w:rPr>
        <w:t>原则上在入学后第3学期（最迟不超过第4学期）完成开题。开题由3-5名具有正高级专业技术职务人员参加，以学术报告的方式进行。</w:t>
      </w:r>
    </w:p>
    <w:p w14:paraId="31A88025">
      <w:pPr>
        <w:widowControl/>
        <w:spacing w:line="360" w:lineRule="auto"/>
        <w:ind w:firstLine="480"/>
        <w:jc w:val="left"/>
        <w:rPr>
          <w:i w:val="0"/>
          <w:iCs w:val="0"/>
          <w:color w:val="auto"/>
          <w:kern w:val="0"/>
          <w:sz w:val="24"/>
        </w:rPr>
      </w:pPr>
      <w:r>
        <w:rPr>
          <w:bCs/>
          <w:i w:val="0"/>
          <w:iCs w:val="0"/>
          <w:color w:val="auto"/>
          <w:kern w:val="0"/>
          <w:sz w:val="24"/>
        </w:rPr>
        <w:t>3.中期进展报告：</w:t>
      </w:r>
      <w:r>
        <w:rPr>
          <w:i w:val="0"/>
          <w:iCs w:val="0"/>
          <w:color w:val="auto"/>
          <w:kern w:val="0"/>
          <w:sz w:val="24"/>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13EE9E03">
      <w:pPr>
        <w:widowControl/>
        <w:spacing w:line="360" w:lineRule="auto"/>
        <w:ind w:firstLine="480"/>
        <w:jc w:val="left"/>
        <w:rPr>
          <w:i w:val="0"/>
          <w:iCs w:val="0"/>
          <w:color w:val="auto"/>
          <w:kern w:val="0"/>
          <w:sz w:val="24"/>
        </w:rPr>
      </w:pPr>
      <w:r>
        <w:rPr>
          <w:bCs/>
          <w:i w:val="0"/>
          <w:iCs w:val="0"/>
          <w:color w:val="auto"/>
          <w:kern w:val="0"/>
          <w:sz w:val="24"/>
        </w:rPr>
        <w:t>4.学位申请：</w:t>
      </w:r>
      <w:r>
        <w:rPr>
          <w:i w:val="0"/>
          <w:iCs w:val="0"/>
          <w:color w:val="auto"/>
          <w:kern w:val="0"/>
          <w:sz w:val="24"/>
        </w:rPr>
        <w:t>达到学位授予条件的申请人，经导师同意后，应于答辩前三个月，向所属学位评定分委员会提出学位申请，提交学位申请材料。</w:t>
      </w:r>
    </w:p>
    <w:p w14:paraId="2A7DADF7">
      <w:pPr>
        <w:widowControl/>
        <w:spacing w:line="360" w:lineRule="auto"/>
        <w:ind w:firstLine="480"/>
        <w:jc w:val="left"/>
        <w:rPr>
          <w:i w:val="0"/>
          <w:iCs w:val="0"/>
          <w:color w:val="auto"/>
          <w:kern w:val="0"/>
          <w:sz w:val="24"/>
        </w:rPr>
      </w:pPr>
      <w:r>
        <w:rPr>
          <w:bCs/>
          <w:i w:val="0"/>
          <w:iCs w:val="0"/>
          <w:color w:val="auto"/>
          <w:kern w:val="0"/>
          <w:sz w:val="24"/>
        </w:rPr>
        <w:t>5.预答辩：</w:t>
      </w:r>
      <w:r>
        <w:rPr>
          <w:i w:val="0"/>
          <w:iCs w:val="0"/>
          <w:color w:val="auto"/>
          <w:kern w:val="0"/>
          <w:sz w:val="24"/>
        </w:rPr>
        <w:t>学位申请人须进行学位论文预答辩。预答辩通过者，方可进入学位论文评阅、学位论文答辩等环节。学位（毕业）论文预答辩在正式答辩前3个月进行。</w:t>
      </w:r>
    </w:p>
    <w:p w14:paraId="26DB9DA1">
      <w:pPr>
        <w:widowControl/>
        <w:spacing w:line="360" w:lineRule="auto"/>
        <w:ind w:firstLine="480"/>
        <w:jc w:val="left"/>
        <w:rPr>
          <w:i w:val="0"/>
          <w:iCs w:val="0"/>
          <w:color w:val="auto"/>
          <w:kern w:val="0"/>
          <w:sz w:val="24"/>
        </w:rPr>
      </w:pPr>
      <w:r>
        <w:rPr>
          <w:bCs/>
          <w:i w:val="0"/>
          <w:iCs w:val="0"/>
          <w:color w:val="auto"/>
          <w:kern w:val="0"/>
          <w:sz w:val="24"/>
        </w:rPr>
        <w:t>6.论文评阅：</w:t>
      </w:r>
      <w:r>
        <w:rPr>
          <w:i w:val="0"/>
          <w:iCs w:val="0"/>
          <w:color w:val="auto"/>
          <w:kern w:val="0"/>
          <w:sz w:val="24"/>
        </w:rPr>
        <w:t>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430D2C79">
      <w:pPr>
        <w:widowControl/>
        <w:spacing w:line="360" w:lineRule="auto"/>
        <w:ind w:firstLine="480"/>
        <w:jc w:val="left"/>
        <w:rPr>
          <w:rFonts w:eastAsiaTheme="minorEastAsia"/>
          <w:i w:val="0"/>
          <w:iCs w:val="0"/>
          <w:color w:val="FF0000"/>
          <w:sz w:val="24"/>
        </w:rPr>
      </w:pPr>
      <w:r>
        <w:rPr>
          <w:bCs/>
          <w:i w:val="0"/>
          <w:iCs w:val="0"/>
          <w:color w:val="222222"/>
          <w:kern w:val="0"/>
          <w:sz w:val="24"/>
        </w:rPr>
        <w:t>7.答辩：学位（毕业）论文答辩按照</w:t>
      </w:r>
      <w:r>
        <w:rPr>
          <w:i w:val="0"/>
          <w:iCs w:val="0"/>
          <w:color w:val="222222"/>
          <w:kern w:val="0"/>
          <w:sz w:val="24"/>
        </w:rPr>
        <w:t>《河北大学博士、硕士学位授予工作实施细则》（校政字〔2025〕7号）执行。</w:t>
      </w:r>
    </w:p>
    <w:p w14:paraId="68BC8B14">
      <w:pPr>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70A6B312">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770394EA">
      <w:pPr>
        <w:spacing w:line="360" w:lineRule="auto"/>
        <w:ind w:firstLine="480" w:firstLineChars="200"/>
        <w:rPr>
          <w:rFonts w:eastAsiaTheme="minorEastAsia"/>
          <w:color w:val="000000"/>
          <w:sz w:val="24"/>
        </w:rPr>
      </w:pPr>
      <w:r>
        <w:rPr>
          <w:rFonts w:eastAsiaTheme="minorEastAsia"/>
          <w:bCs/>
          <w:sz w:val="24"/>
        </w:rPr>
        <w:t>2. 学术活动。研究生</w:t>
      </w:r>
      <w:r>
        <w:rPr>
          <w:rFonts w:eastAsiaTheme="minorEastAsia"/>
          <w:color w:val="000000"/>
          <w:sz w:val="24"/>
        </w:rPr>
        <w:t>在读期间参加不少</w:t>
      </w:r>
      <w:r>
        <w:rPr>
          <w:rFonts w:eastAsiaTheme="minorEastAsia"/>
          <w:i w:val="0"/>
          <w:iCs w:val="0"/>
          <w:color w:val="auto"/>
          <w:sz w:val="24"/>
        </w:rPr>
        <w:t>于15</w:t>
      </w:r>
      <w:r>
        <w:rPr>
          <w:rFonts w:eastAsiaTheme="minorEastAsia"/>
          <w:color w:val="000000"/>
          <w:sz w:val="24"/>
        </w:rPr>
        <w:t>次学术活动，并撰写学术报告小结；以主讲人或宣讲人身份，参加在校内外举行的学术报告或学术讲座不少于</w:t>
      </w:r>
      <w:r>
        <w:rPr>
          <w:rFonts w:hint="eastAsia" w:eastAsiaTheme="minorEastAsia"/>
          <w:i w:val="0"/>
          <w:iCs/>
          <w:color w:val="auto"/>
          <w:sz w:val="24"/>
          <w:lang w:val="en-US" w:eastAsia="zh-CN"/>
        </w:rPr>
        <w:t>4</w:t>
      </w:r>
      <w:r>
        <w:rPr>
          <w:rFonts w:eastAsiaTheme="minorEastAsia"/>
          <w:color w:val="000000"/>
          <w:sz w:val="24"/>
        </w:rPr>
        <w:t>次。</w:t>
      </w:r>
    </w:p>
    <w:p w14:paraId="4E700E43">
      <w:pPr>
        <w:spacing w:line="360" w:lineRule="auto"/>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336490C6">
      <w:pPr>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188EBB8C">
      <w:pPr>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1EA8AE41">
      <w:pPr>
        <w:spacing w:line="360" w:lineRule="auto"/>
        <w:ind w:firstLine="480" w:firstLineChars="200"/>
        <w:rPr>
          <w:rFonts w:eastAsia="黑体"/>
          <w:bCs/>
          <w:sz w:val="28"/>
          <w:szCs w:val="28"/>
        </w:rPr>
      </w:pPr>
      <w:r>
        <w:rPr>
          <w:rFonts w:hint="eastAsia" w:eastAsiaTheme="minorEastAsia"/>
          <w:bCs/>
          <w:sz w:val="24"/>
        </w:rPr>
        <w:t>为体现创新性成果的多元化，要求</w:t>
      </w:r>
      <w:r>
        <w:rPr>
          <w:rFonts w:hint="eastAsia" w:eastAsiaTheme="minorEastAsia"/>
          <w:bCs/>
          <w:sz w:val="24"/>
          <w:lang w:val="en-US" w:eastAsia="zh-CN"/>
        </w:rPr>
        <w:t>数字经济管理</w:t>
      </w:r>
      <w:r>
        <w:rPr>
          <w:rFonts w:hint="eastAsia" w:eastAsiaTheme="minorEastAsia"/>
          <w:bCs/>
          <w:sz w:val="24"/>
        </w:rPr>
        <w:t>专业的</w:t>
      </w:r>
      <w:r>
        <w:rPr>
          <w:rFonts w:hint="eastAsia" w:eastAsiaTheme="minorEastAsia"/>
          <w:bCs/>
          <w:sz w:val="24"/>
          <w:lang w:val="en-US" w:eastAsia="zh-CN"/>
        </w:rPr>
        <w:t>博士</w:t>
      </w:r>
      <w:r>
        <w:rPr>
          <w:rFonts w:hint="eastAsia" w:eastAsiaTheme="minorEastAsia"/>
          <w:bCs/>
          <w:sz w:val="24"/>
        </w:rPr>
        <w:t>研究生完成的成果包括但不限于</w:t>
      </w:r>
      <w:r>
        <w:rPr>
          <w:rFonts w:hint="eastAsia" w:eastAsiaTheme="minorEastAsia"/>
          <w:bCs/>
          <w:sz w:val="24"/>
          <w:lang w:val="en-US" w:eastAsia="zh-CN"/>
        </w:rPr>
        <w:t>高水平</w:t>
      </w:r>
      <w:r>
        <w:rPr>
          <w:rFonts w:hint="eastAsia" w:eastAsiaTheme="minorEastAsia"/>
          <w:bCs/>
          <w:sz w:val="24"/>
        </w:rPr>
        <w:t>学术论文、专利、软件著作权、竞赛获奖、实践项目报告、政策咨询报告等。</w:t>
      </w:r>
    </w:p>
    <w:p w14:paraId="1712AF6F">
      <w:pPr>
        <w:spacing w:line="360" w:lineRule="auto"/>
        <w:ind w:firstLine="560" w:firstLineChars="200"/>
        <w:rPr>
          <w:rFonts w:eastAsia="黑体"/>
          <w:bCs/>
          <w:sz w:val="28"/>
          <w:szCs w:val="28"/>
        </w:rPr>
      </w:pPr>
      <w:r>
        <w:rPr>
          <w:rFonts w:eastAsia="黑体"/>
          <w:bCs/>
          <w:sz w:val="28"/>
          <w:szCs w:val="28"/>
        </w:rPr>
        <w:t>十一、学位授予</w:t>
      </w:r>
    </w:p>
    <w:p w14:paraId="6C2B1861">
      <w:pPr>
        <w:spacing w:line="360" w:lineRule="auto"/>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w:t>
      </w:r>
      <w:r>
        <w:rPr>
          <w:color w:val="auto"/>
          <w:kern w:val="0"/>
          <w:sz w:val="24"/>
        </w:rPr>
        <w:t>本</w:t>
      </w:r>
      <w:r>
        <w:rPr>
          <w:i w:val="0"/>
          <w:iCs/>
          <w:color w:val="auto"/>
          <w:kern w:val="0"/>
          <w:sz w:val="24"/>
        </w:rPr>
        <w:t>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的有关规定，达到学校学位授予标准，经学校学位评定委员会审议，授予博士学位。</w:t>
      </w:r>
    </w:p>
    <w:p w14:paraId="3AC4EEEC">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6A045285">
      <w:pPr>
        <w:spacing w:line="360" w:lineRule="auto"/>
        <w:ind w:firstLine="480" w:firstLineChars="200"/>
        <w:rPr>
          <w:rFonts w:eastAsiaTheme="minorEastAsia"/>
          <w:color w:val="auto"/>
          <w:sz w:val="24"/>
        </w:rPr>
      </w:pPr>
      <w:r>
        <w:rPr>
          <w:rFonts w:eastAsiaTheme="minorEastAsia"/>
          <w:color w:val="000000"/>
          <w:sz w:val="24"/>
        </w:rPr>
        <w:t>本专业最低毕业学分为</w:t>
      </w:r>
      <w:r>
        <w:rPr>
          <w:rFonts w:hint="eastAsia" w:eastAsiaTheme="minorEastAsia"/>
          <w:color w:val="auto"/>
          <w:sz w:val="24"/>
          <w:lang w:val="en-US" w:eastAsia="zh-CN"/>
        </w:rPr>
        <w:t>19</w:t>
      </w:r>
      <w:r>
        <w:rPr>
          <w:rFonts w:eastAsiaTheme="minorEastAsia"/>
          <w:color w:val="auto"/>
          <w:sz w:val="24"/>
        </w:rPr>
        <w:t>分，其中学位课</w:t>
      </w:r>
      <w:r>
        <w:rPr>
          <w:rFonts w:hint="eastAsia" w:eastAsiaTheme="minorEastAsia"/>
          <w:color w:val="auto"/>
          <w:sz w:val="24"/>
          <w:lang w:val="en-US" w:eastAsia="zh-CN"/>
        </w:rPr>
        <w:t>12</w:t>
      </w:r>
      <w:r>
        <w:rPr>
          <w:rFonts w:eastAsiaTheme="minorEastAsia"/>
          <w:color w:val="auto"/>
          <w:sz w:val="24"/>
        </w:rPr>
        <w:t>学分，非学位课</w:t>
      </w:r>
      <w:r>
        <w:rPr>
          <w:rFonts w:hint="eastAsia" w:eastAsiaTheme="minorEastAsia"/>
          <w:color w:val="auto"/>
          <w:sz w:val="24"/>
          <w:lang w:val="en-US" w:eastAsia="zh-CN"/>
        </w:rPr>
        <w:t>5</w:t>
      </w:r>
      <w:r>
        <w:rPr>
          <w:rFonts w:eastAsiaTheme="minorEastAsia"/>
          <w:color w:val="auto"/>
          <w:sz w:val="24"/>
        </w:rPr>
        <w:t>学分，</w:t>
      </w:r>
      <w:r>
        <w:rPr>
          <w:rFonts w:eastAsiaTheme="minorEastAsia"/>
          <w:color w:val="000000"/>
          <w:sz w:val="24"/>
        </w:rPr>
        <w:t>必修环节</w:t>
      </w:r>
      <w:r>
        <w:rPr>
          <w:rFonts w:hint="eastAsia" w:eastAsiaTheme="minorEastAsia"/>
          <w:color w:val="auto"/>
          <w:sz w:val="24"/>
          <w:lang w:val="en-US" w:eastAsia="zh-CN"/>
        </w:rPr>
        <w:t>2学</w:t>
      </w:r>
      <w:r>
        <w:rPr>
          <w:rFonts w:eastAsiaTheme="minorEastAsia"/>
          <w:color w:val="auto"/>
          <w:sz w:val="24"/>
        </w:rPr>
        <w:t>分。</w:t>
      </w:r>
    </w:p>
    <w:p w14:paraId="202E83C7">
      <w:pPr>
        <w:spacing w:line="360" w:lineRule="auto"/>
        <w:rPr>
          <w:color w:val="FF0000"/>
          <w:sz w:val="24"/>
        </w:rPr>
      </w:pPr>
      <w:r>
        <w:rPr>
          <w:rFonts w:eastAsiaTheme="minorEastAsia"/>
          <w:color w:val="000000"/>
          <w:sz w:val="24"/>
        </w:rPr>
        <w:t xml:space="preserve">    课程考试不设补考环节，</w:t>
      </w:r>
      <w:r>
        <w:rPr>
          <w:color w:val="000000"/>
          <w:sz w:val="24"/>
        </w:rPr>
        <w:t>考试成绩低于60分的需重修。</w:t>
      </w:r>
    </w:p>
    <w:p w14:paraId="0CEFAF94">
      <w:pPr>
        <w:spacing w:line="360" w:lineRule="auto"/>
        <w:rPr>
          <w:rFonts w:eastAsiaTheme="minorEastAsia"/>
          <w:b/>
          <w:bCs/>
          <w:sz w:val="24"/>
        </w:rPr>
      </w:pPr>
      <w:r>
        <w:rPr>
          <w:i/>
          <w:color w:val="000000"/>
          <w:sz w:val="24"/>
        </w:rPr>
        <w:t xml:space="preserve">   </w:t>
      </w:r>
    </w:p>
    <w:p w14:paraId="5F47102C">
      <w:pPr>
        <w:spacing w:after="156" w:afterLines="50" w:line="440" w:lineRule="exact"/>
        <w:ind w:firstLine="482" w:firstLineChars="200"/>
        <w:jc w:val="center"/>
        <w:rPr>
          <w:rFonts w:hint="eastAsia" w:eastAsiaTheme="minorEastAsia"/>
          <w:b/>
          <w:bCs/>
          <w:color w:val="auto"/>
          <w:sz w:val="24"/>
          <w:lang w:val="en-US" w:eastAsia="zh-CN"/>
        </w:rPr>
      </w:pPr>
    </w:p>
    <w:p w14:paraId="5B7EFA4E">
      <w:pPr>
        <w:spacing w:after="156" w:afterLines="50" w:line="440" w:lineRule="exact"/>
        <w:ind w:firstLine="482" w:firstLineChars="200"/>
        <w:jc w:val="center"/>
        <w:rPr>
          <w:rFonts w:eastAsiaTheme="minorEastAsia"/>
          <w:b/>
          <w:bCs/>
          <w:sz w:val="24"/>
        </w:rPr>
      </w:pPr>
      <w:r>
        <w:rPr>
          <w:rFonts w:hint="eastAsia" w:eastAsiaTheme="minorEastAsia"/>
          <w:b/>
          <w:bCs/>
          <w:color w:val="auto"/>
          <w:sz w:val="24"/>
          <w:lang w:val="en-US" w:eastAsia="zh-CN"/>
        </w:rPr>
        <w:t>数字经济管理</w:t>
      </w:r>
      <w:r>
        <w:rPr>
          <w:rFonts w:eastAsiaTheme="minorEastAsia"/>
          <w:b/>
          <w:bCs/>
          <w:sz w:val="24"/>
        </w:rPr>
        <w:t>专业学术学位博士研究生课程及培养环节设置一览表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139"/>
        <w:gridCol w:w="651"/>
        <w:gridCol w:w="709"/>
        <w:gridCol w:w="1045"/>
      </w:tblGrid>
      <w:tr w14:paraId="5B6F369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3DEA3F85">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1A43D450">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139" w:type="dxa"/>
            <w:vAlign w:val="center"/>
          </w:tcPr>
          <w:p w14:paraId="465EE95D">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651" w:type="dxa"/>
            <w:vAlign w:val="center"/>
          </w:tcPr>
          <w:p w14:paraId="4932D52C">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1486B1F5">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73231383">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547BFDF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4501C6D3">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72774C44">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49ED3A39">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6A53D355">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中国马克思主义与当代</w:t>
            </w:r>
          </w:p>
        </w:tc>
        <w:tc>
          <w:tcPr>
            <w:tcW w:w="1139" w:type="dxa"/>
            <w:vAlign w:val="center"/>
          </w:tcPr>
          <w:p w14:paraId="5CBFEB7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TB0000001</w:t>
            </w:r>
          </w:p>
        </w:tc>
        <w:tc>
          <w:tcPr>
            <w:tcW w:w="651" w:type="dxa"/>
            <w:vAlign w:val="center"/>
          </w:tcPr>
          <w:p w14:paraId="48887B6E">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1CD72DC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09E4EDFC">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73D7B8E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1C67BBB7">
            <w:pPr>
              <w:jc w:val="center"/>
              <w:rPr>
                <w:b/>
                <w:color w:val="000000" w:themeColor="text1"/>
                <w:sz w:val="18"/>
                <w:szCs w:val="18"/>
                <w14:textFill>
                  <w14:solidFill>
                    <w14:schemeClr w14:val="tx1"/>
                  </w14:solidFill>
                </w14:textFill>
              </w:rPr>
            </w:pPr>
          </w:p>
        </w:tc>
        <w:tc>
          <w:tcPr>
            <w:tcW w:w="1226" w:type="dxa"/>
            <w:vMerge w:val="continue"/>
            <w:vAlign w:val="center"/>
          </w:tcPr>
          <w:p w14:paraId="6EB2B67D">
            <w:pPr>
              <w:jc w:val="center"/>
              <w:rPr>
                <w:b/>
                <w:color w:val="000000" w:themeColor="text1"/>
                <w:sz w:val="18"/>
                <w:szCs w:val="18"/>
                <w14:textFill>
                  <w14:solidFill>
                    <w14:schemeClr w14:val="tx1"/>
                  </w14:solidFill>
                </w14:textFill>
              </w:rPr>
            </w:pPr>
          </w:p>
        </w:tc>
        <w:tc>
          <w:tcPr>
            <w:tcW w:w="3516" w:type="dxa"/>
            <w:vAlign w:val="center"/>
          </w:tcPr>
          <w:p w14:paraId="05D740F3">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学术英语阅读与写作</w:t>
            </w:r>
          </w:p>
        </w:tc>
        <w:tc>
          <w:tcPr>
            <w:tcW w:w="1139" w:type="dxa"/>
            <w:vAlign w:val="center"/>
          </w:tcPr>
          <w:p w14:paraId="1B190C0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TB000000</w:t>
            </w:r>
            <w:r>
              <w:rPr>
                <w:rFonts w:hint="eastAsia"/>
                <w:color w:val="000000" w:themeColor="text1"/>
                <w:sz w:val="18"/>
                <w:szCs w:val="18"/>
                <w14:textFill>
                  <w14:solidFill>
                    <w14:schemeClr w14:val="tx1"/>
                  </w14:solidFill>
                </w14:textFill>
              </w:rPr>
              <w:t>4</w:t>
            </w:r>
          </w:p>
        </w:tc>
        <w:tc>
          <w:tcPr>
            <w:tcW w:w="651" w:type="dxa"/>
            <w:vAlign w:val="center"/>
          </w:tcPr>
          <w:p w14:paraId="07ECE9C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3A2402F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167DFF9B">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60D6FCB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62ACBCC">
            <w:pPr>
              <w:jc w:val="center"/>
              <w:rPr>
                <w:b/>
                <w:color w:val="000000" w:themeColor="text1"/>
                <w:sz w:val="18"/>
                <w:szCs w:val="18"/>
                <w14:textFill>
                  <w14:solidFill>
                    <w14:schemeClr w14:val="tx1"/>
                  </w14:solidFill>
                </w14:textFill>
              </w:rPr>
            </w:pPr>
          </w:p>
        </w:tc>
        <w:tc>
          <w:tcPr>
            <w:tcW w:w="1226" w:type="dxa"/>
            <w:vMerge w:val="restart"/>
            <w:vAlign w:val="center"/>
          </w:tcPr>
          <w:p w14:paraId="7D0FDB10">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学科基础课</w:t>
            </w:r>
          </w:p>
          <w:p w14:paraId="1A573731">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w:t>
            </w:r>
            <w:r>
              <w:rPr>
                <w:rFonts w:hint="eastAsia"/>
                <w:b/>
                <w:color w:val="000000" w:themeColor="text1"/>
                <w:sz w:val="18"/>
                <w:szCs w:val="18"/>
                <w:highlight w:val="none"/>
                <w:lang w:val="en-US" w:eastAsia="zh-CN"/>
                <w14:textFill>
                  <w14:solidFill>
                    <w14:schemeClr w14:val="tx1"/>
                  </w14:solidFill>
                </w14:textFill>
              </w:rPr>
              <w:t>5</w:t>
            </w:r>
            <w:r>
              <w:rPr>
                <w:b/>
                <w:color w:val="000000" w:themeColor="text1"/>
                <w:sz w:val="18"/>
                <w:szCs w:val="18"/>
                <w:highlight w:val="none"/>
                <w14:textFill>
                  <w14:solidFill>
                    <w14:schemeClr w14:val="tx1"/>
                  </w14:solidFill>
                </w14:textFill>
              </w:rPr>
              <w:t>学分）</w:t>
            </w:r>
          </w:p>
        </w:tc>
        <w:tc>
          <w:tcPr>
            <w:tcW w:w="3516" w:type="dxa"/>
            <w:vAlign w:val="center"/>
          </w:tcPr>
          <w:p w14:paraId="7C264790">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学术道德与论文写作</w:t>
            </w:r>
          </w:p>
        </w:tc>
        <w:tc>
          <w:tcPr>
            <w:tcW w:w="1139" w:type="dxa"/>
            <w:vAlign w:val="center"/>
          </w:tcPr>
          <w:p w14:paraId="6FF495AF">
            <w:pPr>
              <w:jc w:val="both"/>
              <w:rPr>
                <w:rFonts w:hint="default" w:eastAsia="宋体"/>
                <w:i/>
                <w:color w:val="FF0000"/>
                <w:sz w:val="18"/>
                <w:szCs w:val="18"/>
                <w:lang w:val="en-US" w:eastAsia="zh-CN"/>
              </w:rPr>
            </w:pPr>
            <w:r>
              <w:rPr>
                <w:rFonts w:hint="eastAsia"/>
                <w:iCs/>
                <w:sz w:val="18"/>
                <w:szCs w:val="18"/>
              </w:rPr>
              <w:t>XB</w:t>
            </w:r>
            <w:r>
              <w:rPr>
                <w:iCs/>
                <w:sz w:val="18"/>
                <w:szCs w:val="18"/>
              </w:rPr>
              <w:t>041</w:t>
            </w:r>
            <w:r>
              <w:rPr>
                <w:rFonts w:hint="eastAsia"/>
                <w:iCs/>
                <w:sz w:val="18"/>
                <w:szCs w:val="18"/>
                <w:lang w:val="en-US" w:eastAsia="zh-CN"/>
              </w:rPr>
              <w:t>0101</w:t>
            </w:r>
          </w:p>
        </w:tc>
        <w:tc>
          <w:tcPr>
            <w:tcW w:w="651" w:type="dxa"/>
            <w:vAlign w:val="center"/>
          </w:tcPr>
          <w:p w14:paraId="233148DD">
            <w:pPr>
              <w:jc w:val="center"/>
              <w:rPr>
                <w:color w:val="FF0000"/>
              </w:rPr>
            </w:pPr>
            <w:r>
              <w:rPr>
                <w:iCs/>
                <w:color w:val="000000" w:themeColor="text1"/>
                <w:sz w:val="18"/>
                <w:szCs w:val="18"/>
                <w14:textFill>
                  <w14:solidFill>
                    <w14:schemeClr w14:val="tx1"/>
                  </w14:solidFill>
                </w14:textFill>
              </w:rPr>
              <w:t>2</w:t>
            </w:r>
          </w:p>
        </w:tc>
        <w:tc>
          <w:tcPr>
            <w:tcW w:w="709" w:type="dxa"/>
            <w:vAlign w:val="center"/>
          </w:tcPr>
          <w:p w14:paraId="37E82B8D">
            <w:pPr>
              <w:jc w:val="center"/>
              <w:rPr>
                <w:color w:val="FF0000"/>
              </w:rPr>
            </w:pPr>
            <w:r>
              <w:rPr>
                <w:rFonts w:hint="eastAsia"/>
                <w:iCs/>
                <w:color w:val="000000" w:themeColor="text1"/>
                <w:sz w:val="18"/>
                <w:szCs w:val="18"/>
                <w14:textFill>
                  <w14:solidFill>
                    <w14:schemeClr w14:val="tx1"/>
                  </w14:solidFill>
                </w14:textFill>
              </w:rPr>
              <w:t>1</w:t>
            </w:r>
          </w:p>
        </w:tc>
        <w:tc>
          <w:tcPr>
            <w:tcW w:w="1045" w:type="dxa"/>
            <w:vAlign w:val="center"/>
          </w:tcPr>
          <w:p w14:paraId="04492095">
            <w:pPr>
              <w:jc w:val="center"/>
              <w:rPr>
                <w:i/>
                <w:color w:val="FF0000"/>
                <w:sz w:val="18"/>
                <w:szCs w:val="18"/>
              </w:rPr>
            </w:pPr>
            <w:r>
              <w:rPr>
                <w:rFonts w:hint="eastAsia"/>
                <w:color w:val="000000" w:themeColor="text1"/>
                <w:sz w:val="18"/>
                <w:szCs w:val="18"/>
                <w14:textFill>
                  <w14:solidFill>
                    <w14:schemeClr w14:val="tx1"/>
                  </w14:solidFill>
                </w14:textFill>
              </w:rPr>
              <w:t>考查</w:t>
            </w:r>
          </w:p>
        </w:tc>
      </w:tr>
      <w:tr w14:paraId="0816F15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0DC842C">
            <w:pPr>
              <w:jc w:val="center"/>
              <w:rPr>
                <w:b/>
                <w:color w:val="000000" w:themeColor="text1"/>
                <w:sz w:val="18"/>
                <w:szCs w:val="18"/>
                <w14:textFill>
                  <w14:solidFill>
                    <w14:schemeClr w14:val="tx1"/>
                  </w14:solidFill>
                </w14:textFill>
              </w:rPr>
            </w:pPr>
          </w:p>
        </w:tc>
        <w:tc>
          <w:tcPr>
            <w:tcW w:w="1226" w:type="dxa"/>
            <w:vMerge w:val="continue"/>
            <w:vAlign w:val="center"/>
          </w:tcPr>
          <w:p w14:paraId="3EDB9E61">
            <w:pPr>
              <w:jc w:val="center"/>
              <w:rPr>
                <w:b/>
                <w:color w:val="000000" w:themeColor="text1"/>
                <w:sz w:val="18"/>
                <w:szCs w:val="18"/>
                <w:highlight w:val="none"/>
                <w14:textFill>
                  <w14:solidFill>
                    <w14:schemeClr w14:val="tx1"/>
                  </w14:solidFill>
                </w14:textFill>
              </w:rPr>
            </w:pPr>
          </w:p>
        </w:tc>
        <w:tc>
          <w:tcPr>
            <w:tcW w:w="3516" w:type="dxa"/>
            <w:shd w:val="clear" w:color="auto" w:fill="auto"/>
            <w:vAlign w:val="center"/>
          </w:tcPr>
          <w:p w14:paraId="4F1BF8BC">
            <w:pPr>
              <w:adjustRightInd w:val="0"/>
              <w:snapToGrid w:val="0"/>
              <w:rPr>
                <w:rFonts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数字经济管理</w:t>
            </w:r>
            <w:r>
              <w:rPr>
                <w:rFonts w:hint="eastAsia"/>
                <w:bCs/>
                <w:color w:val="000000" w:themeColor="text1"/>
                <w:sz w:val="18"/>
                <w:szCs w:val="18"/>
                <w14:textFill>
                  <w14:solidFill>
                    <w14:schemeClr w14:val="tx1"/>
                  </w14:solidFill>
                </w14:textFill>
              </w:rPr>
              <w:t>研究前沿</w:t>
            </w:r>
          </w:p>
        </w:tc>
        <w:tc>
          <w:tcPr>
            <w:tcW w:w="1139" w:type="dxa"/>
            <w:shd w:val="clear" w:color="auto" w:fill="auto"/>
            <w:vAlign w:val="center"/>
          </w:tcPr>
          <w:p w14:paraId="6AAE1FD8">
            <w:pPr>
              <w:jc w:val="center"/>
              <w:rPr>
                <w:rFonts w:hint="default"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iCs/>
                <w:sz w:val="18"/>
                <w:szCs w:val="18"/>
              </w:rPr>
              <w:t>X</w:t>
            </w:r>
            <w:r>
              <w:rPr>
                <w:iCs/>
                <w:sz w:val="18"/>
                <w:szCs w:val="18"/>
              </w:rPr>
              <w:t>B041</w:t>
            </w:r>
            <w:r>
              <w:rPr>
                <w:rFonts w:hint="eastAsia"/>
                <w:iCs/>
                <w:sz w:val="18"/>
                <w:szCs w:val="18"/>
                <w:lang w:val="en-US" w:eastAsia="zh-CN"/>
              </w:rPr>
              <w:t>1001</w:t>
            </w:r>
          </w:p>
        </w:tc>
        <w:tc>
          <w:tcPr>
            <w:tcW w:w="651" w:type="dxa"/>
            <w:shd w:val="clear" w:color="auto" w:fill="auto"/>
            <w:vAlign w:val="center"/>
          </w:tcPr>
          <w:p w14:paraId="1CC6522B">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3</w:t>
            </w:r>
          </w:p>
        </w:tc>
        <w:tc>
          <w:tcPr>
            <w:tcW w:w="709" w:type="dxa"/>
            <w:shd w:val="clear" w:color="auto" w:fill="auto"/>
            <w:vAlign w:val="center"/>
          </w:tcPr>
          <w:p w14:paraId="39E9BC7B">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1</w:t>
            </w:r>
          </w:p>
        </w:tc>
        <w:tc>
          <w:tcPr>
            <w:tcW w:w="1045" w:type="dxa"/>
            <w:shd w:val="clear" w:color="auto" w:fill="auto"/>
            <w:vAlign w:val="center"/>
          </w:tcPr>
          <w:p w14:paraId="1C8C231D">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33EAADA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F6205AD">
            <w:pPr>
              <w:jc w:val="center"/>
              <w:rPr>
                <w:b/>
                <w:color w:val="000000" w:themeColor="text1"/>
                <w:sz w:val="18"/>
                <w:szCs w:val="18"/>
                <w14:textFill>
                  <w14:solidFill>
                    <w14:schemeClr w14:val="tx1"/>
                  </w14:solidFill>
                </w14:textFill>
              </w:rPr>
            </w:pPr>
          </w:p>
        </w:tc>
        <w:tc>
          <w:tcPr>
            <w:tcW w:w="1226" w:type="dxa"/>
            <w:vAlign w:val="center"/>
          </w:tcPr>
          <w:p w14:paraId="7B317A35">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专业必修课</w:t>
            </w:r>
          </w:p>
          <w:p w14:paraId="505E0FB0">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w:t>
            </w:r>
            <w:r>
              <w:rPr>
                <w:rFonts w:hint="eastAsia"/>
                <w:b/>
                <w:color w:val="000000" w:themeColor="text1"/>
                <w:sz w:val="18"/>
                <w:szCs w:val="18"/>
                <w:highlight w:val="none"/>
                <w:lang w:val="en-US" w:eastAsia="zh-CN"/>
                <w14:textFill>
                  <w14:solidFill>
                    <w14:schemeClr w14:val="tx1"/>
                  </w14:solidFill>
                </w14:textFill>
              </w:rPr>
              <w:t>3</w:t>
            </w:r>
            <w:r>
              <w:rPr>
                <w:b/>
                <w:color w:val="000000" w:themeColor="text1"/>
                <w:sz w:val="18"/>
                <w:szCs w:val="18"/>
                <w:highlight w:val="none"/>
                <w14:textFill>
                  <w14:solidFill>
                    <w14:schemeClr w14:val="tx1"/>
                  </w14:solidFill>
                </w14:textFill>
              </w:rPr>
              <w:t>学分）</w:t>
            </w:r>
          </w:p>
        </w:tc>
        <w:tc>
          <w:tcPr>
            <w:tcW w:w="3516" w:type="dxa"/>
            <w:vAlign w:val="center"/>
          </w:tcPr>
          <w:p w14:paraId="735BEF5B">
            <w:pPr>
              <w:adjustRightInd w:val="0"/>
              <w:snapToGrid w:val="0"/>
            </w:pPr>
            <w:r>
              <w:rPr>
                <w:rFonts w:hint="eastAsia"/>
                <w:bCs/>
                <w:color w:val="000000" w:themeColor="text1"/>
                <w:sz w:val="18"/>
                <w:szCs w:val="18"/>
                <w14:textFill>
                  <w14:solidFill>
                    <w14:schemeClr w14:val="tx1"/>
                  </w14:solidFill>
                </w14:textFill>
              </w:rPr>
              <w:t>管理科学研究方法</w:t>
            </w:r>
          </w:p>
        </w:tc>
        <w:tc>
          <w:tcPr>
            <w:tcW w:w="1139" w:type="dxa"/>
            <w:vAlign w:val="center"/>
          </w:tcPr>
          <w:p w14:paraId="7118FF5D">
            <w:pPr>
              <w:jc w:val="center"/>
              <w:rPr>
                <w:color w:val="FF0000"/>
                <w:sz w:val="18"/>
                <w:szCs w:val="18"/>
              </w:rPr>
            </w:pPr>
            <w:r>
              <w:rPr>
                <w:rFonts w:hint="eastAsia"/>
                <w:iCs/>
                <w:sz w:val="18"/>
                <w:szCs w:val="18"/>
              </w:rPr>
              <w:t>X</w:t>
            </w:r>
            <w:r>
              <w:rPr>
                <w:iCs/>
                <w:sz w:val="18"/>
                <w:szCs w:val="18"/>
              </w:rPr>
              <w:t>B0410003</w:t>
            </w:r>
          </w:p>
        </w:tc>
        <w:tc>
          <w:tcPr>
            <w:tcW w:w="651" w:type="dxa"/>
            <w:vAlign w:val="center"/>
          </w:tcPr>
          <w:p w14:paraId="252F8858">
            <w:pPr>
              <w:jc w:val="center"/>
              <w:rPr>
                <w:color w:val="FF0000"/>
              </w:rPr>
            </w:pPr>
            <w:r>
              <w:rPr>
                <w:color w:val="000000" w:themeColor="text1"/>
                <w:sz w:val="18"/>
                <w:szCs w:val="18"/>
                <w14:textFill>
                  <w14:solidFill>
                    <w14:schemeClr w14:val="tx1"/>
                  </w14:solidFill>
                </w14:textFill>
              </w:rPr>
              <w:t>3</w:t>
            </w:r>
          </w:p>
        </w:tc>
        <w:tc>
          <w:tcPr>
            <w:tcW w:w="709" w:type="dxa"/>
            <w:vAlign w:val="center"/>
          </w:tcPr>
          <w:p w14:paraId="0FF470AF">
            <w:pPr>
              <w:jc w:val="center"/>
              <w:rPr>
                <w:color w:val="FF0000"/>
              </w:rPr>
            </w:pPr>
            <w:r>
              <w:rPr>
                <w:rFonts w:hint="eastAsia"/>
                <w:color w:val="000000" w:themeColor="text1"/>
                <w:sz w:val="18"/>
                <w:szCs w:val="18"/>
                <w14:textFill>
                  <w14:solidFill>
                    <w14:schemeClr w14:val="tx1"/>
                  </w14:solidFill>
                </w14:textFill>
              </w:rPr>
              <w:t>1</w:t>
            </w:r>
          </w:p>
        </w:tc>
        <w:tc>
          <w:tcPr>
            <w:tcW w:w="1045" w:type="dxa"/>
            <w:vAlign w:val="center"/>
          </w:tcPr>
          <w:p w14:paraId="1D6430B0">
            <w:pPr>
              <w:jc w:val="center"/>
              <w:rPr>
                <w:color w:val="FF0000"/>
                <w:sz w:val="18"/>
                <w:szCs w:val="18"/>
              </w:rPr>
            </w:pPr>
            <w:r>
              <w:rPr>
                <w:rFonts w:hint="eastAsia"/>
                <w:color w:val="000000" w:themeColor="text1"/>
                <w:sz w:val="18"/>
                <w:szCs w:val="18"/>
                <w14:textFill>
                  <w14:solidFill>
                    <w14:schemeClr w14:val="tx1"/>
                  </w14:solidFill>
                </w14:textFill>
              </w:rPr>
              <w:t>考查</w:t>
            </w:r>
          </w:p>
        </w:tc>
      </w:tr>
      <w:tr w14:paraId="63ABC0B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076BC5F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22F287BD">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2532C9A8">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516" w:type="dxa"/>
            <w:vAlign w:val="center"/>
          </w:tcPr>
          <w:p w14:paraId="7A4DDF8E">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139" w:type="dxa"/>
            <w:vAlign w:val="center"/>
          </w:tcPr>
          <w:p w14:paraId="04198D6A">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651" w:type="dxa"/>
            <w:vAlign w:val="center"/>
          </w:tcPr>
          <w:p w14:paraId="4BD54108">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2FA58A6E">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4E8A9AB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25EBC08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78BE03FF">
            <w:pPr>
              <w:jc w:val="center"/>
              <w:rPr>
                <w:b/>
                <w:color w:val="000000" w:themeColor="text1"/>
                <w:sz w:val="18"/>
                <w:szCs w:val="18"/>
                <w14:textFill>
                  <w14:solidFill>
                    <w14:schemeClr w14:val="tx1"/>
                  </w14:solidFill>
                </w14:textFill>
              </w:rPr>
            </w:pPr>
          </w:p>
        </w:tc>
        <w:tc>
          <w:tcPr>
            <w:tcW w:w="1226" w:type="dxa"/>
            <w:vMerge w:val="continue"/>
            <w:vAlign w:val="center"/>
          </w:tcPr>
          <w:p w14:paraId="2F56B76F">
            <w:pPr>
              <w:jc w:val="center"/>
              <w:rPr>
                <w:b/>
                <w:color w:val="000000" w:themeColor="text1"/>
                <w:sz w:val="18"/>
                <w:szCs w:val="18"/>
                <w14:textFill>
                  <w14:solidFill>
                    <w14:schemeClr w14:val="tx1"/>
                  </w14:solidFill>
                </w14:textFill>
              </w:rPr>
            </w:pPr>
          </w:p>
        </w:tc>
        <w:tc>
          <w:tcPr>
            <w:tcW w:w="3516" w:type="dxa"/>
            <w:vAlign w:val="center"/>
          </w:tcPr>
          <w:p w14:paraId="2B7398FA">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马克思恩格斯列宁经典著作选读</w:t>
            </w:r>
          </w:p>
        </w:tc>
        <w:tc>
          <w:tcPr>
            <w:tcW w:w="1139" w:type="dxa"/>
            <w:vAlign w:val="center"/>
          </w:tcPr>
          <w:p w14:paraId="704DE78F">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TB000010</w:t>
            </w:r>
            <w:r>
              <w:rPr>
                <w:rFonts w:hint="eastAsia"/>
                <w:color w:val="000000" w:themeColor="text1"/>
                <w:sz w:val="18"/>
                <w:szCs w:val="18"/>
                <w14:textFill>
                  <w14:solidFill>
                    <w14:schemeClr w14:val="tx1"/>
                  </w14:solidFill>
                </w14:textFill>
              </w:rPr>
              <w:t>3</w:t>
            </w:r>
          </w:p>
        </w:tc>
        <w:tc>
          <w:tcPr>
            <w:tcW w:w="651" w:type="dxa"/>
            <w:vAlign w:val="center"/>
          </w:tcPr>
          <w:p w14:paraId="000C271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52B25BDF">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5804F0F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44030DA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C1BC1C1">
            <w:pPr>
              <w:rPr>
                <w:b/>
                <w:color w:val="000000" w:themeColor="text1"/>
                <w:sz w:val="18"/>
                <w:szCs w:val="18"/>
                <w14:textFill>
                  <w14:solidFill>
                    <w14:schemeClr w14:val="tx1"/>
                  </w14:solidFill>
                </w14:textFill>
              </w:rPr>
            </w:pPr>
          </w:p>
        </w:tc>
        <w:tc>
          <w:tcPr>
            <w:tcW w:w="1226" w:type="dxa"/>
            <w:vMerge w:val="restart"/>
            <w:vAlign w:val="center"/>
          </w:tcPr>
          <w:p w14:paraId="30BE3450">
            <w:pPr>
              <w:adjustRightInd w:val="0"/>
              <w:snapToGrid w:val="0"/>
              <w:jc w:val="center"/>
              <w:rPr>
                <w:b/>
                <w:color w:val="000000" w:themeColor="text1"/>
                <w:sz w:val="18"/>
                <w:szCs w:val="18"/>
                <w14:textFill>
                  <w14:solidFill>
                    <w14:schemeClr w14:val="tx1"/>
                  </w14:solidFill>
                </w14:textFill>
              </w:rPr>
            </w:pPr>
            <w:r>
              <w:rPr>
                <w:rFonts w:hint="eastAsia"/>
                <w:b/>
                <w:sz w:val="18"/>
                <w:szCs w:val="18"/>
              </w:rPr>
              <w:t>数字政府治理</w:t>
            </w:r>
            <w:r>
              <w:rPr>
                <w:rFonts w:hint="eastAsia"/>
                <w:b/>
                <w:color w:val="000000" w:themeColor="text1"/>
                <w:sz w:val="18"/>
                <w:szCs w:val="18"/>
                <w14:textFill>
                  <w14:solidFill>
                    <w14:schemeClr w14:val="tx1"/>
                  </w14:solidFill>
                </w14:textFill>
              </w:rPr>
              <w:t>方向选修课</w:t>
            </w:r>
          </w:p>
        </w:tc>
        <w:tc>
          <w:tcPr>
            <w:tcW w:w="3516" w:type="dxa"/>
            <w:vAlign w:val="center"/>
          </w:tcPr>
          <w:p w14:paraId="75E19DE5">
            <w:pPr>
              <w:adjustRightInd w:val="0"/>
              <w:snapToGrid w:val="0"/>
              <w:rPr>
                <w:i/>
                <w:color w:val="FF0000"/>
                <w:sz w:val="18"/>
                <w:szCs w:val="18"/>
              </w:rPr>
            </w:pPr>
            <w:r>
              <w:rPr>
                <w:rFonts w:hint="eastAsia" w:cs="宋体" w:asciiTheme="minorEastAsia" w:hAnsiTheme="minorEastAsia" w:eastAsiaTheme="minorEastAsia"/>
                <w:kern w:val="0"/>
                <w:sz w:val="18"/>
                <w:szCs w:val="18"/>
              </w:rPr>
              <w:t>现代政府管理前沿</w:t>
            </w:r>
          </w:p>
        </w:tc>
        <w:tc>
          <w:tcPr>
            <w:tcW w:w="1139" w:type="dxa"/>
            <w:vAlign w:val="center"/>
          </w:tcPr>
          <w:p w14:paraId="008B9DE9">
            <w:pPr>
              <w:jc w:val="center"/>
              <w:rPr>
                <w:rFonts w:hint="default" w:eastAsia="宋体"/>
                <w:color w:val="FF0000"/>
                <w:sz w:val="18"/>
                <w:szCs w:val="18"/>
                <w:lang w:val="en-US" w:eastAsia="zh-CN"/>
              </w:rPr>
            </w:pPr>
            <w:r>
              <w:rPr>
                <w:rFonts w:hint="eastAsia"/>
                <w:iCs/>
                <w:sz w:val="18"/>
                <w:szCs w:val="18"/>
              </w:rPr>
              <w:t>XB</w:t>
            </w:r>
            <w:r>
              <w:rPr>
                <w:iCs/>
                <w:sz w:val="18"/>
                <w:szCs w:val="18"/>
              </w:rPr>
              <w:t>04</w:t>
            </w:r>
            <w:r>
              <w:rPr>
                <w:rFonts w:hint="eastAsia"/>
                <w:iCs/>
                <w:sz w:val="18"/>
                <w:szCs w:val="18"/>
                <w:lang w:val="en-US" w:eastAsia="zh-CN"/>
              </w:rPr>
              <w:t>11201</w:t>
            </w:r>
          </w:p>
        </w:tc>
        <w:tc>
          <w:tcPr>
            <w:tcW w:w="651" w:type="dxa"/>
            <w:vAlign w:val="center"/>
          </w:tcPr>
          <w:p w14:paraId="0738086F">
            <w:pPr>
              <w:jc w:val="center"/>
              <w:rPr>
                <w:color w:val="FF0000"/>
              </w:rPr>
            </w:pPr>
            <w:r>
              <w:rPr>
                <w:iCs/>
                <w:sz w:val="18"/>
                <w:szCs w:val="18"/>
              </w:rPr>
              <w:t>3</w:t>
            </w:r>
          </w:p>
        </w:tc>
        <w:tc>
          <w:tcPr>
            <w:tcW w:w="709" w:type="dxa"/>
            <w:vAlign w:val="center"/>
          </w:tcPr>
          <w:p w14:paraId="5032E086">
            <w:pPr>
              <w:jc w:val="center"/>
              <w:rPr>
                <w:color w:val="FF0000"/>
              </w:rPr>
            </w:pPr>
            <w:r>
              <w:rPr>
                <w:iCs/>
                <w:sz w:val="18"/>
                <w:szCs w:val="18"/>
              </w:rPr>
              <w:t>1</w:t>
            </w:r>
          </w:p>
        </w:tc>
        <w:tc>
          <w:tcPr>
            <w:tcW w:w="1045" w:type="dxa"/>
            <w:vMerge w:val="restart"/>
            <w:vAlign w:val="center"/>
          </w:tcPr>
          <w:p w14:paraId="71B9CAA1">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595A9963">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w:t>
            </w:r>
            <w:r>
              <w:rPr>
                <w:color w:val="000000" w:themeColor="text1"/>
                <w:sz w:val="18"/>
                <w:szCs w:val="18"/>
                <w14:textFill>
                  <w14:solidFill>
                    <w14:schemeClr w14:val="tx1"/>
                  </w14:solidFill>
                </w14:textFill>
              </w:rPr>
              <w:t>学分</w:t>
            </w:r>
          </w:p>
        </w:tc>
      </w:tr>
      <w:tr w14:paraId="3B9786A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773D713">
            <w:pPr>
              <w:rPr>
                <w:b/>
                <w:color w:val="000000" w:themeColor="text1"/>
                <w:sz w:val="18"/>
                <w:szCs w:val="18"/>
                <w14:textFill>
                  <w14:solidFill>
                    <w14:schemeClr w14:val="tx1"/>
                  </w14:solidFill>
                </w14:textFill>
              </w:rPr>
            </w:pPr>
          </w:p>
        </w:tc>
        <w:tc>
          <w:tcPr>
            <w:tcW w:w="1226" w:type="dxa"/>
            <w:vMerge w:val="continue"/>
            <w:vAlign w:val="center"/>
          </w:tcPr>
          <w:p w14:paraId="3781C30A">
            <w:pPr>
              <w:adjustRightInd w:val="0"/>
              <w:snapToGrid w:val="0"/>
              <w:jc w:val="center"/>
              <w:rPr>
                <w:b/>
                <w:color w:val="FF0000"/>
                <w:sz w:val="18"/>
                <w:szCs w:val="18"/>
              </w:rPr>
            </w:pPr>
          </w:p>
        </w:tc>
        <w:tc>
          <w:tcPr>
            <w:tcW w:w="3516" w:type="dxa"/>
            <w:vAlign w:val="center"/>
          </w:tcPr>
          <w:p w14:paraId="5977C935">
            <w:pPr>
              <w:adjustRightInd w:val="0"/>
              <w:snapToGrid w:val="0"/>
              <w:rPr>
                <w:i/>
                <w:color w:val="FF0000"/>
                <w:sz w:val="18"/>
                <w:szCs w:val="18"/>
              </w:rPr>
            </w:pPr>
            <w:r>
              <w:rPr>
                <w:rFonts w:hint="eastAsia" w:cs="宋体" w:asciiTheme="minorEastAsia" w:hAnsiTheme="minorEastAsia" w:eastAsiaTheme="minorEastAsia"/>
                <w:kern w:val="0"/>
                <w:sz w:val="18"/>
                <w:szCs w:val="18"/>
              </w:rPr>
              <w:t>数字政府和智慧政务</w:t>
            </w:r>
          </w:p>
        </w:tc>
        <w:tc>
          <w:tcPr>
            <w:tcW w:w="1139" w:type="dxa"/>
            <w:vAlign w:val="center"/>
          </w:tcPr>
          <w:p w14:paraId="549933D9">
            <w:pPr>
              <w:jc w:val="center"/>
              <w:rPr>
                <w:rFonts w:hint="default" w:eastAsia="宋体"/>
                <w:color w:val="FF0000"/>
                <w:sz w:val="18"/>
                <w:szCs w:val="18"/>
                <w:lang w:val="en-US" w:eastAsia="zh-CN"/>
              </w:rPr>
            </w:pPr>
            <w:r>
              <w:rPr>
                <w:rFonts w:hint="eastAsia"/>
                <w:iCs/>
                <w:sz w:val="18"/>
                <w:szCs w:val="18"/>
              </w:rPr>
              <w:t>X</w:t>
            </w:r>
            <w:r>
              <w:rPr>
                <w:iCs/>
                <w:sz w:val="18"/>
                <w:szCs w:val="18"/>
              </w:rPr>
              <w:t>B04</w:t>
            </w:r>
            <w:r>
              <w:rPr>
                <w:rFonts w:hint="eastAsia"/>
                <w:iCs/>
                <w:sz w:val="18"/>
                <w:szCs w:val="18"/>
                <w:lang w:val="en-US" w:eastAsia="zh-CN"/>
              </w:rPr>
              <w:t>11202</w:t>
            </w:r>
          </w:p>
        </w:tc>
        <w:tc>
          <w:tcPr>
            <w:tcW w:w="651" w:type="dxa"/>
            <w:vAlign w:val="center"/>
          </w:tcPr>
          <w:p w14:paraId="4328990A">
            <w:pPr>
              <w:jc w:val="center"/>
              <w:rPr>
                <w:color w:val="FF0000"/>
              </w:rPr>
            </w:pPr>
            <w:r>
              <w:rPr>
                <w:iCs/>
                <w:sz w:val="18"/>
                <w:szCs w:val="18"/>
              </w:rPr>
              <w:t>3</w:t>
            </w:r>
          </w:p>
        </w:tc>
        <w:tc>
          <w:tcPr>
            <w:tcW w:w="709" w:type="dxa"/>
            <w:vAlign w:val="center"/>
          </w:tcPr>
          <w:p w14:paraId="047A7240">
            <w:pPr>
              <w:jc w:val="center"/>
              <w:rPr>
                <w:color w:val="FF0000"/>
              </w:rPr>
            </w:pPr>
            <w:r>
              <w:rPr>
                <w:iCs/>
                <w:sz w:val="18"/>
                <w:szCs w:val="18"/>
              </w:rPr>
              <w:t>1</w:t>
            </w:r>
          </w:p>
        </w:tc>
        <w:tc>
          <w:tcPr>
            <w:tcW w:w="1045" w:type="dxa"/>
            <w:vMerge w:val="continue"/>
            <w:vAlign w:val="center"/>
          </w:tcPr>
          <w:p w14:paraId="128F0AA2">
            <w:pPr>
              <w:adjustRightInd w:val="0"/>
              <w:snapToGrid w:val="0"/>
              <w:jc w:val="center"/>
              <w:rPr>
                <w:color w:val="000000" w:themeColor="text1"/>
                <w:sz w:val="18"/>
                <w:szCs w:val="18"/>
                <w14:textFill>
                  <w14:solidFill>
                    <w14:schemeClr w14:val="tx1"/>
                  </w14:solidFill>
                </w14:textFill>
              </w:rPr>
            </w:pPr>
          </w:p>
        </w:tc>
      </w:tr>
      <w:tr w14:paraId="5B1E228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60362CD">
            <w:pPr>
              <w:rPr>
                <w:b/>
                <w:color w:val="000000" w:themeColor="text1"/>
                <w:sz w:val="18"/>
                <w:szCs w:val="18"/>
                <w14:textFill>
                  <w14:solidFill>
                    <w14:schemeClr w14:val="tx1"/>
                  </w14:solidFill>
                </w14:textFill>
              </w:rPr>
            </w:pPr>
          </w:p>
        </w:tc>
        <w:tc>
          <w:tcPr>
            <w:tcW w:w="1226" w:type="dxa"/>
            <w:vMerge w:val="continue"/>
            <w:vAlign w:val="center"/>
          </w:tcPr>
          <w:p w14:paraId="4A494DCC">
            <w:pPr>
              <w:jc w:val="center"/>
              <w:rPr>
                <w:b/>
                <w:color w:val="000000" w:themeColor="text1"/>
                <w:sz w:val="18"/>
                <w:szCs w:val="18"/>
                <w14:textFill>
                  <w14:solidFill>
                    <w14:schemeClr w14:val="tx1"/>
                  </w14:solidFill>
                </w14:textFill>
              </w:rPr>
            </w:pPr>
          </w:p>
        </w:tc>
        <w:tc>
          <w:tcPr>
            <w:tcW w:w="3516" w:type="dxa"/>
            <w:vAlign w:val="center"/>
          </w:tcPr>
          <w:p w14:paraId="2F9131B8">
            <w:pPr>
              <w:adjustRightInd w:val="0"/>
              <w:snapToGrid w:val="0"/>
              <w:rPr>
                <w:i/>
                <w:color w:val="FF0000"/>
                <w:sz w:val="18"/>
                <w:szCs w:val="18"/>
              </w:rPr>
            </w:pPr>
            <w:r>
              <w:rPr>
                <w:rFonts w:hint="eastAsia" w:cs="宋体" w:asciiTheme="minorEastAsia" w:hAnsiTheme="minorEastAsia" w:eastAsiaTheme="minorEastAsia"/>
                <w:kern w:val="0"/>
                <w:sz w:val="18"/>
                <w:szCs w:val="18"/>
              </w:rPr>
              <w:t>网络社会治理</w:t>
            </w:r>
          </w:p>
        </w:tc>
        <w:tc>
          <w:tcPr>
            <w:tcW w:w="1139" w:type="dxa"/>
            <w:vAlign w:val="center"/>
          </w:tcPr>
          <w:p w14:paraId="0BD4A6D3">
            <w:pPr>
              <w:jc w:val="center"/>
              <w:rPr>
                <w:rFonts w:hint="default" w:eastAsia="宋体"/>
                <w:color w:val="FF0000"/>
                <w:sz w:val="18"/>
                <w:szCs w:val="18"/>
                <w:lang w:val="en-US" w:eastAsia="zh-CN"/>
              </w:rPr>
            </w:pPr>
            <w:r>
              <w:rPr>
                <w:rFonts w:hint="eastAsia"/>
                <w:iCs/>
                <w:sz w:val="18"/>
                <w:szCs w:val="18"/>
              </w:rPr>
              <w:t>X</w:t>
            </w:r>
            <w:r>
              <w:rPr>
                <w:iCs/>
                <w:sz w:val="18"/>
                <w:szCs w:val="18"/>
              </w:rPr>
              <w:t>B04</w:t>
            </w:r>
            <w:r>
              <w:rPr>
                <w:rFonts w:hint="eastAsia"/>
                <w:iCs/>
                <w:sz w:val="18"/>
                <w:szCs w:val="18"/>
                <w:lang w:val="en-US" w:eastAsia="zh-CN"/>
              </w:rPr>
              <w:t>11203</w:t>
            </w:r>
          </w:p>
        </w:tc>
        <w:tc>
          <w:tcPr>
            <w:tcW w:w="651" w:type="dxa"/>
            <w:vAlign w:val="center"/>
          </w:tcPr>
          <w:p w14:paraId="4DBA4CC5">
            <w:pPr>
              <w:jc w:val="center"/>
              <w:rPr>
                <w:color w:val="FF0000"/>
                <w:sz w:val="18"/>
                <w:szCs w:val="18"/>
              </w:rPr>
            </w:pPr>
            <w:r>
              <w:rPr>
                <w:iCs/>
                <w:sz w:val="18"/>
                <w:szCs w:val="18"/>
              </w:rPr>
              <w:t>3</w:t>
            </w:r>
          </w:p>
        </w:tc>
        <w:tc>
          <w:tcPr>
            <w:tcW w:w="709" w:type="dxa"/>
            <w:vAlign w:val="center"/>
          </w:tcPr>
          <w:p w14:paraId="32A91905">
            <w:pPr>
              <w:jc w:val="center"/>
              <w:rPr>
                <w:i/>
                <w:color w:val="FF0000"/>
                <w:sz w:val="18"/>
                <w:szCs w:val="18"/>
              </w:rPr>
            </w:pPr>
            <w:r>
              <w:rPr>
                <w:iCs/>
                <w:sz w:val="18"/>
                <w:szCs w:val="18"/>
              </w:rPr>
              <w:t>1</w:t>
            </w:r>
          </w:p>
        </w:tc>
        <w:tc>
          <w:tcPr>
            <w:tcW w:w="1045" w:type="dxa"/>
            <w:vMerge w:val="continue"/>
            <w:vAlign w:val="center"/>
          </w:tcPr>
          <w:p w14:paraId="11F844DC">
            <w:pPr>
              <w:jc w:val="center"/>
              <w:rPr>
                <w:color w:val="000000" w:themeColor="text1"/>
                <w:sz w:val="18"/>
                <w:szCs w:val="18"/>
                <w14:textFill>
                  <w14:solidFill>
                    <w14:schemeClr w14:val="tx1"/>
                  </w14:solidFill>
                </w14:textFill>
              </w:rPr>
            </w:pPr>
          </w:p>
        </w:tc>
      </w:tr>
      <w:tr w14:paraId="6B9C92E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64C7220">
            <w:pPr>
              <w:rPr>
                <w:b/>
                <w:color w:val="000000" w:themeColor="text1"/>
                <w:sz w:val="18"/>
                <w:szCs w:val="18"/>
                <w14:textFill>
                  <w14:solidFill>
                    <w14:schemeClr w14:val="tx1"/>
                  </w14:solidFill>
                </w14:textFill>
              </w:rPr>
            </w:pPr>
          </w:p>
        </w:tc>
        <w:tc>
          <w:tcPr>
            <w:tcW w:w="1226" w:type="dxa"/>
            <w:vMerge w:val="restart"/>
            <w:vAlign w:val="center"/>
          </w:tcPr>
          <w:p w14:paraId="318CAD3A">
            <w:pPr>
              <w:adjustRightInd w:val="0"/>
              <w:snapToGrid w:val="0"/>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智能决策与优化方向选修课</w:t>
            </w:r>
          </w:p>
        </w:tc>
        <w:tc>
          <w:tcPr>
            <w:tcW w:w="3516" w:type="dxa"/>
            <w:vAlign w:val="center"/>
          </w:tcPr>
          <w:p w14:paraId="2B713A78">
            <w:pPr>
              <w:adjustRightInd w:val="0"/>
              <w:snapToGrid w:val="0"/>
              <w:rPr>
                <w:i/>
                <w:color w:val="FF0000"/>
                <w:sz w:val="18"/>
                <w:szCs w:val="18"/>
              </w:rPr>
            </w:pPr>
            <w:r>
              <w:rPr>
                <w:rFonts w:hint="eastAsia"/>
                <w:iCs/>
                <w:sz w:val="18"/>
                <w:szCs w:val="18"/>
              </w:rPr>
              <w:t>数据驱动优化方法</w:t>
            </w:r>
          </w:p>
        </w:tc>
        <w:tc>
          <w:tcPr>
            <w:tcW w:w="1139" w:type="dxa"/>
            <w:vAlign w:val="center"/>
          </w:tcPr>
          <w:p w14:paraId="035DD9E5">
            <w:pPr>
              <w:jc w:val="center"/>
              <w:rPr>
                <w:rFonts w:hint="default" w:eastAsia="宋体"/>
                <w:i/>
                <w:color w:val="FF0000"/>
                <w:sz w:val="18"/>
                <w:szCs w:val="18"/>
                <w:lang w:val="en-US" w:eastAsia="zh-CN"/>
              </w:rPr>
            </w:pPr>
            <w:r>
              <w:rPr>
                <w:rFonts w:hint="eastAsia"/>
                <w:iCs/>
                <w:sz w:val="18"/>
                <w:szCs w:val="18"/>
              </w:rPr>
              <w:t>X</w:t>
            </w:r>
            <w:r>
              <w:rPr>
                <w:iCs/>
                <w:sz w:val="18"/>
                <w:szCs w:val="18"/>
              </w:rPr>
              <w:t>B04</w:t>
            </w:r>
            <w:r>
              <w:rPr>
                <w:rFonts w:hint="eastAsia"/>
                <w:iCs/>
                <w:sz w:val="18"/>
                <w:szCs w:val="18"/>
                <w:lang w:val="en-US" w:eastAsia="zh-CN"/>
              </w:rPr>
              <w:t>11</w:t>
            </w:r>
            <w:r>
              <w:rPr>
                <w:iCs/>
                <w:sz w:val="18"/>
                <w:szCs w:val="18"/>
              </w:rPr>
              <w:t>205</w:t>
            </w:r>
          </w:p>
        </w:tc>
        <w:tc>
          <w:tcPr>
            <w:tcW w:w="651" w:type="dxa"/>
            <w:vAlign w:val="center"/>
          </w:tcPr>
          <w:p w14:paraId="05F92A2A">
            <w:pPr>
              <w:jc w:val="center"/>
              <w:rPr>
                <w:i/>
                <w:color w:val="FF0000"/>
                <w:sz w:val="18"/>
                <w:szCs w:val="18"/>
              </w:rPr>
            </w:pPr>
            <w:r>
              <w:rPr>
                <w:rFonts w:hint="eastAsia"/>
                <w:iCs/>
                <w:sz w:val="18"/>
                <w:szCs w:val="18"/>
              </w:rPr>
              <w:t>3</w:t>
            </w:r>
          </w:p>
        </w:tc>
        <w:tc>
          <w:tcPr>
            <w:tcW w:w="709" w:type="dxa"/>
            <w:vAlign w:val="center"/>
          </w:tcPr>
          <w:p w14:paraId="1DCF34DD">
            <w:pPr>
              <w:jc w:val="center"/>
              <w:rPr>
                <w:i/>
                <w:color w:val="FF0000"/>
                <w:sz w:val="18"/>
                <w:szCs w:val="18"/>
              </w:rPr>
            </w:pPr>
            <w:r>
              <w:rPr>
                <w:rFonts w:hint="eastAsia"/>
                <w:iCs/>
                <w:sz w:val="18"/>
                <w:szCs w:val="18"/>
              </w:rPr>
              <w:t>1</w:t>
            </w:r>
          </w:p>
        </w:tc>
        <w:tc>
          <w:tcPr>
            <w:tcW w:w="1045" w:type="dxa"/>
            <w:vMerge w:val="restart"/>
            <w:vAlign w:val="center"/>
          </w:tcPr>
          <w:p w14:paraId="4F91BC8F">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35A924BB">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w:t>
            </w:r>
            <w:r>
              <w:rPr>
                <w:color w:val="000000" w:themeColor="text1"/>
                <w:sz w:val="18"/>
                <w:szCs w:val="18"/>
                <w14:textFill>
                  <w14:solidFill>
                    <w14:schemeClr w14:val="tx1"/>
                  </w14:solidFill>
                </w14:textFill>
              </w:rPr>
              <w:t>学分</w:t>
            </w:r>
          </w:p>
        </w:tc>
      </w:tr>
      <w:tr w14:paraId="3A43741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0CC36C8">
            <w:pPr>
              <w:rPr>
                <w:b/>
                <w:color w:val="000000" w:themeColor="text1"/>
                <w:sz w:val="18"/>
                <w:szCs w:val="18"/>
                <w14:textFill>
                  <w14:solidFill>
                    <w14:schemeClr w14:val="tx1"/>
                  </w14:solidFill>
                </w14:textFill>
              </w:rPr>
            </w:pPr>
          </w:p>
        </w:tc>
        <w:tc>
          <w:tcPr>
            <w:tcW w:w="1226" w:type="dxa"/>
            <w:vMerge w:val="continue"/>
            <w:vAlign w:val="center"/>
          </w:tcPr>
          <w:p w14:paraId="51C111CF">
            <w:pPr>
              <w:jc w:val="center"/>
              <w:rPr>
                <w:b/>
                <w:color w:val="000000" w:themeColor="text1"/>
                <w:sz w:val="18"/>
                <w:szCs w:val="18"/>
                <w14:textFill>
                  <w14:solidFill>
                    <w14:schemeClr w14:val="tx1"/>
                  </w14:solidFill>
                </w14:textFill>
              </w:rPr>
            </w:pPr>
          </w:p>
        </w:tc>
        <w:tc>
          <w:tcPr>
            <w:tcW w:w="3516" w:type="dxa"/>
            <w:vAlign w:val="center"/>
          </w:tcPr>
          <w:p w14:paraId="799CA082">
            <w:pPr>
              <w:adjustRightInd w:val="0"/>
              <w:snapToGrid w:val="0"/>
              <w:rPr>
                <w:i/>
                <w:color w:val="FF0000"/>
                <w:sz w:val="18"/>
                <w:szCs w:val="18"/>
              </w:rPr>
            </w:pPr>
            <w:r>
              <w:rPr>
                <w:rFonts w:hint="eastAsia"/>
                <w:bCs/>
                <w:color w:val="000000" w:themeColor="text1"/>
                <w:sz w:val="18"/>
                <w:szCs w:val="18"/>
                <w14:textFill>
                  <w14:solidFill>
                    <w14:schemeClr w14:val="tx1"/>
                  </w14:solidFill>
                </w14:textFill>
              </w:rPr>
              <w:t>数据挖掘与商务智能</w:t>
            </w:r>
          </w:p>
        </w:tc>
        <w:tc>
          <w:tcPr>
            <w:tcW w:w="1139" w:type="dxa"/>
            <w:vAlign w:val="center"/>
          </w:tcPr>
          <w:p w14:paraId="5BC1B284">
            <w:pPr>
              <w:jc w:val="center"/>
              <w:rPr>
                <w:rFonts w:hint="default" w:eastAsia="宋体"/>
                <w:i/>
                <w:color w:val="FF0000"/>
                <w:sz w:val="18"/>
                <w:szCs w:val="18"/>
                <w:lang w:val="en-US" w:eastAsia="zh-CN"/>
              </w:rPr>
            </w:pPr>
            <w:r>
              <w:rPr>
                <w:rFonts w:hint="eastAsia"/>
                <w:iCs/>
                <w:sz w:val="18"/>
                <w:szCs w:val="18"/>
              </w:rPr>
              <w:t>X</w:t>
            </w:r>
            <w:r>
              <w:rPr>
                <w:iCs/>
                <w:sz w:val="18"/>
                <w:szCs w:val="18"/>
              </w:rPr>
              <w:t>B04</w:t>
            </w:r>
            <w:r>
              <w:rPr>
                <w:rFonts w:hint="eastAsia"/>
                <w:iCs/>
                <w:sz w:val="18"/>
                <w:szCs w:val="18"/>
                <w:lang w:val="en-US" w:eastAsia="zh-CN"/>
              </w:rPr>
              <w:t>11</w:t>
            </w:r>
            <w:r>
              <w:rPr>
                <w:iCs/>
                <w:sz w:val="18"/>
                <w:szCs w:val="18"/>
              </w:rPr>
              <w:t>206</w:t>
            </w:r>
          </w:p>
        </w:tc>
        <w:tc>
          <w:tcPr>
            <w:tcW w:w="651" w:type="dxa"/>
            <w:vAlign w:val="center"/>
          </w:tcPr>
          <w:p w14:paraId="1F02F071">
            <w:pPr>
              <w:jc w:val="center"/>
              <w:rPr>
                <w:i/>
                <w:color w:val="FF0000"/>
                <w:sz w:val="18"/>
                <w:szCs w:val="18"/>
              </w:rPr>
            </w:pPr>
            <w:r>
              <w:rPr>
                <w:rFonts w:hint="eastAsia"/>
                <w:iCs/>
                <w:sz w:val="18"/>
                <w:szCs w:val="18"/>
              </w:rPr>
              <w:t>3</w:t>
            </w:r>
          </w:p>
        </w:tc>
        <w:tc>
          <w:tcPr>
            <w:tcW w:w="709" w:type="dxa"/>
            <w:vAlign w:val="center"/>
          </w:tcPr>
          <w:p w14:paraId="4CE5640E">
            <w:pPr>
              <w:jc w:val="center"/>
              <w:rPr>
                <w:i/>
                <w:color w:val="FF0000"/>
                <w:sz w:val="18"/>
                <w:szCs w:val="18"/>
              </w:rPr>
            </w:pPr>
            <w:r>
              <w:rPr>
                <w:rFonts w:hint="eastAsia"/>
                <w:iCs/>
                <w:sz w:val="18"/>
                <w:szCs w:val="18"/>
              </w:rPr>
              <w:t>1</w:t>
            </w:r>
          </w:p>
        </w:tc>
        <w:tc>
          <w:tcPr>
            <w:tcW w:w="1045" w:type="dxa"/>
            <w:vMerge w:val="continue"/>
            <w:vAlign w:val="center"/>
          </w:tcPr>
          <w:p w14:paraId="23E25ACD">
            <w:pPr>
              <w:jc w:val="center"/>
              <w:rPr>
                <w:color w:val="000000" w:themeColor="text1"/>
                <w:sz w:val="18"/>
                <w:szCs w:val="18"/>
                <w14:textFill>
                  <w14:solidFill>
                    <w14:schemeClr w14:val="tx1"/>
                  </w14:solidFill>
                </w14:textFill>
              </w:rPr>
            </w:pPr>
          </w:p>
        </w:tc>
      </w:tr>
      <w:tr w14:paraId="5CA8EA2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AE0AEB2">
            <w:pPr>
              <w:rPr>
                <w:b/>
                <w:color w:val="000000" w:themeColor="text1"/>
                <w:sz w:val="18"/>
                <w:szCs w:val="18"/>
                <w14:textFill>
                  <w14:solidFill>
                    <w14:schemeClr w14:val="tx1"/>
                  </w14:solidFill>
                </w14:textFill>
              </w:rPr>
            </w:pPr>
          </w:p>
        </w:tc>
        <w:tc>
          <w:tcPr>
            <w:tcW w:w="1226" w:type="dxa"/>
            <w:vMerge w:val="continue"/>
            <w:vAlign w:val="center"/>
          </w:tcPr>
          <w:p w14:paraId="021E13AF">
            <w:pPr>
              <w:jc w:val="center"/>
              <w:rPr>
                <w:b/>
                <w:color w:val="000000" w:themeColor="text1"/>
                <w:sz w:val="18"/>
                <w:szCs w:val="18"/>
                <w14:textFill>
                  <w14:solidFill>
                    <w14:schemeClr w14:val="tx1"/>
                  </w14:solidFill>
                </w14:textFill>
              </w:rPr>
            </w:pPr>
          </w:p>
        </w:tc>
        <w:tc>
          <w:tcPr>
            <w:tcW w:w="3516" w:type="dxa"/>
            <w:vAlign w:val="center"/>
          </w:tcPr>
          <w:p w14:paraId="41F07E19">
            <w:pPr>
              <w:adjustRightInd w:val="0"/>
              <w:snapToGrid w:val="0"/>
              <w:rPr>
                <w:i/>
                <w:color w:val="FF0000"/>
                <w:sz w:val="18"/>
                <w:szCs w:val="18"/>
              </w:rPr>
            </w:pPr>
            <w:r>
              <w:rPr>
                <w:rFonts w:hint="eastAsia"/>
                <w:iCs/>
                <w:sz w:val="18"/>
                <w:szCs w:val="18"/>
              </w:rPr>
              <w:t>社会计算与大数据分析</w:t>
            </w:r>
          </w:p>
        </w:tc>
        <w:tc>
          <w:tcPr>
            <w:tcW w:w="1139" w:type="dxa"/>
            <w:vAlign w:val="center"/>
          </w:tcPr>
          <w:p w14:paraId="73A50419">
            <w:pPr>
              <w:jc w:val="center"/>
              <w:rPr>
                <w:rFonts w:hint="default" w:eastAsia="宋体"/>
                <w:i/>
                <w:color w:val="FF0000"/>
                <w:sz w:val="18"/>
                <w:szCs w:val="18"/>
                <w:lang w:val="en-US" w:eastAsia="zh-CN"/>
              </w:rPr>
            </w:pPr>
            <w:r>
              <w:rPr>
                <w:rFonts w:hint="eastAsia"/>
                <w:iCs/>
                <w:sz w:val="18"/>
                <w:szCs w:val="18"/>
              </w:rPr>
              <w:t>X</w:t>
            </w:r>
            <w:r>
              <w:rPr>
                <w:iCs/>
                <w:sz w:val="18"/>
                <w:szCs w:val="18"/>
              </w:rPr>
              <w:t>B04</w:t>
            </w:r>
            <w:r>
              <w:rPr>
                <w:rFonts w:hint="eastAsia"/>
                <w:iCs/>
                <w:sz w:val="18"/>
                <w:szCs w:val="18"/>
                <w:lang w:val="en-US" w:eastAsia="zh-CN"/>
              </w:rPr>
              <w:t>11</w:t>
            </w:r>
            <w:r>
              <w:rPr>
                <w:iCs/>
                <w:sz w:val="18"/>
                <w:szCs w:val="18"/>
              </w:rPr>
              <w:t>207</w:t>
            </w:r>
          </w:p>
        </w:tc>
        <w:tc>
          <w:tcPr>
            <w:tcW w:w="651" w:type="dxa"/>
            <w:vAlign w:val="center"/>
          </w:tcPr>
          <w:p w14:paraId="2CF0FE04">
            <w:pPr>
              <w:jc w:val="center"/>
              <w:rPr>
                <w:i/>
                <w:color w:val="FF0000"/>
                <w:sz w:val="18"/>
                <w:szCs w:val="18"/>
              </w:rPr>
            </w:pPr>
            <w:r>
              <w:rPr>
                <w:rFonts w:hint="eastAsia"/>
                <w:iCs/>
                <w:sz w:val="18"/>
                <w:szCs w:val="18"/>
              </w:rPr>
              <w:t>3</w:t>
            </w:r>
          </w:p>
        </w:tc>
        <w:tc>
          <w:tcPr>
            <w:tcW w:w="709" w:type="dxa"/>
            <w:vAlign w:val="center"/>
          </w:tcPr>
          <w:p w14:paraId="1B9C123D">
            <w:pPr>
              <w:jc w:val="center"/>
              <w:rPr>
                <w:i/>
                <w:color w:val="FF0000"/>
                <w:sz w:val="18"/>
                <w:szCs w:val="18"/>
              </w:rPr>
            </w:pPr>
            <w:r>
              <w:rPr>
                <w:rFonts w:hint="eastAsia"/>
                <w:iCs/>
                <w:sz w:val="18"/>
                <w:szCs w:val="18"/>
              </w:rPr>
              <w:t>1</w:t>
            </w:r>
          </w:p>
        </w:tc>
        <w:tc>
          <w:tcPr>
            <w:tcW w:w="1045" w:type="dxa"/>
            <w:vMerge w:val="continue"/>
            <w:vAlign w:val="center"/>
          </w:tcPr>
          <w:p w14:paraId="303969C8">
            <w:pPr>
              <w:jc w:val="center"/>
              <w:rPr>
                <w:color w:val="000000" w:themeColor="text1"/>
                <w:sz w:val="18"/>
                <w:szCs w:val="18"/>
                <w14:textFill>
                  <w14:solidFill>
                    <w14:schemeClr w14:val="tx1"/>
                  </w14:solidFill>
                </w14:textFill>
              </w:rPr>
            </w:pPr>
          </w:p>
        </w:tc>
      </w:tr>
      <w:tr w14:paraId="40B0A13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710F7B1">
            <w:pPr>
              <w:rPr>
                <w:b/>
                <w:color w:val="000000" w:themeColor="text1"/>
                <w:sz w:val="18"/>
                <w:szCs w:val="18"/>
                <w14:textFill>
                  <w14:solidFill>
                    <w14:schemeClr w14:val="tx1"/>
                  </w14:solidFill>
                </w14:textFill>
              </w:rPr>
            </w:pPr>
          </w:p>
        </w:tc>
        <w:tc>
          <w:tcPr>
            <w:tcW w:w="1226" w:type="dxa"/>
            <w:vMerge w:val="restart"/>
            <w:shd w:val="clear" w:color="auto" w:fill="auto"/>
            <w:vAlign w:val="center"/>
          </w:tcPr>
          <w:p w14:paraId="659BEE76">
            <w:pPr>
              <w:adjustRightInd w:val="0"/>
              <w:snapToGrid w:val="0"/>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企业数字化运营与管理方向选修课</w:t>
            </w:r>
          </w:p>
        </w:tc>
        <w:tc>
          <w:tcPr>
            <w:tcW w:w="3516" w:type="dxa"/>
            <w:shd w:val="clear" w:color="auto" w:fill="auto"/>
            <w:vAlign w:val="center"/>
          </w:tcPr>
          <w:p w14:paraId="740DFFDE">
            <w:pPr>
              <w:adjustRightInd w:val="0"/>
              <w:snapToGrid w:val="0"/>
              <w:rPr>
                <w:rFonts w:ascii="Times New Roman" w:hAnsi="Times New Roman" w:eastAsia="宋体" w:cs="Times New Roman"/>
                <w:i/>
                <w:color w:val="FF0000"/>
                <w:kern w:val="2"/>
                <w:sz w:val="18"/>
                <w:szCs w:val="18"/>
                <w:lang w:val="en-US" w:eastAsia="zh-CN" w:bidi="ar-SA"/>
              </w:rPr>
            </w:pPr>
            <w:r>
              <w:rPr>
                <w:rFonts w:hint="eastAsia" w:cs="宋体" w:asciiTheme="minorEastAsia" w:hAnsiTheme="minorEastAsia" w:eastAsiaTheme="minorEastAsia"/>
                <w:kern w:val="0"/>
                <w:sz w:val="18"/>
                <w:szCs w:val="18"/>
              </w:rPr>
              <w:t>企业数字治理</w:t>
            </w:r>
          </w:p>
        </w:tc>
        <w:tc>
          <w:tcPr>
            <w:tcW w:w="1139" w:type="dxa"/>
            <w:shd w:val="clear" w:color="auto" w:fill="auto"/>
            <w:vAlign w:val="center"/>
          </w:tcPr>
          <w:p w14:paraId="73453387">
            <w:pPr>
              <w:jc w:val="center"/>
              <w:rPr>
                <w:rFonts w:hint="default" w:ascii="Times New Roman" w:hAnsi="Times New Roman" w:eastAsia="宋体" w:cs="Times New Roman"/>
                <w:color w:val="FF0000"/>
                <w:kern w:val="2"/>
                <w:sz w:val="18"/>
                <w:szCs w:val="18"/>
                <w:lang w:val="en-US" w:eastAsia="zh-CN" w:bidi="ar-SA"/>
              </w:rPr>
            </w:pPr>
            <w:r>
              <w:rPr>
                <w:rFonts w:hint="eastAsia"/>
                <w:iCs/>
                <w:sz w:val="18"/>
                <w:szCs w:val="18"/>
              </w:rPr>
              <w:t>X</w:t>
            </w:r>
            <w:r>
              <w:rPr>
                <w:iCs/>
                <w:sz w:val="18"/>
                <w:szCs w:val="18"/>
              </w:rPr>
              <w:t>B04</w:t>
            </w:r>
            <w:r>
              <w:rPr>
                <w:rFonts w:hint="eastAsia"/>
                <w:iCs/>
                <w:sz w:val="18"/>
                <w:szCs w:val="18"/>
                <w:lang w:val="en-US" w:eastAsia="zh-CN"/>
              </w:rPr>
              <w:t>11</w:t>
            </w:r>
            <w:r>
              <w:rPr>
                <w:iCs/>
                <w:sz w:val="18"/>
                <w:szCs w:val="18"/>
              </w:rPr>
              <w:t>209</w:t>
            </w:r>
          </w:p>
        </w:tc>
        <w:tc>
          <w:tcPr>
            <w:tcW w:w="651" w:type="dxa"/>
            <w:shd w:val="clear" w:color="auto" w:fill="auto"/>
            <w:vAlign w:val="center"/>
          </w:tcPr>
          <w:p w14:paraId="7937D2B3">
            <w:pPr>
              <w:jc w:val="center"/>
              <w:rPr>
                <w:rFonts w:ascii="Times New Roman" w:hAnsi="Times New Roman" w:eastAsia="宋体" w:cs="Times New Roman"/>
                <w:color w:val="FF0000"/>
                <w:kern w:val="2"/>
                <w:sz w:val="18"/>
                <w:szCs w:val="18"/>
                <w:lang w:val="en-US" w:eastAsia="zh-CN" w:bidi="ar-SA"/>
              </w:rPr>
            </w:pPr>
            <w:r>
              <w:rPr>
                <w:iCs/>
                <w:sz w:val="18"/>
                <w:szCs w:val="18"/>
              </w:rPr>
              <w:t>3</w:t>
            </w:r>
          </w:p>
        </w:tc>
        <w:tc>
          <w:tcPr>
            <w:tcW w:w="709" w:type="dxa"/>
            <w:shd w:val="clear" w:color="auto" w:fill="auto"/>
            <w:vAlign w:val="center"/>
          </w:tcPr>
          <w:p w14:paraId="6AFA4C47">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iCs/>
                <w:sz w:val="18"/>
                <w:szCs w:val="18"/>
              </w:rPr>
              <w:t>1</w:t>
            </w:r>
          </w:p>
        </w:tc>
        <w:tc>
          <w:tcPr>
            <w:tcW w:w="1045" w:type="dxa"/>
            <w:vMerge w:val="restart"/>
            <w:vAlign w:val="center"/>
          </w:tcPr>
          <w:p w14:paraId="41D71E17">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44940B1C">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w:t>
            </w:r>
            <w:r>
              <w:rPr>
                <w:color w:val="000000" w:themeColor="text1"/>
                <w:sz w:val="18"/>
                <w:szCs w:val="18"/>
                <w14:textFill>
                  <w14:solidFill>
                    <w14:schemeClr w14:val="tx1"/>
                  </w14:solidFill>
                </w14:textFill>
              </w:rPr>
              <w:t>学分</w:t>
            </w:r>
          </w:p>
        </w:tc>
      </w:tr>
      <w:tr w14:paraId="19A554F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8329ED7">
            <w:pPr>
              <w:rPr>
                <w:b/>
                <w:color w:val="000000" w:themeColor="text1"/>
                <w:sz w:val="18"/>
                <w:szCs w:val="18"/>
                <w14:textFill>
                  <w14:solidFill>
                    <w14:schemeClr w14:val="tx1"/>
                  </w14:solidFill>
                </w14:textFill>
              </w:rPr>
            </w:pPr>
          </w:p>
        </w:tc>
        <w:tc>
          <w:tcPr>
            <w:tcW w:w="1226" w:type="dxa"/>
            <w:vMerge w:val="continue"/>
            <w:vAlign w:val="center"/>
          </w:tcPr>
          <w:p w14:paraId="40AE0BEB">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2348E545">
            <w:pPr>
              <w:adjustRightInd w:val="0"/>
              <w:snapToGrid w:val="0"/>
              <w:rPr>
                <w:rFonts w:ascii="Times New Roman" w:hAnsi="Times New Roman" w:eastAsia="宋体" w:cs="Times New Roman"/>
                <w:i/>
                <w:color w:val="FF0000"/>
                <w:kern w:val="2"/>
                <w:sz w:val="18"/>
                <w:szCs w:val="18"/>
                <w:lang w:val="en-US" w:eastAsia="zh-CN" w:bidi="ar-SA"/>
              </w:rPr>
            </w:pPr>
            <w:r>
              <w:rPr>
                <w:rFonts w:hint="eastAsia" w:cs="宋体" w:asciiTheme="minorEastAsia" w:hAnsiTheme="minorEastAsia" w:eastAsiaTheme="minorEastAsia"/>
                <w:kern w:val="0"/>
                <w:sz w:val="18"/>
                <w:szCs w:val="18"/>
              </w:rPr>
              <w:t>企业数字化转型案例精选</w:t>
            </w:r>
          </w:p>
        </w:tc>
        <w:tc>
          <w:tcPr>
            <w:tcW w:w="1139" w:type="dxa"/>
            <w:shd w:val="clear" w:color="auto" w:fill="auto"/>
            <w:vAlign w:val="center"/>
          </w:tcPr>
          <w:p w14:paraId="06F7AB90">
            <w:pPr>
              <w:jc w:val="center"/>
              <w:rPr>
                <w:rFonts w:hint="eastAsia" w:ascii="Times New Roman" w:hAnsi="Times New Roman" w:eastAsia="宋体" w:cs="Times New Roman"/>
                <w:i/>
                <w:color w:val="FF0000"/>
                <w:kern w:val="2"/>
                <w:sz w:val="18"/>
                <w:szCs w:val="18"/>
                <w:lang w:val="en-US" w:eastAsia="zh-CN" w:bidi="ar-SA"/>
              </w:rPr>
            </w:pPr>
            <w:r>
              <w:rPr>
                <w:rFonts w:hint="eastAsia"/>
                <w:iCs/>
                <w:sz w:val="18"/>
                <w:szCs w:val="18"/>
              </w:rPr>
              <w:t>X</w:t>
            </w:r>
            <w:r>
              <w:rPr>
                <w:iCs/>
                <w:sz w:val="18"/>
                <w:szCs w:val="18"/>
              </w:rPr>
              <w:t>B04</w:t>
            </w:r>
            <w:r>
              <w:rPr>
                <w:rFonts w:hint="eastAsia"/>
                <w:iCs/>
                <w:sz w:val="18"/>
                <w:szCs w:val="18"/>
                <w:lang w:val="en-US" w:eastAsia="zh-CN"/>
              </w:rPr>
              <w:t>11</w:t>
            </w:r>
            <w:r>
              <w:rPr>
                <w:iCs/>
                <w:sz w:val="18"/>
                <w:szCs w:val="18"/>
              </w:rPr>
              <w:t>210</w:t>
            </w:r>
          </w:p>
        </w:tc>
        <w:tc>
          <w:tcPr>
            <w:tcW w:w="651" w:type="dxa"/>
            <w:shd w:val="clear" w:color="auto" w:fill="auto"/>
            <w:vAlign w:val="center"/>
          </w:tcPr>
          <w:p w14:paraId="13571EC9">
            <w:pPr>
              <w:jc w:val="center"/>
              <w:rPr>
                <w:rFonts w:ascii="Times New Roman" w:hAnsi="Times New Roman" w:eastAsia="宋体" w:cs="Times New Roman"/>
                <w:i/>
                <w:color w:val="FF0000"/>
                <w:kern w:val="2"/>
                <w:sz w:val="18"/>
                <w:szCs w:val="18"/>
                <w:lang w:val="en-US" w:eastAsia="zh-CN" w:bidi="ar-SA"/>
              </w:rPr>
            </w:pPr>
            <w:r>
              <w:rPr>
                <w:iCs/>
                <w:sz w:val="18"/>
                <w:szCs w:val="18"/>
              </w:rPr>
              <w:t>3</w:t>
            </w:r>
          </w:p>
        </w:tc>
        <w:tc>
          <w:tcPr>
            <w:tcW w:w="709" w:type="dxa"/>
            <w:shd w:val="clear" w:color="auto" w:fill="auto"/>
            <w:vAlign w:val="center"/>
          </w:tcPr>
          <w:p w14:paraId="6B11BA40">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iCs/>
                <w:sz w:val="18"/>
                <w:szCs w:val="18"/>
              </w:rPr>
              <w:t>1</w:t>
            </w:r>
          </w:p>
        </w:tc>
        <w:tc>
          <w:tcPr>
            <w:tcW w:w="1045" w:type="dxa"/>
            <w:vMerge w:val="continue"/>
            <w:vAlign w:val="center"/>
          </w:tcPr>
          <w:p w14:paraId="3D0EC0B5">
            <w:pPr>
              <w:jc w:val="center"/>
              <w:rPr>
                <w:color w:val="000000" w:themeColor="text1"/>
                <w:sz w:val="18"/>
                <w:szCs w:val="18"/>
                <w14:textFill>
                  <w14:solidFill>
                    <w14:schemeClr w14:val="tx1"/>
                  </w14:solidFill>
                </w14:textFill>
              </w:rPr>
            </w:pPr>
          </w:p>
        </w:tc>
      </w:tr>
      <w:tr w14:paraId="551F84C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41426BA">
            <w:pPr>
              <w:rPr>
                <w:b/>
                <w:color w:val="000000" w:themeColor="text1"/>
                <w:sz w:val="18"/>
                <w:szCs w:val="18"/>
                <w14:textFill>
                  <w14:solidFill>
                    <w14:schemeClr w14:val="tx1"/>
                  </w14:solidFill>
                </w14:textFill>
              </w:rPr>
            </w:pPr>
          </w:p>
        </w:tc>
        <w:tc>
          <w:tcPr>
            <w:tcW w:w="1226" w:type="dxa"/>
            <w:vMerge w:val="continue"/>
            <w:vAlign w:val="center"/>
          </w:tcPr>
          <w:p w14:paraId="1A096B65">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0A4B8125">
            <w:pPr>
              <w:adjustRightInd w:val="0"/>
              <w:snapToGrid w:val="0"/>
              <w:rPr>
                <w:rFonts w:hint="default" w:ascii="Times New Roman" w:hAnsi="Times New Roman" w:eastAsia="宋体" w:cs="Times New Roman"/>
                <w:i/>
                <w:color w:val="FF0000"/>
                <w:kern w:val="2"/>
                <w:sz w:val="18"/>
                <w:szCs w:val="18"/>
                <w:lang w:val="en-US" w:eastAsia="zh-CN" w:bidi="ar-SA"/>
              </w:rPr>
            </w:pPr>
            <w:r>
              <w:rPr>
                <w:rFonts w:hint="eastAsia" w:cs="宋体" w:asciiTheme="minorEastAsia" w:hAnsiTheme="minorEastAsia" w:eastAsiaTheme="minorEastAsia"/>
                <w:kern w:val="0"/>
                <w:sz w:val="18"/>
                <w:szCs w:val="18"/>
              </w:rPr>
              <w:t>智慧供应链管理</w:t>
            </w:r>
          </w:p>
        </w:tc>
        <w:tc>
          <w:tcPr>
            <w:tcW w:w="1139" w:type="dxa"/>
            <w:shd w:val="clear" w:color="auto" w:fill="auto"/>
            <w:vAlign w:val="center"/>
          </w:tcPr>
          <w:p w14:paraId="715A8017">
            <w:pPr>
              <w:jc w:val="center"/>
              <w:rPr>
                <w:rFonts w:hint="eastAsia" w:ascii="Times New Roman" w:hAnsi="Times New Roman" w:eastAsia="宋体" w:cs="Times New Roman"/>
                <w:i/>
                <w:color w:val="FF0000"/>
                <w:kern w:val="2"/>
                <w:sz w:val="18"/>
                <w:szCs w:val="18"/>
                <w:lang w:val="en-US" w:eastAsia="zh-CN" w:bidi="ar-SA"/>
              </w:rPr>
            </w:pPr>
            <w:r>
              <w:rPr>
                <w:rFonts w:hint="eastAsia"/>
                <w:iCs/>
                <w:sz w:val="18"/>
                <w:szCs w:val="18"/>
              </w:rPr>
              <w:t>X</w:t>
            </w:r>
            <w:r>
              <w:rPr>
                <w:iCs/>
                <w:sz w:val="18"/>
                <w:szCs w:val="18"/>
              </w:rPr>
              <w:t>B04</w:t>
            </w:r>
            <w:r>
              <w:rPr>
                <w:rFonts w:hint="eastAsia"/>
                <w:iCs/>
                <w:sz w:val="18"/>
                <w:szCs w:val="18"/>
                <w:lang w:val="en-US" w:eastAsia="zh-CN"/>
              </w:rPr>
              <w:t>11</w:t>
            </w:r>
            <w:r>
              <w:rPr>
                <w:iCs/>
                <w:sz w:val="18"/>
                <w:szCs w:val="18"/>
              </w:rPr>
              <w:t>211</w:t>
            </w:r>
          </w:p>
        </w:tc>
        <w:tc>
          <w:tcPr>
            <w:tcW w:w="651" w:type="dxa"/>
            <w:shd w:val="clear" w:color="auto" w:fill="auto"/>
            <w:vAlign w:val="center"/>
          </w:tcPr>
          <w:p w14:paraId="67D7BB1A">
            <w:pPr>
              <w:jc w:val="center"/>
              <w:rPr>
                <w:rFonts w:ascii="Times New Roman" w:hAnsi="Times New Roman" w:eastAsia="宋体" w:cs="Times New Roman"/>
                <w:i/>
                <w:color w:val="FF0000"/>
                <w:kern w:val="2"/>
                <w:sz w:val="18"/>
                <w:szCs w:val="18"/>
                <w:lang w:val="en-US" w:eastAsia="zh-CN" w:bidi="ar-SA"/>
              </w:rPr>
            </w:pPr>
            <w:r>
              <w:rPr>
                <w:iCs/>
                <w:sz w:val="18"/>
                <w:szCs w:val="18"/>
              </w:rPr>
              <w:t>3</w:t>
            </w:r>
          </w:p>
        </w:tc>
        <w:tc>
          <w:tcPr>
            <w:tcW w:w="709" w:type="dxa"/>
            <w:shd w:val="clear" w:color="auto" w:fill="auto"/>
            <w:vAlign w:val="center"/>
          </w:tcPr>
          <w:p w14:paraId="06453DC6">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iCs/>
                <w:sz w:val="18"/>
                <w:szCs w:val="18"/>
              </w:rPr>
              <w:t>1</w:t>
            </w:r>
          </w:p>
        </w:tc>
        <w:tc>
          <w:tcPr>
            <w:tcW w:w="1045" w:type="dxa"/>
            <w:vMerge w:val="continue"/>
            <w:vAlign w:val="center"/>
          </w:tcPr>
          <w:p w14:paraId="5F6971DA">
            <w:pPr>
              <w:jc w:val="center"/>
              <w:rPr>
                <w:color w:val="000000" w:themeColor="text1"/>
                <w:sz w:val="18"/>
                <w:szCs w:val="18"/>
                <w14:textFill>
                  <w14:solidFill>
                    <w14:schemeClr w14:val="tx1"/>
                  </w14:solidFill>
                </w14:textFill>
              </w:rPr>
            </w:pPr>
          </w:p>
        </w:tc>
      </w:tr>
      <w:tr w14:paraId="0601BC7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EC46935">
            <w:pPr>
              <w:rPr>
                <w:b/>
                <w:color w:val="000000" w:themeColor="text1"/>
                <w:sz w:val="18"/>
                <w:szCs w:val="18"/>
                <w14:textFill>
                  <w14:solidFill>
                    <w14:schemeClr w14:val="tx1"/>
                  </w14:solidFill>
                </w14:textFill>
              </w:rPr>
            </w:pPr>
          </w:p>
        </w:tc>
        <w:tc>
          <w:tcPr>
            <w:tcW w:w="1226" w:type="dxa"/>
            <w:vMerge w:val="restart"/>
            <w:shd w:val="clear" w:color="auto" w:fill="auto"/>
            <w:vAlign w:val="center"/>
          </w:tcPr>
          <w:p w14:paraId="27E09609">
            <w:pPr>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智慧财务方向选修课</w:t>
            </w:r>
          </w:p>
        </w:tc>
        <w:tc>
          <w:tcPr>
            <w:tcW w:w="3516" w:type="dxa"/>
            <w:shd w:val="clear" w:color="auto" w:fill="auto"/>
            <w:vAlign w:val="center"/>
          </w:tcPr>
          <w:p w14:paraId="32B14F6E">
            <w:pPr>
              <w:adjustRightInd w:val="0"/>
              <w:snapToGrid w:val="0"/>
              <w:rPr>
                <w:rFonts w:ascii="Times New Roman" w:hAnsi="Times New Roman" w:eastAsia="宋体" w:cs="Times New Roman"/>
                <w:i/>
                <w:color w:val="FF0000"/>
                <w:kern w:val="2"/>
                <w:sz w:val="18"/>
                <w:szCs w:val="18"/>
                <w:lang w:val="en-US" w:eastAsia="zh-CN" w:bidi="ar-SA"/>
              </w:rPr>
            </w:pPr>
            <w:r>
              <w:rPr>
                <w:rFonts w:hint="eastAsia" w:cs="宋体" w:asciiTheme="minorEastAsia" w:hAnsiTheme="minorEastAsia" w:eastAsiaTheme="minorEastAsia"/>
                <w:kern w:val="0"/>
                <w:sz w:val="18"/>
                <w:szCs w:val="18"/>
              </w:rPr>
              <w:t>高级金融理论</w:t>
            </w:r>
          </w:p>
        </w:tc>
        <w:tc>
          <w:tcPr>
            <w:tcW w:w="1139" w:type="dxa"/>
            <w:shd w:val="clear" w:color="auto" w:fill="auto"/>
            <w:vAlign w:val="center"/>
          </w:tcPr>
          <w:p w14:paraId="30D6D14D">
            <w:pPr>
              <w:jc w:val="center"/>
              <w:rPr>
                <w:rFonts w:hint="default" w:ascii="Times New Roman" w:hAnsi="Times New Roman" w:eastAsia="宋体" w:cs="Times New Roman"/>
                <w:color w:val="FF0000"/>
                <w:kern w:val="2"/>
                <w:sz w:val="18"/>
                <w:szCs w:val="18"/>
                <w:lang w:val="en-US" w:eastAsia="zh-CN" w:bidi="ar-SA"/>
              </w:rPr>
            </w:pPr>
            <w:r>
              <w:rPr>
                <w:rFonts w:hint="eastAsia"/>
                <w:iCs/>
                <w:sz w:val="18"/>
                <w:szCs w:val="18"/>
              </w:rPr>
              <w:t>X</w:t>
            </w:r>
            <w:r>
              <w:rPr>
                <w:iCs/>
                <w:sz w:val="18"/>
                <w:szCs w:val="18"/>
              </w:rPr>
              <w:t>B04</w:t>
            </w:r>
            <w:r>
              <w:rPr>
                <w:rFonts w:hint="eastAsia"/>
                <w:iCs/>
                <w:sz w:val="18"/>
                <w:szCs w:val="18"/>
                <w:lang w:val="en-US" w:eastAsia="zh-CN"/>
              </w:rPr>
              <w:t>11</w:t>
            </w:r>
            <w:r>
              <w:rPr>
                <w:iCs/>
                <w:sz w:val="18"/>
                <w:szCs w:val="18"/>
              </w:rPr>
              <w:t>213</w:t>
            </w:r>
          </w:p>
        </w:tc>
        <w:tc>
          <w:tcPr>
            <w:tcW w:w="651" w:type="dxa"/>
            <w:shd w:val="clear" w:color="auto" w:fill="auto"/>
            <w:vAlign w:val="center"/>
          </w:tcPr>
          <w:p w14:paraId="7CA81722">
            <w:pPr>
              <w:jc w:val="center"/>
              <w:rPr>
                <w:rFonts w:ascii="Times New Roman" w:hAnsi="Times New Roman" w:eastAsia="宋体" w:cs="Times New Roman"/>
                <w:color w:val="FF0000"/>
                <w:kern w:val="2"/>
                <w:sz w:val="18"/>
                <w:szCs w:val="18"/>
                <w:lang w:val="en-US" w:eastAsia="zh-CN" w:bidi="ar-SA"/>
              </w:rPr>
            </w:pPr>
            <w:r>
              <w:rPr>
                <w:rFonts w:hint="eastAsia"/>
                <w:iCs/>
                <w:sz w:val="18"/>
                <w:szCs w:val="18"/>
              </w:rPr>
              <w:t>3</w:t>
            </w:r>
          </w:p>
        </w:tc>
        <w:tc>
          <w:tcPr>
            <w:tcW w:w="709" w:type="dxa"/>
            <w:shd w:val="clear" w:color="auto" w:fill="auto"/>
            <w:vAlign w:val="center"/>
          </w:tcPr>
          <w:p w14:paraId="6A5B50BF">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iCs/>
                <w:sz w:val="18"/>
                <w:szCs w:val="18"/>
              </w:rPr>
              <w:t>1</w:t>
            </w:r>
          </w:p>
        </w:tc>
        <w:tc>
          <w:tcPr>
            <w:tcW w:w="1045" w:type="dxa"/>
            <w:vMerge w:val="restart"/>
            <w:vAlign w:val="center"/>
          </w:tcPr>
          <w:p w14:paraId="1E1EA80F">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66B618DB">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w:t>
            </w:r>
            <w:r>
              <w:rPr>
                <w:color w:val="000000" w:themeColor="text1"/>
                <w:sz w:val="18"/>
                <w:szCs w:val="18"/>
                <w14:textFill>
                  <w14:solidFill>
                    <w14:schemeClr w14:val="tx1"/>
                  </w14:solidFill>
                </w14:textFill>
              </w:rPr>
              <w:t>学分</w:t>
            </w:r>
          </w:p>
        </w:tc>
      </w:tr>
      <w:tr w14:paraId="7627329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29A7BC2">
            <w:pPr>
              <w:rPr>
                <w:b/>
                <w:color w:val="000000" w:themeColor="text1"/>
                <w:sz w:val="18"/>
                <w:szCs w:val="18"/>
                <w14:textFill>
                  <w14:solidFill>
                    <w14:schemeClr w14:val="tx1"/>
                  </w14:solidFill>
                </w14:textFill>
              </w:rPr>
            </w:pPr>
          </w:p>
        </w:tc>
        <w:tc>
          <w:tcPr>
            <w:tcW w:w="1226" w:type="dxa"/>
            <w:vMerge w:val="continue"/>
            <w:vAlign w:val="center"/>
          </w:tcPr>
          <w:p w14:paraId="2A4B9864">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13D3D2CA">
            <w:pPr>
              <w:adjustRightInd w:val="0"/>
              <w:snapToGrid w:val="0"/>
              <w:rPr>
                <w:rFonts w:ascii="Times New Roman" w:hAnsi="Times New Roman" w:eastAsia="宋体" w:cs="Times New Roman"/>
                <w:i/>
                <w:color w:val="FF0000"/>
                <w:kern w:val="2"/>
                <w:sz w:val="18"/>
                <w:szCs w:val="18"/>
                <w:lang w:val="en-US" w:eastAsia="zh-CN" w:bidi="ar-SA"/>
              </w:rPr>
            </w:pPr>
            <w:r>
              <w:rPr>
                <w:rFonts w:hint="eastAsia" w:cs="宋体" w:asciiTheme="minorEastAsia" w:hAnsiTheme="minorEastAsia" w:eastAsiaTheme="minorEastAsia"/>
                <w:kern w:val="0"/>
                <w:sz w:val="18"/>
                <w:szCs w:val="18"/>
              </w:rPr>
              <w:t>高级财务管理</w:t>
            </w:r>
          </w:p>
        </w:tc>
        <w:tc>
          <w:tcPr>
            <w:tcW w:w="1139" w:type="dxa"/>
            <w:shd w:val="clear" w:color="auto" w:fill="auto"/>
            <w:vAlign w:val="center"/>
          </w:tcPr>
          <w:p w14:paraId="4E804C3F">
            <w:pPr>
              <w:jc w:val="center"/>
              <w:rPr>
                <w:rFonts w:hint="default" w:ascii="Times New Roman" w:hAnsi="Times New Roman" w:eastAsia="宋体" w:cs="Times New Roman"/>
                <w:i/>
                <w:color w:val="FF0000"/>
                <w:kern w:val="2"/>
                <w:sz w:val="18"/>
                <w:szCs w:val="18"/>
                <w:lang w:val="en-US" w:eastAsia="zh-CN" w:bidi="ar-SA"/>
              </w:rPr>
            </w:pPr>
            <w:r>
              <w:rPr>
                <w:rFonts w:hint="eastAsia"/>
                <w:iCs/>
                <w:sz w:val="18"/>
                <w:szCs w:val="18"/>
              </w:rPr>
              <w:t>X</w:t>
            </w:r>
            <w:r>
              <w:rPr>
                <w:iCs/>
                <w:sz w:val="18"/>
                <w:szCs w:val="18"/>
              </w:rPr>
              <w:t>B04</w:t>
            </w:r>
            <w:r>
              <w:rPr>
                <w:rFonts w:hint="eastAsia"/>
                <w:iCs/>
                <w:sz w:val="18"/>
                <w:szCs w:val="18"/>
                <w:lang w:val="en-US" w:eastAsia="zh-CN"/>
              </w:rPr>
              <w:t>11</w:t>
            </w:r>
            <w:r>
              <w:rPr>
                <w:iCs/>
                <w:sz w:val="18"/>
                <w:szCs w:val="18"/>
              </w:rPr>
              <w:t>214</w:t>
            </w:r>
          </w:p>
        </w:tc>
        <w:tc>
          <w:tcPr>
            <w:tcW w:w="651" w:type="dxa"/>
            <w:shd w:val="clear" w:color="auto" w:fill="auto"/>
            <w:vAlign w:val="center"/>
          </w:tcPr>
          <w:p w14:paraId="5AAA403D">
            <w:pPr>
              <w:jc w:val="center"/>
              <w:rPr>
                <w:rFonts w:ascii="Times New Roman" w:hAnsi="Times New Roman" w:eastAsia="宋体" w:cs="Times New Roman"/>
                <w:i/>
                <w:color w:val="FF0000"/>
                <w:kern w:val="2"/>
                <w:sz w:val="18"/>
                <w:szCs w:val="18"/>
                <w:lang w:val="en-US" w:eastAsia="zh-CN" w:bidi="ar-SA"/>
              </w:rPr>
            </w:pPr>
            <w:r>
              <w:rPr>
                <w:iCs/>
                <w:sz w:val="18"/>
                <w:szCs w:val="18"/>
              </w:rPr>
              <w:t>3</w:t>
            </w:r>
          </w:p>
        </w:tc>
        <w:tc>
          <w:tcPr>
            <w:tcW w:w="709" w:type="dxa"/>
            <w:shd w:val="clear" w:color="auto" w:fill="auto"/>
            <w:vAlign w:val="center"/>
          </w:tcPr>
          <w:p w14:paraId="0DAEA40E">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iCs/>
                <w:sz w:val="18"/>
                <w:szCs w:val="18"/>
              </w:rPr>
              <w:t>1</w:t>
            </w:r>
          </w:p>
        </w:tc>
        <w:tc>
          <w:tcPr>
            <w:tcW w:w="1045" w:type="dxa"/>
            <w:vMerge w:val="continue"/>
            <w:vAlign w:val="center"/>
          </w:tcPr>
          <w:p w14:paraId="2E243D75">
            <w:pPr>
              <w:jc w:val="center"/>
              <w:rPr>
                <w:color w:val="000000" w:themeColor="text1"/>
                <w:sz w:val="18"/>
                <w:szCs w:val="18"/>
                <w14:textFill>
                  <w14:solidFill>
                    <w14:schemeClr w14:val="tx1"/>
                  </w14:solidFill>
                </w14:textFill>
              </w:rPr>
            </w:pPr>
          </w:p>
        </w:tc>
      </w:tr>
      <w:tr w14:paraId="6DC4577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2084D01">
            <w:pPr>
              <w:rPr>
                <w:b/>
                <w:color w:val="000000" w:themeColor="text1"/>
                <w:sz w:val="18"/>
                <w:szCs w:val="18"/>
                <w14:textFill>
                  <w14:solidFill>
                    <w14:schemeClr w14:val="tx1"/>
                  </w14:solidFill>
                </w14:textFill>
              </w:rPr>
            </w:pPr>
          </w:p>
        </w:tc>
        <w:tc>
          <w:tcPr>
            <w:tcW w:w="1226" w:type="dxa"/>
            <w:vMerge w:val="continue"/>
            <w:vAlign w:val="center"/>
          </w:tcPr>
          <w:p w14:paraId="4203B722">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6845878D">
            <w:pPr>
              <w:adjustRightInd w:val="0"/>
              <w:snapToGrid w:val="0"/>
              <w:rPr>
                <w:rFonts w:ascii="Times New Roman" w:hAnsi="Times New Roman" w:eastAsia="宋体" w:cs="Times New Roman"/>
                <w:i/>
                <w:color w:val="FF0000"/>
                <w:kern w:val="2"/>
                <w:sz w:val="18"/>
                <w:szCs w:val="18"/>
                <w:lang w:val="en-US" w:eastAsia="zh-CN" w:bidi="ar-SA"/>
              </w:rPr>
            </w:pPr>
            <w:r>
              <w:rPr>
                <w:rFonts w:hint="eastAsia" w:cs="宋体" w:asciiTheme="minorEastAsia" w:hAnsiTheme="minorEastAsia" w:eastAsiaTheme="minorEastAsia"/>
                <w:kern w:val="0"/>
                <w:sz w:val="18"/>
                <w:szCs w:val="18"/>
              </w:rPr>
              <w:t>人工智能与行为金融</w:t>
            </w:r>
          </w:p>
        </w:tc>
        <w:tc>
          <w:tcPr>
            <w:tcW w:w="1139" w:type="dxa"/>
            <w:shd w:val="clear" w:color="auto" w:fill="auto"/>
            <w:vAlign w:val="center"/>
          </w:tcPr>
          <w:p w14:paraId="4B1B7E2E">
            <w:pPr>
              <w:jc w:val="center"/>
              <w:rPr>
                <w:rFonts w:hint="default" w:ascii="Times New Roman" w:hAnsi="Times New Roman" w:eastAsia="宋体" w:cs="Times New Roman"/>
                <w:i/>
                <w:color w:val="FF0000"/>
                <w:kern w:val="2"/>
                <w:sz w:val="18"/>
                <w:szCs w:val="18"/>
                <w:lang w:val="en-US" w:eastAsia="zh-CN" w:bidi="ar-SA"/>
              </w:rPr>
            </w:pPr>
            <w:r>
              <w:rPr>
                <w:rFonts w:hint="eastAsia"/>
                <w:iCs/>
                <w:sz w:val="18"/>
                <w:szCs w:val="18"/>
              </w:rPr>
              <w:t>X</w:t>
            </w:r>
            <w:r>
              <w:rPr>
                <w:iCs/>
                <w:sz w:val="18"/>
                <w:szCs w:val="18"/>
              </w:rPr>
              <w:t>B04</w:t>
            </w:r>
            <w:r>
              <w:rPr>
                <w:rFonts w:hint="eastAsia"/>
                <w:iCs/>
                <w:sz w:val="18"/>
                <w:szCs w:val="18"/>
                <w:lang w:val="en-US" w:eastAsia="zh-CN"/>
              </w:rPr>
              <w:t>11</w:t>
            </w:r>
            <w:bookmarkStart w:id="0" w:name="_GoBack"/>
            <w:bookmarkEnd w:id="0"/>
            <w:r>
              <w:rPr>
                <w:iCs/>
                <w:sz w:val="18"/>
                <w:szCs w:val="18"/>
              </w:rPr>
              <w:t>215</w:t>
            </w:r>
          </w:p>
        </w:tc>
        <w:tc>
          <w:tcPr>
            <w:tcW w:w="651" w:type="dxa"/>
            <w:shd w:val="clear" w:color="auto" w:fill="auto"/>
            <w:vAlign w:val="center"/>
          </w:tcPr>
          <w:p w14:paraId="03C7AB7E">
            <w:pPr>
              <w:jc w:val="center"/>
              <w:rPr>
                <w:rFonts w:ascii="Times New Roman" w:hAnsi="Times New Roman" w:eastAsia="宋体" w:cs="Times New Roman"/>
                <w:i/>
                <w:color w:val="FF0000"/>
                <w:kern w:val="2"/>
                <w:sz w:val="18"/>
                <w:szCs w:val="18"/>
                <w:lang w:val="en-US" w:eastAsia="zh-CN" w:bidi="ar-SA"/>
              </w:rPr>
            </w:pPr>
            <w:r>
              <w:rPr>
                <w:iCs/>
                <w:sz w:val="18"/>
                <w:szCs w:val="18"/>
              </w:rPr>
              <w:t>3</w:t>
            </w:r>
          </w:p>
        </w:tc>
        <w:tc>
          <w:tcPr>
            <w:tcW w:w="709" w:type="dxa"/>
            <w:shd w:val="clear" w:color="auto" w:fill="auto"/>
            <w:vAlign w:val="center"/>
          </w:tcPr>
          <w:p w14:paraId="05E5227A">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iCs/>
                <w:sz w:val="18"/>
                <w:szCs w:val="18"/>
              </w:rPr>
              <w:t>1</w:t>
            </w:r>
          </w:p>
        </w:tc>
        <w:tc>
          <w:tcPr>
            <w:tcW w:w="1045" w:type="dxa"/>
            <w:vMerge w:val="continue"/>
            <w:vAlign w:val="center"/>
          </w:tcPr>
          <w:p w14:paraId="40F26B63">
            <w:pPr>
              <w:jc w:val="center"/>
              <w:rPr>
                <w:color w:val="000000" w:themeColor="text1"/>
                <w:sz w:val="18"/>
                <w:szCs w:val="18"/>
                <w14:textFill>
                  <w14:solidFill>
                    <w14:schemeClr w14:val="tx1"/>
                  </w14:solidFill>
                </w14:textFill>
              </w:rPr>
            </w:pPr>
          </w:p>
        </w:tc>
      </w:tr>
      <w:tr w14:paraId="75D1815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75BC695A">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68622B16">
            <w:pPr>
              <w:jc w:val="center"/>
              <w:rPr>
                <w:b/>
                <w:color w:val="000000" w:themeColor="text1"/>
                <w:sz w:val="18"/>
                <w:szCs w:val="18"/>
                <w14:textFill>
                  <w14:solidFill>
                    <w14:schemeClr w14:val="tx1"/>
                  </w14:solidFill>
                </w14:textFill>
              </w:rPr>
            </w:pPr>
          </w:p>
        </w:tc>
        <w:tc>
          <w:tcPr>
            <w:tcW w:w="1226" w:type="dxa"/>
            <w:vMerge w:val="restart"/>
            <w:vAlign w:val="center"/>
          </w:tcPr>
          <w:p w14:paraId="27458616">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516" w:type="dxa"/>
            <w:vAlign w:val="center"/>
          </w:tcPr>
          <w:p w14:paraId="6AC0BB51">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139" w:type="dxa"/>
            <w:vAlign w:val="center"/>
          </w:tcPr>
          <w:p w14:paraId="5CD7DA44">
            <w:pPr>
              <w:jc w:val="center"/>
              <w:rPr>
                <w:color w:val="000000" w:themeColor="text1"/>
                <w:sz w:val="18"/>
                <w:szCs w:val="18"/>
                <w14:textFill>
                  <w14:solidFill>
                    <w14:schemeClr w14:val="tx1"/>
                  </w14:solidFill>
                </w14:textFill>
              </w:rPr>
            </w:pPr>
          </w:p>
        </w:tc>
        <w:tc>
          <w:tcPr>
            <w:tcW w:w="651" w:type="dxa"/>
            <w:vAlign w:val="center"/>
          </w:tcPr>
          <w:p w14:paraId="0BAC9DED">
            <w:pPr>
              <w:jc w:val="center"/>
              <w:rPr>
                <w:color w:val="000000" w:themeColor="text1"/>
                <w:sz w:val="18"/>
                <w:szCs w:val="18"/>
                <w14:textFill>
                  <w14:solidFill>
                    <w14:schemeClr w14:val="tx1"/>
                  </w14:solidFill>
                </w14:textFill>
              </w:rPr>
            </w:pPr>
          </w:p>
        </w:tc>
        <w:tc>
          <w:tcPr>
            <w:tcW w:w="709" w:type="dxa"/>
            <w:vAlign w:val="center"/>
          </w:tcPr>
          <w:p w14:paraId="2AE1A5A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restart"/>
            <w:vAlign w:val="center"/>
          </w:tcPr>
          <w:p w14:paraId="3E267FE9">
            <w:pPr>
              <w:jc w:val="center"/>
              <w:rPr>
                <w:i/>
                <w:color w:val="FF0000"/>
                <w:sz w:val="18"/>
                <w:szCs w:val="18"/>
              </w:rPr>
            </w:pPr>
          </w:p>
        </w:tc>
      </w:tr>
      <w:tr w14:paraId="2F99D60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37009575">
            <w:pPr>
              <w:jc w:val="center"/>
              <w:rPr>
                <w:b/>
                <w:color w:val="000000" w:themeColor="text1"/>
                <w:sz w:val="18"/>
                <w:szCs w:val="18"/>
                <w14:textFill>
                  <w14:solidFill>
                    <w14:schemeClr w14:val="tx1"/>
                  </w14:solidFill>
                </w14:textFill>
              </w:rPr>
            </w:pPr>
          </w:p>
        </w:tc>
        <w:tc>
          <w:tcPr>
            <w:tcW w:w="1226" w:type="dxa"/>
            <w:vMerge w:val="continue"/>
            <w:vAlign w:val="center"/>
          </w:tcPr>
          <w:p w14:paraId="21E38286">
            <w:pPr>
              <w:jc w:val="center"/>
              <w:rPr>
                <w:b/>
                <w:color w:val="000000" w:themeColor="text1"/>
                <w:sz w:val="18"/>
                <w:szCs w:val="18"/>
                <w14:textFill>
                  <w14:solidFill>
                    <w14:schemeClr w14:val="tx1"/>
                  </w14:solidFill>
                </w14:textFill>
              </w:rPr>
            </w:pPr>
          </w:p>
        </w:tc>
        <w:tc>
          <w:tcPr>
            <w:tcW w:w="3516" w:type="dxa"/>
            <w:vAlign w:val="center"/>
          </w:tcPr>
          <w:p w14:paraId="235A5022">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学术活动</w:t>
            </w:r>
          </w:p>
        </w:tc>
        <w:tc>
          <w:tcPr>
            <w:tcW w:w="1139" w:type="dxa"/>
            <w:vAlign w:val="center"/>
          </w:tcPr>
          <w:p w14:paraId="3DCF6F98">
            <w:pPr>
              <w:jc w:val="center"/>
              <w:rPr>
                <w:color w:val="000000" w:themeColor="text1"/>
                <w:sz w:val="18"/>
                <w:szCs w:val="18"/>
                <w14:textFill>
                  <w14:solidFill>
                    <w14:schemeClr w14:val="tx1"/>
                  </w14:solidFill>
                </w14:textFill>
              </w:rPr>
            </w:pPr>
          </w:p>
        </w:tc>
        <w:tc>
          <w:tcPr>
            <w:tcW w:w="651" w:type="dxa"/>
            <w:vAlign w:val="center"/>
          </w:tcPr>
          <w:p w14:paraId="555F6509">
            <w:pPr>
              <w:jc w:val="center"/>
              <w:rPr>
                <w:rFonts w:hint="eastAsia" w:eastAsia="宋体"/>
                <w:color w:val="000000" w:themeColor="text1"/>
                <w:sz w:val="18"/>
                <w:szCs w:val="18"/>
                <w:lang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1A647BC8">
            <w:pPr>
              <w:jc w:val="center"/>
              <w:rPr>
                <w:color w:val="000000" w:themeColor="text1"/>
                <w:sz w:val="18"/>
                <w:szCs w:val="18"/>
                <w14:textFill>
                  <w14:solidFill>
                    <w14:schemeClr w14:val="tx1"/>
                  </w14:solidFill>
                </w14:textFill>
              </w:rPr>
            </w:pPr>
          </w:p>
        </w:tc>
        <w:tc>
          <w:tcPr>
            <w:tcW w:w="1045" w:type="dxa"/>
            <w:vMerge w:val="continue"/>
            <w:vAlign w:val="center"/>
          </w:tcPr>
          <w:p w14:paraId="5BF64154">
            <w:pPr>
              <w:jc w:val="center"/>
              <w:rPr>
                <w:color w:val="000000" w:themeColor="text1"/>
                <w:sz w:val="18"/>
                <w:szCs w:val="18"/>
                <w14:textFill>
                  <w14:solidFill>
                    <w14:schemeClr w14:val="tx1"/>
                  </w14:solidFill>
                </w14:textFill>
              </w:rPr>
            </w:pPr>
          </w:p>
        </w:tc>
      </w:tr>
      <w:tr w14:paraId="6CEE818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758D7BE">
            <w:pPr>
              <w:rPr>
                <w:b/>
                <w:color w:val="000000" w:themeColor="text1"/>
                <w:sz w:val="18"/>
                <w:szCs w:val="18"/>
                <w14:textFill>
                  <w14:solidFill>
                    <w14:schemeClr w14:val="tx1"/>
                  </w14:solidFill>
                </w14:textFill>
              </w:rPr>
            </w:pPr>
          </w:p>
        </w:tc>
        <w:tc>
          <w:tcPr>
            <w:tcW w:w="1226" w:type="dxa"/>
            <w:vMerge w:val="restart"/>
            <w:vAlign w:val="center"/>
          </w:tcPr>
          <w:p w14:paraId="10EFB867">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31F23109">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139" w:type="dxa"/>
            <w:vAlign w:val="center"/>
          </w:tcPr>
          <w:p w14:paraId="3849E7E3">
            <w:pPr>
              <w:jc w:val="center"/>
              <w:rPr>
                <w:color w:val="000000" w:themeColor="text1"/>
                <w:sz w:val="18"/>
                <w:szCs w:val="18"/>
                <w14:textFill>
                  <w14:solidFill>
                    <w14:schemeClr w14:val="tx1"/>
                  </w14:solidFill>
                </w14:textFill>
              </w:rPr>
            </w:pPr>
          </w:p>
        </w:tc>
        <w:tc>
          <w:tcPr>
            <w:tcW w:w="651" w:type="dxa"/>
            <w:vAlign w:val="center"/>
          </w:tcPr>
          <w:p w14:paraId="37580D9F">
            <w:pPr>
              <w:jc w:val="center"/>
              <w:rPr>
                <w:color w:val="000000" w:themeColor="text1"/>
                <w:sz w:val="18"/>
                <w:szCs w:val="18"/>
                <w14:textFill>
                  <w14:solidFill>
                    <w14:schemeClr w14:val="tx1"/>
                  </w14:solidFill>
                </w14:textFill>
              </w:rPr>
            </w:pPr>
          </w:p>
        </w:tc>
        <w:tc>
          <w:tcPr>
            <w:tcW w:w="709" w:type="dxa"/>
            <w:shd w:val="clear" w:color="auto" w:fill="auto"/>
            <w:vAlign w:val="center"/>
          </w:tcPr>
          <w:p w14:paraId="70E3E6F2">
            <w:pPr>
              <w:jc w:val="center"/>
              <w:rPr>
                <w:rFonts w:hint="default"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3-5</w:t>
            </w:r>
          </w:p>
        </w:tc>
        <w:tc>
          <w:tcPr>
            <w:tcW w:w="1045" w:type="dxa"/>
            <w:vMerge w:val="restart"/>
            <w:vAlign w:val="center"/>
          </w:tcPr>
          <w:p w14:paraId="2503D39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0A474C2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707753C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AA02A87">
            <w:pPr>
              <w:rPr>
                <w:b/>
                <w:color w:val="000000" w:themeColor="text1"/>
                <w:sz w:val="18"/>
                <w:szCs w:val="18"/>
                <w14:textFill>
                  <w14:solidFill>
                    <w14:schemeClr w14:val="tx1"/>
                  </w14:solidFill>
                </w14:textFill>
              </w:rPr>
            </w:pPr>
          </w:p>
        </w:tc>
        <w:tc>
          <w:tcPr>
            <w:tcW w:w="1226" w:type="dxa"/>
            <w:vMerge w:val="continue"/>
            <w:vAlign w:val="center"/>
          </w:tcPr>
          <w:p w14:paraId="1122D32B">
            <w:pPr>
              <w:jc w:val="center"/>
              <w:rPr>
                <w:b/>
                <w:color w:val="000000" w:themeColor="text1"/>
                <w:sz w:val="18"/>
                <w:szCs w:val="18"/>
                <w14:textFill>
                  <w14:solidFill>
                    <w14:schemeClr w14:val="tx1"/>
                  </w14:solidFill>
                </w14:textFill>
              </w:rPr>
            </w:pPr>
          </w:p>
        </w:tc>
        <w:tc>
          <w:tcPr>
            <w:tcW w:w="3516" w:type="dxa"/>
            <w:vAlign w:val="center"/>
          </w:tcPr>
          <w:p w14:paraId="75236CA5">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139" w:type="dxa"/>
            <w:vAlign w:val="center"/>
          </w:tcPr>
          <w:p w14:paraId="1C97ADC2">
            <w:pPr>
              <w:jc w:val="center"/>
              <w:rPr>
                <w:color w:val="000000" w:themeColor="text1"/>
                <w:sz w:val="18"/>
                <w:szCs w:val="18"/>
                <w14:textFill>
                  <w14:solidFill>
                    <w14:schemeClr w14:val="tx1"/>
                  </w14:solidFill>
                </w14:textFill>
              </w:rPr>
            </w:pPr>
          </w:p>
        </w:tc>
        <w:tc>
          <w:tcPr>
            <w:tcW w:w="651" w:type="dxa"/>
            <w:vAlign w:val="center"/>
          </w:tcPr>
          <w:p w14:paraId="26A49397">
            <w:pPr>
              <w:jc w:val="center"/>
              <w:rPr>
                <w:color w:val="000000" w:themeColor="text1"/>
                <w:sz w:val="18"/>
                <w:szCs w:val="18"/>
                <w14:textFill>
                  <w14:solidFill>
                    <w14:schemeClr w14:val="tx1"/>
                  </w14:solidFill>
                </w14:textFill>
              </w:rPr>
            </w:pPr>
          </w:p>
        </w:tc>
        <w:tc>
          <w:tcPr>
            <w:tcW w:w="709" w:type="dxa"/>
            <w:shd w:val="clear" w:color="auto" w:fill="auto"/>
            <w:vAlign w:val="center"/>
          </w:tcPr>
          <w:p w14:paraId="3DFBDEBD">
            <w:pPr>
              <w:jc w:val="center"/>
              <w:rPr>
                <w:rFonts w:hint="default"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4-6</w:t>
            </w:r>
          </w:p>
        </w:tc>
        <w:tc>
          <w:tcPr>
            <w:tcW w:w="1045" w:type="dxa"/>
            <w:vMerge w:val="continue"/>
            <w:vAlign w:val="center"/>
          </w:tcPr>
          <w:p w14:paraId="280E342E">
            <w:pPr>
              <w:jc w:val="center"/>
              <w:rPr>
                <w:color w:val="000000" w:themeColor="text1"/>
                <w:sz w:val="18"/>
                <w:szCs w:val="18"/>
                <w14:textFill>
                  <w14:solidFill>
                    <w14:schemeClr w14:val="tx1"/>
                  </w14:solidFill>
                </w14:textFill>
              </w:rPr>
            </w:pPr>
          </w:p>
        </w:tc>
      </w:tr>
      <w:tr w14:paraId="605DBC8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30A5624">
            <w:pPr>
              <w:rPr>
                <w:b/>
                <w:color w:val="000000" w:themeColor="text1"/>
                <w:sz w:val="18"/>
                <w:szCs w:val="18"/>
                <w14:textFill>
                  <w14:solidFill>
                    <w14:schemeClr w14:val="tx1"/>
                  </w14:solidFill>
                </w14:textFill>
              </w:rPr>
            </w:pPr>
          </w:p>
        </w:tc>
        <w:tc>
          <w:tcPr>
            <w:tcW w:w="1226" w:type="dxa"/>
            <w:vMerge w:val="continue"/>
            <w:vAlign w:val="center"/>
          </w:tcPr>
          <w:p w14:paraId="577E98C2">
            <w:pPr>
              <w:jc w:val="center"/>
              <w:rPr>
                <w:b/>
                <w:color w:val="000000" w:themeColor="text1"/>
                <w:sz w:val="18"/>
                <w:szCs w:val="18"/>
                <w14:textFill>
                  <w14:solidFill>
                    <w14:schemeClr w14:val="tx1"/>
                  </w14:solidFill>
                </w14:textFill>
              </w:rPr>
            </w:pPr>
          </w:p>
        </w:tc>
        <w:tc>
          <w:tcPr>
            <w:tcW w:w="3516" w:type="dxa"/>
            <w:vAlign w:val="center"/>
          </w:tcPr>
          <w:p w14:paraId="263855E5">
            <w:pPr>
              <w:rPr>
                <w:sz w:val="18"/>
                <w:szCs w:val="18"/>
              </w:rPr>
            </w:pPr>
            <w:r>
              <w:rPr>
                <w:sz w:val="18"/>
                <w:szCs w:val="18"/>
              </w:rPr>
              <w:t>论文中期进展报告</w:t>
            </w:r>
          </w:p>
        </w:tc>
        <w:tc>
          <w:tcPr>
            <w:tcW w:w="1139" w:type="dxa"/>
            <w:vAlign w:val="center"/>
          </w:tcPr>
          <w:p w14:paraId="1430894C">
            <w:pPr>
              <w:jc w:val="center"/>
              <w:rPr>
                <w:color w:val="000000" w:themeColor="text1"/>
                <w:sz w:val="18"/>
                <w:szCs w:val="18"/>
                <w14:textFill>
                  <w14:solidFill>
                    <w14:schemeClr w14:val="tx1"/>
                  </w14:solidFill>
                </w14:textFill>
              </w:rPr>
            </w:pPr>
          </w:p>
        </w:tc>
        <w:tc>
          <w:tcPr>
            <w:tcW w:w="651" w:type="dxa"/>
            <w:vAlign w:val="center"/>
          </w:tcPr>
          <w:p w14:paraId="262C1A59">
            <w:pPr>
              <w:jc w:val="center"/>
              <w:rPr>
                <w:color w:val="000000" w:themeColor="text1"/>
                <w:sz w:val="18"/>
                <w:szCs w:val="18"/>
                <w14:textFill>
                  <w14:solidFill>
                    <w14:schemeClr w14:val="tx1"/>
                  </w14:solidFill>
                </w14:textFill>
              </w:rPr>
            </w:pPr>
          </w:p>
        </w:tc>
        <w:tc>
          <w:tcPr>
            <w:tcW w:w="709" w:type="dxa"/>
            <w:shd w:val="clear" w:color="auto" w:fill="auto"/>
            <w:vAlign w:val="center"/>
          </w:tcPr>
          <w:p w14:paraId="25D15E2C">
            <w:pPr>
              <w:jc w:val="center"/>
              <w:rPr>
                <w:rFonts w:hint="default"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6-7</w:t>
            </w:r>
          </w:p>
        </w:tc>
        <w:tc>
          <w:tcPr>
            <w:tcW w:w="1045" w:type="dxa"/>
            <w:vMerge w:val="continue"/>
          </w:tcPr>
          <w:p w14:paraId="099A50F2">
            <w:pPr>
              <w:jc w:val="center"/>
              <w:rPr>
                <w:color w:val="000000" w:themeColor="text1"/>
                <w:sz w:val="18"/>
                <w:szCs w:val="18"/>
                <w14:textFill>
                  <w14:solidFill>
                    <w14:schemeClr w14:val="tx1"/>
                  </w14:solidFill>
                </w14:textFill>
              </w:rPr>
            </w:pPr>
          </w:p>
        </w:tc>
      </w:tr>
      <w:tr w14:paraId="0D183A2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7CF06C7">
            <w:pPr>
              <w:rPr>
                <w:b/>
                <w:color w:val="000000" w:themeColor="text1"/>
                <w:sz w:val="18"/>
                <w:szCs w:val="18"/>
                <w14:textFill>
                  <w14:solidFill>
                    <w14:schemeClr w14:val="tx1"/>
                  </w14:solidFill>
                </w14:textFill>
              </w:rPr>
            </w:pPr>
          </w:p>
        </w:tc>
        <w:tc>
          <w:tcPr>
            <w:tcW w:w="1226" w:type="dxa"/>
            <w:vMerge w:val="continue"/>
            <w:vAlign w:val="center"/>
          </w:tcPr>
          <w:p w14:paraId="09911806">
            <w:pPr>
              <w:jc w:val="center"/>
              <w:rPr>
                <w:b/>
                <w:color w:val="000000" w:themeColor="text1"/>
                <w:sz w:val="18"/>
                <w:szCs w:val="18"/>
                <w14:textFill>
                  <w14:solidFill>
                    <w14:schemeClr w14:val="tx1"/>
                  </w14:solidFill>
                </w14:textFill>
              </w:rPr>
            </w:pPr>
          </w:p>
        </w:tc>
        <w:tc>
          <w:tcPr>
            <w:tcW w:w="3516" w:type="dxa"/>
            <w:vAlign w:val="center"/>
          </w:tcPr>
          <w:p w14:paraId="5D0C5583">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139" w:type="dxa"/>
            <w:vAlign w:val="center"/>
          </w:tcPr>
          <w:p w14:paraId="34F54145">
            <w:pPr>
              <w:jc w:val="center"/>
              <w:rPr>
                <w:color w:val="000000" w:themeColor="text1"/>
                <w:sz w:val="18"/>
                <w:szCs w:val="18"/>
                <w14:textFill>
                  <w14:solidFill>
                    <w14:schemeClr w14:val="tx1"/>
                  </w14:solidFill>
                </w14:textFill>
              </w:rPr>
            </w:pPr>
          </w:p>
        </w:tc>
        <w:tc>
          <w:tcPr>
            <w:tcW w:w="651" w:type="dxa"/>
            <w:vAlign w:val="center"/>
          </w:tcPr>
          <w:p w14:paraId="27A3DC7B">
            <w:pPr>
              <w:jc w:val="center"/>
              <w:rPr>
                <w:color w:val="000000" w:themeColor="text1"/>
                <w:sz w:val="18"/>
                <w:szCs w:val="18"/>
                <w14:textFill>
                  <w14:solidFill>
                    <w14:schemeClr w14:val="tx1"/>
                  </w14:solidFill>
                </w14:textFill>
              </w:rPr>
            </w:pPr>
          </w:p>
        </w:tc>
        <w:tc>
          <w:tcPr>
            <w:tcW w:w="709" w:type="dxa"/>
            <w:vAlign w:val="center"/>
          </w:tcPr>
          <w:p w14:paraId="483F65EB">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8</w:t>
            </w:r>
          </w:p>
        </w:tc>
        <w:tc>
          <w:tcPr>
            <w:tcW w:w="1045" w:type="dxa"/>
            <w:vMerge w:val="continue"/>
          </w:tcPr>
          <w:p w14:paraId="61F6DBB7">
            <w:pPr>
              <w:jc w:val="center"/>
              <w:rPr>
                <w:color w:val="000000" w:themeColor="text1"/>
                <w:sz w:val="18"/>
                <w:szCs w:val="18"/>
                <w14:textFill>
                  <w14:solidFill>
                    <w14:schemeClr w14:val="tx1"/>
                  </w14:solidFill>
                </w14:textFill>
              </w:rPr>
            </w:pPr>
          </w:p>
        </w:tc>
      </w:tr>
      <w:tr w14:paraId="7DDA88C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D6D8146">
            <w:pPr>
              <w:rPr>
                <w:color w:val="000000" w:themeColor="text1"/>
                <w:sz w:val="18"/>
                <w:szCs w:val="18"/>
                <w14:textFill>
                  <w14:solidFill>
                    <w14:schemeClr w14:val="tx1"/>
                  </w14:solidFill>
                </w14:textFill>
              </w:rPr>
            </w:pPr>
          </w:p>
        </w:tc>
        <w:tc>
          <w:tcPr>
            <w:tcW w:w="1226" w:type="dxa"/>
            <w:vMerge w:val="continue"/>
          </w:tcPr>
          <w:p w14:paraId="48A9B436">
            <w:pPr>
              <w:jc w:val="center"/>
              <w:rPr>
                <w:color w:val="000000" w:themeColor="text1"/>
                <w:sz w:val="18"/>
                <w:szCs w:val="18"/>
                <w14:textFill>
                  <w14:solidFill>
                    <w14:schemeClr w14:val="tx1"/>
                  </w14:solidFill>
                </w14:textFill>
              </w:rPr>
            </w:pPr>
          </w:p>
        </w:tc>
        <w:tc>
          <w:tcPr>
            <w:tcW w:w="3516" w:type="dxa"/>
            <w:vAlign w:val="center"/>
          </w:tcPr>
          <w:p w14:paraId="2CAF0661">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139" w:type="dxa"/>
            <w:vAlign w:val="center"/>
          </w:tcPr>
          <w:p w14:paraId="35183F03">
            <w:pPr>
              <w:jc w:val="center"/>
              <w:rPr>
                <w:color w:val="000000" w:themeColor="text1"/>
                <w:sz w:val="18"/>
                <w:szCs w:val="18"/>
                <w14:textFill>
                  <w14:solidFill>
                    <w14:schemeClr w14:val="tx1"/>
                  </w14:solidFill>
                </w14:textFill>
              </w:rPr>
            </w:pPr>
          </w:p>
        </w:tc>
        <w:tc>
          <w:tcPr>
            <w:tcW w:w="651" w:type="dxa"/>
            <w:vAlign w:val="center"/>
          </w:tcPr>
          <w:p w14:paraId="15D34AC3">
            <w:pPr>
              <w:jc w:val="center"/>
              <w:rPr>
                <w:color w:val="000000" w:themeColor="text1"/>
                <w:sz w:val="18"/>
                <w:szCs w:val="18"/>
                <w14:textFill>
                  <w14:solidFill>
                    <w14:schemeClr w14:val="tx1"/>
                  </w14:solidFill>
                </w14:textFill>
              </w:rPr>
            </w:pPr>
          </w:p>
        </w:tc>
        <w:tc>
          <w:tcPr>
            <w:tcW w:w="709" w:type="dxa"/>
            <w:vAlign w:val="center"/>
          </w:tcPr>
          <w:p w14:paraId="3EE1998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w:t>
            </w:r>
          </w:p>
        </w:tc>
        <w:tc>
          <w:tcPr>
            <w:tcW w:w="1045" w:type="dxa"/>
            <w:vMerge w:val="continue"/>
          </w:tcPr>
          <w:p w14:paraId="0F689487">
            <w:pPr>
              <w:jc w:val="center"/>
              <w:rPr>
                <w:color w:val="000000" w:themeColor="text1"/>
                <w:sz w:val="18"/>
                <w:szCs w:val="18"/>
                <w14:textFill>
                  <w14:solidFill>
                    <w14:schemeClr w14:val="tx1"/>
                  </w14:solidFill>
                </w14:textFill>
              </w:rPr>
            </w:pPr>
          </w:p>
        </w:tc>
      </w:tr>
      <w:tr w14:paraId="6AF748E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85BDE21">
            <w:pPr>
              <w:rPr>
                <w:color w:val="000000" w:themeColor="text1"/>
                <w:sz w:val="18"/>
                <w:szCs w:val="18"/>
                <w14:textFill>
                  <w14:solidFill>
                    <w14:schemeClr w14:val="tx1"/>
                  </w14:solidFill>
                </w14:textFill>
              </w:rPr>
            </w:pPr>
          </w:p>
        </w:tc>
        <w:tc>
          <w:tcPr>
            <w:tcW w:w="1226" w:type="dxa"/>
            <w:vMerge w:val="continue"/>
          </w:tcPr>
          <w:p w14:paraId="545E64A6">
            <w:pPr>
              <w:jc w:val="center"/>
              <w:rPr>
                <w:color w:val="000000" w:themeColor="text1"/>
                <w:sz w:val="18"/>
                <w:szCs w:val="18"/>
                <w14:textFill>
                  <w14:solidFill>
                    <w14:schemeClr w14:val="tx1"/>
                  </w14:solidFill>
                </w14:textFill>
              </w:rPr>
            </w:pPr>
          </w:p>
        </w:tc>
        <w:tc>
          <w:tcPr>
            <w:tcW w:w="3516" w:type="dxa"/>
            <w:vAlign w:val="center"/>
          </w:tcPr>
          <w:p w14:paraId="5C751716">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139" w:type="dxa"/>
            <w:vAlign w:val="center"/>
          </w:tcPr>
          <w:p w14:paraId="0CD1B0B9">
            <w:pPr>
              <w:jc w:val="center"/>
              <w:rPr>
                <w:color w:val="000000" w:themeColor="text1"/>
                <w:sz w:val="18"/>
                <w:szCs w:val="18"/>
                <w14:textFill>
                  <w14:solidFill>
                    <w14:schemeClr w14:val="tx1"/>
                  </w14:solidFill>
                </w14:textFill>
              </w:rPr>
            </w:pPr>
          </w:p>
        </w:tc>
        <w:tc>
          <w:tcPr>
            <w:tcW w:w="651" w:type="dxa"/>
            <w:vAlign w:val="center"/>
          </w:tcPr>
          <w:p w14:paraId="39801E10">
            <w:pPr>
              <w:jc w:val="center"/>
              <w:rPr>
                <w:color w:val="000000" w:themeColor="text1"/>
                <w:sz w:val="18"/>
                <w:szCs w:val="18"/>
                <w14:textFill>
                  <w14:solidFill>
                    <w14:schemeClr w14:val="tx1"/>
                  </w14:solidFill>
                </w14:textFill>
              </w:rPr>
            </w:pPr>
          </w:p>
        </w:tc>
        <w:tc>
          <w:tcPr>
            <w:tcW w:w="709" w:type="dxa"/>
            <w:vAlign w:val="center"/>
          </w:tcPr>
          <w:p w14:paraId="7C3EAC8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w:t>
            </w:r>
          </w:p>
        </w:tc>
        <w:tc>
          <w:tcPr>
            <w:tcW w:w="1045" w:type="dxa"/>
            <w:vMerge w:val="continue"/>
          </w:tcPr>
          <w:p w14:paraId="5A51C634">
            <w:pPr>
              <w:jc w:val="center"/>
              <w:rPr>
                <w:color w:val="000000" w:themeColor="text1"/>
                <w:sz w:val="18"/>
                <w:szCs w:val="18"/>
                <w14:textFill>
                  <w14:solidFill>
                    <w14:schemeClr w14:val="tx1"/>
                  </w14:solidFill>
                </w14:textFill>
              </w:rPr>
            </w:pPr>
          </w:p>
        </w:tc>
      </w:tr>
    </w:tbl>
    <w:p w14:paraId="6BC75607">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78133394">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6543B950">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58CD3445">
      <w:pPr>
        <w:spacing w:line="440" w:lineRule="exact"/>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144D8B7C">
      <w:pPr>
        <w:ind w:left="321" w:leftChars="153" w:right="227"/>
        <w:jc w:val="center"/>
        <w:rPr>
          <w:rFonts w:eastAsia="黑体"/>
          <w:b/>
          <w:bCs/>
          <w:i/>
          <w:color w:val="FF0000"/>
          <w:sz w:val="36"/>
          <w:szCs w:val="36"/>
          <w:u w:val="single"/>
        </w:rPr>
      </w:pPr>
    </w:p>
    <w:p w14:paraId="47B1B279">
      <w:pPr>
        <w:spacing w:line="440" w:lineRule="exact"/>
        <w:ind w:firstLine="480" w:firstLineChars="200"/>
        <w:rPr>
          <w:rFonts w:eastAsia="黑体"/>
          <w:bCs/>
          <w:sz w:val="24"/>
        </w:rPr>
      </w:pP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B042468"/>
    <w:rsid w:val="143E2576"/>
    <w:rsid w:val="1ADB3359"/>
    <w:rsid w:val="1FE96C05"/>
    <w:rsid w:val="32B80DB2"/>
    <w:rsid w:val="339920D8"/>
    <w:rsid w:val="362B2272"/>
    <w:rsid w:val="3F3C12AC"/>
    <w:rsid w:val="43B43058"/>
    <w:rsid w:val="5385202A"/>
    <w:rsid w:val="6253611E"/>
    <w:rsid w:val="75F57C6B"/>
    <w:rsid w:val="7A553B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Char"/>
    <w:basedOn w:val="13"/>
    <w:link w:val="3"/>
    <w:qFormat/>
    <w:uiPriority w:val="99"/>
    <w:rPr>
      <w:rFonts w:ascii="Cambria" w:hAnsi="Cambria" w:eastAsia="宋体" w:cs="Times New Roman"/>
      <w:b/>
      <w:bCs/>
      <w:sz w:val="32"/>
      <w:szCs w:val="32"/>
    </w:rPr>
  </w:style>
  <w:style w:type="character" w:customStyle="1" w:styleId="17">
    <w:name w:val="标题 1 Char"/>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Char"/>
    <w:basedOn w:val="13"/>
    <w:link w:val="5"/>
    <w:semiHidden/>
    <w:qFormat/>
    <w:uiPriority w:val="99"/>
    <w:rPr>
      <w:rFonts w:ascii="Times New Roman" w:hAnsi="Times New Roman" w:eastAsia="宋体" w:cs="Times New Roman"/>
      <w:szCs w:val="24"/>
    </w:rPr>
  </w:style>
  <w:style w:type="character" w:customStyle="1" w:styleId="20">
    <w:name w:val="批注主题 Char"/>
    <w:basedOn w:val="19"/>
    <w:link w:val="10"/>
    <w:semiHidden/>
    <w:qFormat/>
    <w:uiPriority w:val="99"/>
    <w:rPr>
      <w:rFonts w:ascii="Times New Roman" w:hAnsi="Times New Roman" w:eastAsia="宋体" w:cs="Times New Roman"/>
      <w:b/>
      <w:bCs/>
      <w:szCs w:val="24"/>
    </w:rPr>
  </w:style>
  <w:style w:type="character" w:customStyle="1" w:styleId="21">
    <w:name w:val="批注框文本 Char"/>
    <w:basedOn w:val="13"/>
    <w:link w:val="6"/>
    <w:semiHidden/>
    <w:qFormat/>
    <w:uiPriority w:val="99"/>
    <w:rPr>
      <w:rFonts w:ascii="Times New Roman" w:hAnsi="Times New Roman" w:eastAsia="宋体" w:cs="Times New Roman"/>
      <w:sz w:val="18"/>
      <w:szCs w:val="18"/>
    </w:rPr>
  </w:style>
  <w:style w:type="character" w:customStyle="1" w:styleId="22">
    <w:name w:val="页眉 Char"/>
    <w:basedOn w:val="13"/>
    <w:link w:val="8"/>
    <w:qFormat/>
    <w:uiPriority w:val="99"/>
    <w:rPr>
      <w:rFonts w:ascii="Times New Roman" w:hAnsi="Times New Roman" w:eastAsia="宋体" w:cs="Times New Roman"/>
      <w:sz w:val="18"/>
      <w:szCs w:val="18"/>
    </w:rPr>
  </w:style>
  <w:style w:type="character" w:customStyle="1" w:styleId="23">
    <w:name w:val="页脚 Char"/>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Char"/>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Normal.dotm</Template>
  <Company>yanjiushengyuan</Company>
  <Pages>5</Pages>
  <Words>3647</Words>
  <Characters>3868</Characters>
  <Lines>137</Lines>
  <Paragraphs>38</Paragraphs>
  <TotalTime>1</TotalTime>
  <ScaleCrop>false</ScaleCrop>
  <LinksUpToDate>false</LinksUpToDate>
  <CharactersWithSpaces>3888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2025-03-05T14:47:00Z</dcterms:created>
  <dc:creator>刘明旭</dc:creator>
  <cp:lastModifiedBy>送送</cp:lastModifiedBy>
  <cp:lastPrinted>2025-03-14T11:17:00Z</cp:lastPrinted>
  <dcterms:modified xsi:type="dcterms:W3CDTF">2025-07-11T10:14:47Z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eyJoZGlkIjoiNDVlZmQyZjg4MzI5NTBhYmIyZWMxYjk4MzMyMTIwYWMiLCJ1c2VySWQiOiI0MzA0MzQzNjkifQ==</vt:lpwstr>
  </property>
  <property fmtid="{D5CDD505-2E9C-101B-9397-08002B2CF9AE}" pid="4" name="ICV">
    <vt:lpwstr>FAE7A1B22AAC44899AB1266E195E99E3_12</vt:lpwstr>
  </property>
</Properties>
</file>