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D8160">
      <w:pPr>
        <w:ind w:left="321" w:leftChars="153" w:right="227"/>
        <w:jc w:val="center"/>
        <w:rPr>
          <w:rFonts w:eastAsia="黑体"/>
          <w:b/>
          <w:bCs/>
          <w:i/>
          <w:color w:val="auto"/>
          <w:sz w:val="36"/>
          <w:szCs w:val="36"/>
          <w:u w:val="single"/>
        </w:rPr>
      </w:pPr>
    </w:p>
    <w:p w14:paraId="11BB29F6">
      <w:pPr>
        <w:ind w:left="321" w:leftChars="153" w:right="227"/>
        <w:jc w:val="center"/>
        <w:rPr>
          <w:rFonts w:eastAsia="黑体"/>
          <w:b/>
          <w:bCs/>
          <w:color w:val="auto"/>
          <w:sz w:val="36"/>
          <w:szCs w:val="36"/>
        </w:rPr>
      </w:pPr>
      <w:r>
        <w:rPr>
          <w:rFonts w:hint="eastAsia" w:eastAsia="黑体"/>
          <w:b/>
          <w:bCs/>
          <w:color w:val="auto"/>
          <w:sz w:val="36"/>
          <w:szCs w:val="36"/>
          <w:lang w:val="en-US" w:eastAsia="zh-CN"/>
        </w:rPr>
        <w:t>管理科学与工程</w:t>
      </w:r>
      <w:r>
        <w:rPr>
          <w:rFonts w:eastAsia="黑体"/>
          <w:b/>
          <w:bCs/>
          <w:color w:val="auto"/>
          <w:sz w:val="36"/>
          <w:szCs w:val="36"/>
        </w:rPr>
        <w:t>专业学术学位硕士研究生培养方案</w:t>
      </w:r>
    </w:p>
    <w:p w14:paraId="4FC5462C">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lang w:val="en-US" w:eastAsia="zh-CN"/>
        </w:rPr>
        <w:t>管理</w:t>
      </w:r>
      <w:r>
        <w:rPr>
          <w:rFonts w:eastAsia="黑体"/>
          <w:b/>
          <w:bCs/>
          <w:color w:val="auto"/>
          <w:sz w:val="28"/>
          <w:szCs w:val="28"/>
        </w:rPr>
        <w:t>学院)</w:t>
      </w:r>
    </w:p>
    <w:p w14:paraId="461F3957">
      <w:pPr>
        <w:spacing w:line="440" w:lineRule="exact"/>
        <w:ind w:firstLine="560"/>
        <w:rPr>
          <w:rFonts w:eastAsia="黑体"/>
          <w:bCs/>
          <w:color w:val="auto"/>
          <w:sz w:val="28"/>
          <w:szCs w:val="28"/>
        </w:rPr>
      </w:pPr>
      <w:r>
        <w:rPr>
          <w:rFonts w:eastAsia="黑体"/>
          <w:bCs/>
          <w:color w:val="auto"/>
          <w:sz w:val="28"/>
          <w:szCs w:val="28"/>
        </w:rPr>
        <w:t>一、专业名称、代码</w:t>
      </w:r>
    </w:p>
    <w:p w14:paraId="4168CBF9">
      <w:pPr>
        <w:widowControl/>
        <w:spacing w:before="100" w:beforeAutospacing="1" w:after="100" w:afterAutospacing="1" w:line="270" w:lineRule="atLeast"/>
        <w:ind w:firstLine="960" w:firstLineChars="400"/>
        <w:jc w:val="left"/>
        <w:rPr>
          <w:rFonts w:hint="eastAsia"/>
          <w:color w:val="auto"/>
          <w:kern w:val="0"/>
          <w:sz w:val="24"/>
          <w:lang w:val="en-US" w:eastAsia="zh-CN"/>
        </w:rPr>
      </w:pPr>
      <w:r>
        <w:rPr>
          <w:color w:val="auto"/>
          <w:kern w:val="0"/>
          <w:sz w:val="24"/>
        </w:rPr>
        <w:t>专业名称：</w:t>
      </w:r>
      <w:r>
        <w:rPr>
          <w:rFonts w:hint="eastAsia"/>
          <w:color w:val="auto"/>
          <w:kern w:val="0"/>
          <w:sz w:val="24"/>
          <w:lang w:val="en-US" w:eastAsia="zh-CN"/>
        </w:rPr>
        <w:t>管理科学与工程</w:t>
      </w:r>
    </w:p>
    <w:p w14:paraId="56B40188">
      <w:pPr>
        <w:widowControl/>
        <w:spacing w:before="100" w:beforeAutospacing="1" w:after="100" w:afterAutospacing="1" w:line="270" w:lineRule="atLeast"/>
        <w:ind w:firstLine="960" w:firstLineChars="400"/>
        <w:jc w:val="left"/>
        <w:rPr>
          <w:rFonts w:hint="default" w:eastAsia="宋体"/>
          <w:color w:val="auto"/>
          <w:kern w:val="0"/>
          <w:sz w:val="18"/>
          <w:szCs w:val="18"/>
          <w:lang w:val="en-US" w:eastAsia="zh-CN"/>
        </w:rPr>
      </w:pPr>
      <w:r>
        <w:rPr>
          <w:color w:val="auto"/>
          <w:kern w:val="0"/>
          <w:sz w:val="24"/>
        </w:rPr>
        <w:t>专业代码：</w:t>
      </w:r>
      <w:r>
        <w:rPr>
          <w:rFonts w:hint="eastAsia"/>
          <w:color w:val="auto"/>
          <w:kern w:val="0"/>
          <w:sz w:val="24"/>
          <w:lang w:val="en-US" w:eastAsia="zh-CN"/>
        </w:rPr>
        <w:t>120100</w:t>
      </w:r>
    </w:p>
    <w:p w14:paraId="777CF478">
      <w:pPr>
        <w:spacing w:line="440" w:lineRule="exact"/>
        <w:ind w:firstLine="560" w:firstLineChars="200"/>
        <w:rPr>
          <w:rFonts w:eastAsia="黑体"/>
          <w:bCs/>
          <w:i/>
          <w:color w:val="auto"/>
          <w:sz w:val="28"/>
          <w:szCs w:val="28"/>
        </w:rPr>
      </w:pPr>
      <w:r>
        <w:rPr>
          <w:rFonts w:eastAsia="黑体"/>
          <w:bCs/>
          <w:color w:val="auto"/>
          <w:sz w:val="28"/>
          <w:szCs w:val="28"/>
        </w:rPr>
        <w:t>二、</w:t>
      </w:r>
      <w:r>
        <w:rPr>
          <w:rFonts w:eastAsia="黑体"/>
          <w:bCs/>
          <w:color w:val="auto"/>
          <w:sz w:val="28"/>
          <w:szCs w:val="28"/>
        </w:rPr>
        <w:t>专业简介</w:t>
      </w:r>
    </w:p>
    <w:p w14:paraId="1CE406E0">
      <w:pPr>
        <w:spacing w:line="440" w:lineRule="exact"/>
        <w:ind w:firstLine="480" w:firstLineChars="200"/>
        <w:rPr>
          <w:rFonts w:eastAsiaTheme="minorEastAsia"/>
          <w:i/>
          <w:color w:val="auto"/>
          <w:sz w:val="24"/>
        </w:rPr>
      </w:pPr>
      <w:r>
        <w:rPr>
          <w:rFonts w:hint="eastAsia"/>
          <w:color w:val="auto"/>
          <w:kern w:val="0"/>
          <w:sz w:val="24"/>
          <w:lang w:val="en-US" w:eastAsia="zh-CN"/>
        </w:rPr>
        <w:t>管理科学与工程一级学科硕士点于2005年设立，涵盖决策科学、管理工程、系统工程、管理信息系统等分支学科，是自然科学与社会科学交叉融合的跨学科、综合性的一级学科；学科研究内容包括运用模糊集理论、最优化理论、系统工程理论、信息管理理论、粗糙集理论、预测方法与技术等，研究经济、管理、工程以及社会学领域重要的复杂性决策问题，其研究特色：一是突出学科基础理论的综合性与原创性，较系统的建立了应急物流系统模糊决策理论与方法、供应链网络设计与智能决策方法、数据挖掘方法与技术、预测理论与方法等；二是强调学科理论在管理实践中应用的广泛性，注重将相关成果用于现代供应链与物流管理、应急管理、服务协同创新、信息检索与信息管理以及知识管理等社会现实需要领域。</w:t>
      </w:r>
    </w:p>
    <w:p w14:paraId="5F1494F6">
      <w:pPr>
        <w:spacing w:line="440" w:lineRule="exact"/>
        <w:ind w:firstLine="560" w:firstLineChars="200"/>
        <w:rPr>
          <w:rFonts w:eastAsia="黑体"/>
          <w:bCs/>
          <w:color w:val="auto"/>
          <w:sz w:val="28"/>
          <w:szCs w:val="28"/>
        </w:rPr>
      </w:pPr>
      <w:r>
        <w:rPr>
          <w:rFonts w:eastAsia="黑体"/>
          <w:bCs/>
          <w:color w:val="auto"/>
          <w:sz w:val="28"/>
          <w:szCs w:val="28"/>
        </w:rPr>
        <w:t>三、研究方向</w:t>
      </w:r>
    </w:p>
    <w:p w14:paraId="47877820">
      <w:pPr>
        <w:spacing w:line="360" w:lineRule="auto"/>
        <w:ind w:firstLine="480" w:firstLineChars="200"/>
        <w:rPr>
          <w:color w:val="auto"/>
          <w:sz w:val="24"/>
        </w:rPr>
      </w:pPr>
      <w:r>
        <w:rPr>
          <w:rFonts w:hint="eastAsia"/>
          <w:color w:val="auto"/>
          <w:sz w:val="24"/>
        </w:rPr>
        <w:t>根据本学科的优势和特点，</w:t>
      </w:r>
      <w:r>
        <w:rPr>
          <w:rFonts w:hint="eastAsia"/>
          <w:color w:val="auto"/>
          <w:sz w:val="24"/>
          <w:highlight w:val="none"/>
        </w:rPr>
        <w:t>立足于</w:t>
      </w:r>
      <w:r>
        <w:rPr>
          <w:rFonts w:hint="eastAsia"/>
          <w:color w:val="auto"/>
          <w:sz w:val="24"/>
          <w:highlight w:val="none"/>
          <w:lang w:val="en-US" w:eastAsia="zh-CN"/>
        </w:rPr>
        <w:t>服务国家重大战略、河北省八大</w:t>
      </w:r>
      <w:r>
        <w:rPr>
          <w:rFonts w:hint="eastAsia"/>
          <w:color w:val="auto"/>
          <w:sz w:val="24"/>
          <w:highlight w:val="none"/>
          <w:lang w:val="en-US" w:eastAsia="zh-CN"/>
        </w:rPr>
        <w:t>主导</w:t>
      </w:r>
      <w:r>
        <w:rPr>
          <w:rFonts w:hint="eastAsia"/>
          <w:color w:val="auto"/>
          <w:sz w:val="24"/>
          <w:highlight w:val="none"/>
          <w:lang w:val="en-US" w:eastAsia="zh-CN"/>
        </w:rPr>
        <w:t>产业</w:t>
      </w:r>
      <w:r>
        <w:rPr>
          <w:rFonts w:hint="eastAsia"/>
          <w:color w:val="auto"/>
          <w:sz w:val="24"/>
          <w:highlight w:val="none"/>
        </w:rPr>
        <w:t>，</w:t>
      </w:r>
      <w:r>
        <w:rPr>
          <w:rFonts w:hint="eastAsia"/>
          <w:color w:val="auto"/>
          <w:sz w:val="24"/>
          <w:highlight w:val="none"/>
          <w:lang w:val="en-US" w:eastAsia="zh-CN"/>
        </w:rPr>
        <w:t>依据</w:t>
      </w:r>
      <w:r>
        <w:rPr>
          <w:rFonts w:hint="eastAsia"/>
          <w:color w:val="auto"/>
          <w:sz w:val="24"/>
        </w:rPr>
        <w:t>导师队伍知识结构和研究领域等条件，本学科设置以下三个研究方向</w:t>
      </w:r>
      <w:r>
        <w:rPr>
          <w:rFonts w:hint="eastAsia"/>
          <w:color w:val="auto"/>
          <w:sz w:val="24"/>
          <w:lang w:eastAsia="zh-CN"/>
        </w:rPr>
        <w:t>。</w:t>
      </w:r>
      <w:r>
        <w:rPr>
          <w:rFonts w:hint="eastAsia"/>
          <w:color w:val="auto"/>
          <w:sz w:val="24"/>
        </w:rPr>
        <w:t>这三个研究方向在内容和方法上既相互独立，又相互补充，着力体现管理科学与工程专业的系统性与完整性。</w:t>
      </w:r>
    </w:p>
    <w:p w14:paraId="47BF864E">
      <w:pPr>
        <w:spacing w:line="360" w:lineRule="auto"/>
        <w:ind w:firstLine="480" w:firstLineChars="200"/>
        <w:rPr>
          <w:color w:val="auto"/>
          <w:sz w:val="24"/>
        </w:rPr>
      </w:pPr>
      <w:r>
        <w:rPr>
          <w:rFonts w:hint="eastAsia"/>
          <w:color w:val="auto"/>
          <w:sz w:val="24"/>
          <w:lang w:eastAsia="zh-CN"/>
        </w:rPr>
        <w:t>（</w:t>
      </w:r>
      <w:r>
        <w:rPr>
          <w:rFonts w:hint="eastAsia"/>
          <w:color w:val="auto"/>
          <w:sz w:val="24"/>
          <w:lang w:val="en-US" w:eastAsia="zh-CN"/>
        </w:rPr>
        <w:t>一</w:t>
      </w:r>
      <w:r>
        <w:rPr>
          <w:rFonts w:hint="eastAsia"/>
          <w:color w:val="auto"/>
          <w:sz w:val="24"/>
          <w:lang w:eastAsia="zh-CN"/>
        </w:rPr>
        <w:t>）</w:t>
      </w:r>
      <w:r>
        <w:rPr>
          <w:rFonts w:hint="eastAsia"/>
          <w:color w:val="auto"/>
          <w:sz w:val="24"/>
        </w:rPr>
        <w:t>供应链与物流管理</w:t>
      </w:r>
    </w:p>
    <w:p w14:paraId="7077A24A">
      <w:pPr>
        <w:spacing w:line="360" w:lineRule="auto"/>
        <w:ind w:firstLine="480" w:firstLineChars="200"/>
        <w:rPr>
          <w:color w:val="auto"/>
          <w:sz w:val="24"/>
        </w:rPr>
      </w:pPr>
      <w:r>
        <w:rPr>
          <w:rFonts w:hint="eastAsia"/>
          <w:color w:val="auto"/>
          <w:sz w:val="24"/>
        </w:rPr>
        <w:t>本研究方向针对供应链与物流管理中的采购管理与供应商管理、供应链管理策略、供应链绩效管理、供应链成本管理、物流网络规划、物流系统设计、物流服务组织与管理以及物流信息系统开发等管理和技术问题，从系统的观点出发，采用定性与定量相结合的分析方法，将优化、模拟、决策、信息等定量化技术应用于供应链与物流系统，研究物流系统优化的基本理论和方法、现代供应链与物流管理的方法与技术、物流服务质量评价理论与方法、物流信息技术及其应用等问题。</w:t>
      </w:r>
    </w:p>
    <w:p w14:paraId="5C9E858F">
      <w:pPr>
        <w:spacing w:line="360" w:lineRule="auto"/>
        <w:ind w:firstLine="480" w:firstLineChars="200"/>
        <w:rPr>
          <w:color w:val="auto"/>
          <w:sz w:val="24"/>
        </w:rPr>
      </w:pPr>
      <w:r>
        <w:rPr>
          <w:rFonts w:hint="eastAsia"/>
          <w:color w:val="auto"/>
          <w:sz w:val="24"/>
          <w:lang w:eastAsia="zh-CN"/>
        </w:rPr>
        <w:t>（</w:t>
      </w:r>
      <w:r>
        <w:rPr>
          <w:rFonts w:hint="eastAsia"/>
          <w:color w:val="auto"/>
          <w:sz w:val="24"/>
          <w:lang w:val="en-US" w:eastAsia="zh-CN"/>
        </w:rPr>
        <w:t>二</w:t>
      </w:r>
      <w:r>
        <w:rPr>
          <w:rFonts w:hint="eastAsia"/>
          <w:color w:val="auto"/>
          <w:sz w:val="24"/>
          <w:lang w:eastAsia="zh-CN"/>
        </w:rPr>
        <w:t>）</w:t>
      </w:r>
      <w:r>
        <w:rPr>
          <w:rFonts w:hint="eastAsia"/>
          <w:color w:val="auto"/>
          <w:sz w:val="24"/>
        </w:rPr>
        <w:t>决策理论与系统分析</w:t>
      </w:r>
    </w:p>
    <w:p w14:paraId="470983FC">
      <w:pPr>
        <w:spacing w:line="360" w:lineRule="auto"/>
        <w:ind w:firstLine="480" w:firstLineChars="200"/>
        <w:rPr>
          <w:color w:val="auto"/>
          <w:sz w:val="24"/>
        </w:rPr>
      </w:pPr>
      <w:r>
        <w:rPr>
          <w:rFonts w:hint="eastAsia"/>
          <w:color w:val="auto"/>
          <w:sz w:val="24"/>
        </w:rPr>
        <w:t>本研究方向综合运用管理学、经济学、应用数学、计算机以及运筹学中的规划论、对策论、决策论、排队论、可靠性理论、</w:t>
      </w:r>
      <w:r>
        <w:rPr>
          <w:rFonts w:hint="eastAsia"/>
          <w:color w:val="auto"/>
          <w:sz w:val="24"/>
          <w:highlight w:val="none"/>
          <w:lang w:val="en-US" w:eastAsia="zh-CN"/>
        </w:rPr>
        <w:t>博弈论、系统动力学、复杂网络</w:t>
      </w:r>
      <w:r>
        <w:rPr>
          <w:rFonts w:hint="eastAsia"/>
          <w:color w:val="auto"/>
          <w:sz w:val="24"/>
          <w:highlight w:val="none"/>
        </w:rPr>
        <w:t>等，对决策行为、系统优化、项目管理、绩效评价、投资决策</w:t>
      </w:r>
      <w:r>
        <w:rPr>
          <w:rFonts w:hint="eastAsia"/>
          <w:color w:val="auto"/>
          <w:sz w:val="24"/>
          <w:highlight w:val="none"/>
          <w:lang w:eastAsia="zh-CN"/>
        </w:rPr>
        <w:t>、</w:t>
      </w:r>
      <w:r>
        <w:rPr>
          <w:rFonts w:hint="eastAsia"/>
          <w:color w:val="auto"/>
          <w:sz w:val="24"/>
          <w:highlight w:val="none"/>
          <w:lang w:val="en-US" w:eastAsia="zh-CN"/>
        </w:rPr>
        <w:t>资源配置、能源政策决策</w:t>
      </w:r>
      <w:r>
        <w:rPr>
          <w:rFonts w:hint="eastAsia"/>
          <w:color w:val="auto"/>
          <w:sz w:val="24"/>
        </w:rPr>
        <w:t>等重要问题进行系统分析与评价。主要内容包括：决策理论与方法、模糊优化理论及应用、绩效评价与决策分析、管理系统工程的理论与方法、管理决策分析的模型与方法、决策支持系统理论与应用、投资项目经济评价理论与方法、项目投资风险管理方法与技术</w:t>
      </w:r>
      <w:r>
        <w:rPr>
          <w:rFonts w:hint="eastAsia"/>
          <w:color w:val="auto"/>
          <w:sz w:val="24"/>
          <w:lang w:eastAsia="zh-CN"/>
        </w:rPr>
        <w:t>、</w:t>
      </w:r>
      <w:r>
        <w:rPr>
          <w:rFonts w:hint="eastAsia"/>
          <w:color w:val="auto"/>
          <w:sz w:val="24"/>
          <w:highlight w:val="none"/>
          <w:lang w:val="en-US" w:eastAsia="zh-CN"/>
        </w:rPr>
        <w:t>运筹管理和运筹优化、复杂系统建模与仿真</w:t>
      </w:r>
      <w:r>
        <w:rPr>
          <w:rFonts w:hint="eastAsia"/>
          <w:color w:val="auto"/>
          <w:sz w:val="24"/>
        </w:rPr>
        <w:t>等。</w:t>
      </w:r>
    </w:p>
    <w:p w14:paraId="62EE4506">
      <w:pPr>
        <w:spacing w:line="360" w:lineRule="auto"/>
        <w:ind w:firstLine="480" w:firstLineChars="200"/>
        <w:rPr>
          <w:color w:val="auto"/>
          <w:sz w:val="24"/>
        </w:rPr>
      </w:pPr>
      <w:r>
        <w:rPr>
          <w:rFonts w:hint="eastAsia"/>
          <w:color w:val="auto"/>
          <w:sz w:val="24"/>
          <w:lang w:eastAsia="zh-CN"/>
        </w:rPr>
        <w:t>（</w:t>
      </w:r>
      <w:r>
        <w:rPr>
          <w:rFonts w:hint="eastAsia"/>
          <w:color w:val="auto"/>
          <w:sz w:val="24"/>
          <w:lang w:val="en-US" w:eastAsia="zh-CN"/>
        </w:rPr>
        <w:t>三</w:t>
      </w:r>
      <w:r>
        <w:rPr>
          <w:rFonts w:hint="eastAsia"/>
          <w:color w:val="auto"/>
          <w:sz w:val="24"/>
          <w:lang w:eastAsia="zh-CN"/>
        </w:rPr>
        <w:t>）</w:t>
      </w:r>
      <w:r>
        <w:rPr>
          <w:rFonts w:hint="eastAsia"/>
          <w:color w:val="auto"/>
          <w:sz w:val="24"/>
        </w:rPr>
        <w:t>信息管理与智能决策</w:t>
      </w:r>
    </w:p>
    <w:p w14:paraId="45264B69">
      <w:pPr>
        <w:spacing w:line="440" w:lineRule="exact"/>
        <w:ind w:firstLine="480" w:firstLineChars="200"/>
        <w:rPr>
          <w:rFonts w:eastAsiaTheme="minorEastAsia"/>
          <w:i/>
          <w:color w:val="auto"/>
          <w:sz w:val="24"/>
        </w:rPr>
      </w:pPr>
      <w:r>
        <w:rPr>
          <w:rFonts w:hint="eastAsia"/>
          <w:color w:val="auto"/>
          <w:sz w:val="24"/>
        </w:rPr>
        <w:t>本研究方向基于信息技术理论和数据挖掘技术，采用系统的思想、数学的方法和计算机技术，探索数据驱动信息系统的设计与开发、大数据资源管理与治理机制等问题。将现代经济学、管理学、计算机</w:t>
      </w:r>
      <w:r>
        <w:rPr>
          <w:rFonts w:hint="eastAsia"/>
          <w:color w:val="auto"/>
          <w:sz w:val="24"/>
          <w:lang w:val="en-US" w:eastAsia="zh-CN"/>
        </w:rPr>
        <w:t>科学</w:t>
      </w:r>
      <w:r>
        <w:rPr>
          <w:rFonts w:hint="eastAsia"/>
          <w:color w:val="auto"/>
          <w:sz w:val="24"/>
        </w:rPr>
        <w:t>技术与管理实践紧密结合，研究信息的组织与管理、</w:t>
      </w:r>
      <w:r>
        <w:rPr>
          <w:rFonts w:hint="eastAsia"/>
          <w:color w:val="auto"/>
          <w:sz w:val="24"/>
          <w:highlight w:val="none"/>
          <w:lang w:val="en-US" w:eastAsia="zh-CN"/>
        </w:rPr>
        <w:t>网络信息治理、信息的智能化推荐、</w:t>
      </w:r>
      <w:r>
        <w:rPr>
          <w:rFonts w:hint="eastAsia"/>
          <w:color w:val="auto"/>
          <w:sz w:val="24"/>
        </w:rPr>
        <w:t>信息系统建设规划、信息系统开发与管理等；将信息技术与人工智能相结合，利用数据挖掘等研究电子商务系统开发与管理、电子商务与网络安全以及人工智能与数据挖掘技术在企业决策中的应用等。</w:t>
      </w:r>
    </w:p>
    <w:p w14:paraId="4C2A10DF">
      <w:pPr>
        <w:spacing w:line="440" w:lineRule="exact"/>
        <w:ind w:firstLine="560" w:firstLineChars="200"/>
        <w:rPr>
          <w:rFonts w:eastAsia="黑体"/>
          <w:bCs/>
          <w:color w:val="auto"/>
          <w:sz w:val="28"/>
          <w:szCs w:val="28"/>
        </w:rPr>
      </w:pPr>
      <w:r>
        <w:rPr>
          <w:rFonts w:eastAsia="黑体"/>
          <w:bCs/>
          <w:color w:val="auto"/>
          <w:sz w:val="28"/>
          <w:szCs w:val="28"/>
        </w:rPr>
        <w:t>四、学制及学习年限</w:t>
      </w:r>
    </w:p>
    <w:p w14:paraId="7499552D">
      <w:pPr>
        <w:spacing w:line="440" w:lineRule="exact"/>
        <w:ind w:firstLine="480" w:firstLineChars="200"/>
        <w:rPr>
          <w:rFonts w:eastAsiaTheme="minorEastAsia"/>
          <w:i/>
          <w:color w:val="auto"/>
          <w:sz w:val="24"/>
        </w:rPr>
      </w:pPr>
      <w:r>
        <w:rPr>
          <w:rFonts w:eastAsiaTheme="minorEastAsia"/>
          <w:color w:val="auto"/>
          <w:sz w:val="24"/>
        </w:rPr>
        <w:t>本专业学制为3年，在校最长学习年限（含休学）不超过6年。</w:t>
      </w:r>
    </w:p>
    <w:p w14:paraId="2DB43D0D">
      <w:pPr>
        <w:spacing w:line="440" w:lineRule="exact"/>
        <w:ind w:firstLine="560" w:firstLineChars="200"/>
        <w:rPr>
          <w:rFonts w:eastAsia="黑体"/>
          <w:bCs/>
          <w:color w:val="auto"/>
          <w:sz w:val="28"/>
          <w:szCs w:val="28"/>
        </w:rPr>
      </w:pPr>
      <w:r>
        <w:rPr>
          <w:rFonts w:eastAsia="黑体"/>
          <w:bCs/>
          <w:color w:val="auto"/>
          <w:sz w:val="28"/>
          <w:szCs w:val="28"/>
        </w:rPr>
        <w:t>五、培养目标</w:t>
      </w:r>
    </w:p>
    <w:p w14:paraId="2E1DE528">
      <w:pPr>
        <w:spacing w:line="360" w:lineRule="auto"/>
        <w:ind w:firstLine="480"/>
        <w:rPr>
          <w:color w:val="auto"/>
          <w:sz w:val="24"/>
        </w:rPr>
      </w:pPr>
      <w:r>
        <w:rPr>
          <w:color w:val="auto"/>
          <w:sz w:val="24"/>
        </w:rPr>
        <w:t>1</w:t>
      </w:r>
      <w:r>
        <w:rPr>
          <w:rFonts w:hint="eastAsia"/>
          <w:color w:val="auto"/>
          <w:sz w:val="24"/>
          <w:lang w:val="en-US" w:eastAsia="zh-CN"/>
        </w:rPr>
        <w:t xml:space="preserve">. </w:t>
      </w:r>
      <w:r>
        <w:rPr>
          <w:rFonts w:hint="eastAsia"/>
          <w:color w:val="auto"/>
          <w:sz w:val="24"/>
        </w:rPr>
        <w:t>树立正确的中国特色社会主义核心价值观，具有坚定的理想信念，高尚的道德情操，优良的学术作风，高度的社会责任感。</w:t>
      </w:r>
      <w:r>
        <w:rPr>
          <w:rFonts w:hint="eastAsia"/>
          <w:color w:val="auto"/>
          <w:sz w:val="24"/>
        </w:rPr>
        <w:t>坚持诚实守信，勤勉尽责，具有科学严谨和求真务实的学习态度和工作作风。</w:t>
      </w:r>
    </w:p>
    <w:p w14:paraId="16693078">
      <w:pPr>
        <w:spacing w:line="360" w:lineRule="auto"/>
        <w:ind w:firstLine="480"/>
        <w:rPr>
          <w:color w:val="auto"/>
          <w:sz w:val="24"/>
        </w:rPr>
      </w:pPr>
      <w:r>
        <w:rPr>
          <w:color w:val="auto"/>
          <w:sz w:val="24"/>
        </w:rPr>
        <w:t>2.</w:t>
      </w:r>
      <w:r>
        <w:rPr>
          <w:rFonts w:hint="eastAsia"/>
          <w:color w:val="auto"/>
          <w:sz w:val="24"/>
          <w:lang w:val="en-US" w:eastAsia="zh-CN"/>
        </w:rPr>
        <w:t xml:space="preserve"> </w:t>
      </w:r>
      <w:r>
        <w:rPr>
          <w:rFonts w:hint="eastAsia"/>
          <w:color w:val="auto"/>
          <w:sz w:val="24"/>
        </w:rPr>
        <w:t>掌握管理科学与工程学科坚实的基础理论和系统的专门知识，掌握本学科的科学研究方法及必要的现代实验方法和技能，熟悉本学科的前沿研究领域，具有独立从事科学研究和解决实际问题的能力。</w:t>
      </w:r>
    </w:p>
    <w:p w14:paraId="09E6FCFE">
      <w:pPr>
        <w:spacing w:line="360" w:lineRule="auto"/>
        <w:ind w:firstLine="480"/>
        <w:rPr>
          <w:color w:val="auto"/>
          <w:sz w:val="24"/>
        </w:rPr>
      </w:pPr>
      <w:r>
        <w:rPr>
          <w:color w:val="auto"/>
          <w:sz w:val="24"/>
        </w:rPr>
        <w:t>3.</w:t>
      </w:r>
      <w:r>
        <w:rPr>
          <w:rFonts w:hint="eastAsia"/>
          <w:color w:val="auto"/>
          <w:sz w:val="24"/>
          <w:lang w:val="en-US" w:eastAsia="zh-CN"/>
        </w:rPr>
        <w:t xml:space="preserve"> </w:t>
      </w:r>
      <w:r>
        <w:rPr>
          <w:rFonts w:hint="eastAsia"/>
          <w:color w:val="auto"/>
          <w:sz w:val="24"/>
        </w:rPr>
        <w:t>至少掌握一门外国语，能熟练阅读本专业的外文资料，具备一定的</w:t>
      </w:r>
      <w:r>
        <w:rPr>
          <w:rFonts w:hint="eastAsia"/>
          <w:color w:val="auto"/>
          <w:sz w:val="24"/>
          <w:highlight w:val="none"/>
        </w:rPr>
        <w:t>写</w:t>
      </w:r>
      <w:r>
        <w:rPr>
          <w:rFonts w:hint="eastAsia"/>
          <w:color w:val="auto"/>
          <w:sz w:val="24"/>
          <w:highlight w:val="none"/>
          <w:lang w:val="en-US" w:eastAsia="zh-CN"/>
        </w:rPr>
        <w:t>作、翻译</w:t>
      </w:r>
      <w:r>
        <w:rPr>
          <w:rFonts w:hint="eastAsia"/>
          <w:color w:val="auto"/>
          <w:sz w:val="24"/>
        </w:rPr>
        <w:t>能力和基本听说能力，具有撰写学术论文和进行国际学术交流的能力。</w:t>
      </w:r>
    </w:p>
    <w:p w14:paraId="4BE07383">
      <w:pPr>
        <w:spacing w:line="360" w:lineRule="auto"/>
        <w:ind w:firstLine="480"/>
        <w:rPr>
          <w:color w:val="auto"/>
          <w:sz w:val="24"/>
        </w:rPr>
      </w:pPr>
      <w:r>
        <w:rPr>
          <w:color w:val="auto"/>
          <w:sz w:val="24"/>
        </w:rPr>
        <w:t>4.</w:t>
      </w:r>
      <w:r>
        <w:rPr>
          <w:rFonts w:hint="eastAsia"/>
          <w:color w:val="auto"/>
          <w:sz w:val="24"/>
          <w:lang w:val="en-US" w:eastAsia="zh-CN"/>
        </w:rPr>
        <w:t xml:space="preserve"> </w:t>
      </w:r>
      <w:r>
        <w:rPr>
          <w:rFonts w:hint="eastAsia"/>
          <w:color w:val="auto"/>
          <w:sz w:val="24"/>
        </w:rPr>
        <w:t>具有良好的团队意识和团队合作精神。</w:t>
      </w:r>
    </w:p>
    <w:p w14:paraId="2011267D">
      <w:pPr>
        <w:spacing w:line="360" w:lineRule="auto"/>
        <w:ind w:firstLine="480"/>
        <w:rPr>
          <w:color w:val="auto"/>
          <w:sz w:val="24"/>
        </w:rPr>
      </w:pPr>
      <w:r>
        <w:rPr>
          <w:color w:val="auto"/>
          <w:sz w:val="24"/>
        </w:rPr>
        <w:t>5.</w:t>
      </w:r>
      <w:r>
        <w:rPr>
          <w:rFonts w:hint="eastAsia"/>
          <w:color w:val="auto"/>
          <w:sz w:val="24"/>
          <w:lang w:val="en-US" w:eastAsia="zh-CN"/>
        </w:rPr>
        <w:t xml:space="preserve"> </w:t>
      </w:r>
      <w:r>
        <w:rPr>
          <w:rFonts w:hint="eastAsia"/>
          <w:color w:val="auto"/>
          <w:sz w:val="24"/>
        </w:rPr>
        <w:t>具有健康的身体和良好的心理素质。</w:t>
      </w:r>
    </w:p>
    <w:p w14:paraId="4BCA1700">
      <w:pPr>
        <w:spacing w:line="420" w:lineRule="exact"/>
        <w:ind w:firstLine="480"/>
        <w:rPr>
          <w:rFonts w:eastAsiaTheme="minorEastAsia"/>
          <w:i/>
          <w:color w:val="auto"/>
          <w:sz w:val="24"/>
        </w:rPr>
      </w:pPr>
      <w:r>
        <w:rPr>
          <w:color w:val="auto"/>
          <w:sz w:val="24"/>
        </w:rPr>
        <w:t xml:space="preserve">6. </w:t>
      </w:r>
      <w:r>
        <w:rPr>
          <w:rFonts w:hint="eastAsia"/>
          <w:color w:val="auto"/>
          <w:sz w:val="24"/>
        </w:rPr>
        <w:t>培养德智体美劳全面发展的社会主义事业接班人。</w:t>
      </w:r>
    </w:p>
    <w:p w14:paraId="3A83389E">
      <w:pPr>
        <w:spacing w:line="440" w:lineRule="exact"/>
        <w:ind w:firstLine="560" w:firstLineChars="200"/>
        <w:rPr>
          <w:rFonts w:eastAsia="黑体"/>
          <w:bCs/>
          <w:color w:val="auto"/>
          <w:sz w:val="28"/>
          <w:szCs w:val="28"/>
        </w:rPr>
      </w:pPr>
      <w:r>
        <w:rPr>
          <w:rFonts w:eastAsia="黑体"/>
          <w:bCs/>
          <w:color w:val="auto"/>
          <w:sz w:val="28"/>
          <w:szCs w:val="28"/>
        </w:rPr>
        <w:t>六、培养方式</w:t>
      </w:r>
    </w:p>
    <w:p w14:paraId="6B9117B0">
      <w:pPr>
        <w:spacing w:line="360" w:lineRule="auto"/>
        <w:ind w:firstLine="480" w:firstLineChars="200"/>
        <w:rPr>
          <w:rFonts w:asciiTheme="minorEastAsia" w:hAnsiTheme="minorEastAsia" w:eastAsiaTheme="minorEastAsia"/>
          <w:bCs/>
          <w:i/>
          <w:color w:val="auto"/>
          <w:sz w:val="24"/>
          <w:highlight w:val="none"/>
        </w:rPr>
      </w:pPr>
      <w:r>
        <w:rPr>
          <w:rFonts w:hint="eastAsia"/>
          <w:color w:val="auto"/>
          <w:sz w:val="24"/>
          <w:highlight w:val="none"/>
        </w:rPr>
        <w:t>本专业采用导师负责制与学科组集体培养相结合的方式，以科研能力培养为核心，通过课程学习、文献阅读、课题研究、学术交流与学位论文撰写等环节，系统提升学生的理论水平和创新能力。要求学生完成规定学分，</w:t>
      </w:r>
      <w:r>
        <w:rPr>
          <w:rFonts w:hint="eastAsia"/>
          <w:color w:val="auto"/>
          <w:sz w:val="24"/>
          <w:highlight w:val="none"/>
          <w:lang w:val="en-US" w:eastAsia="zh-CN"/>
        </w:rPr>
        <w:t>取得一定水平的科研成果，</w:t>
      </w:r>
      <w:r>
        <w:rPr>
          <w:rFonts w:hint="eastAsia"/>
          <w:color w:val="auto"/>
          <w:sz w:val="24"/>
          <w:highlight w:val="none"/>
        </w:rPr>
        <w:t>并通过学位论文答辩。</w:t>
      </w:r>
    </w:p>
    <w:p w14:paraId="22BB2A77">
      <w:pPr>
        <w:spacing w:line="440" w:lineRule="exact"/>
        <w:ind w:firstLine="560" w:firstLineChars="200"/>
        <w:rPr>
          <w:rFonts w:eastAsia="黑体"/>
          <w:bCs/>
          <w:color w:val="auto"/>
          <w:sz w:val="28"/>
          <w:szCs w:val="28"/>
        </w:rPr>
      </w:pPr>
      <w:r>
        <w:rPr>
          <w:rFonts w:eastAsia="黑体"/>
          <w:bCs/>
          <w:color w:val="auto"/>
          <w:sz w:val="28"/>
          <w:szCs w:val="28"/>
        </w:rPr>
        <w:t>七、中期筛选</w:t>
      </w:r>
    </w:p>
    <w:p w14:paraId="1DC92539">
      <w:pPr>
        <w:spacing w:before="156" w:beforeLines="50" w:line="360" w:lineRule="auto"/>
        <w:ind w:firstLine="480" w:firstLineChars="200"/>
        <w:rPr>
          <w:rFonts w:eastAsiaTheme="minorEastAsia"/>
          <w:bCs/>
          <w:color w:val="auto"/>
          <w:sz w:val="24"/>
        </w:rPr>
      </w:pPr>
      <w:bookmarkStart w:id="0" w:name="_Toc59002625"/>
      <w:r>
        <w:rPr>
          <w:rFonts w:eastAsiaTheme="minorEastAsia"/>
          <w:bCs/>
          <w:color w:val="auto"/>
          <w:sz w:val="24"/>
        </w:rPr>
        <w:t>在完成培养方案规定的课程学习、考核成绩合格、获得规定的学分后，</w:t>
      </w:r>
      <w:bookmarkEnd w:id="0"/>
      <w:r>
        <w:rPr>
          <w:rFonts w:eastAsiaTheme="minorEastAsia"/>
          <w:bCs/>
          <w:color w:val="auto"/>
          <w:sz w:val="24"/>
        </w:rPr>
        <w:t>按照《河北大学研究生中期筛选管理办法》（校政字〔2021〕15号）的相关规定，组织开展中期筛选工作。</w:t>
      </w:r>
    </w:p>
    <w:p w14:paraId="26574002">
      <w:pPr>
        <w:spacing w:line="440" w:lineRule="exact"/>
        <w:ind w:firstLine="560" w:firstLineChars="200"/>
        <w:rPr>
          <w:rFonts w:eastAsia="黑体"/>
          <w:bCs/>
          <w:color w:val="auto"/>
          <w:sz w:val="28"/>
          <w:szCs w:val="28"/>
        </w:rPr>
      </w:pPr>
      <w:r>
        <w:rPr>
          <w:rFonts w:hint="eastAsia" w:eastAsia="黑体"/>
          <w:bCs/>
          <w:color w:val="auto"/>
          <w:sz w:val="28"/>
          <w:szCs w:val="28"/>
        </w:rPr>
        <w:t>八</w:t>
      </w:r>
      <w:r>
        <w:rPr>
          <w:rFonts w:eastAsia="黑体"/>
          <w:bCs/>
          <w:color w:val="auto"/>
          <w:sz w:val="28"/>
          <w:szCs w:val="28"/>
        </w:rPr>
        <w:t>、学位（毕业）论文</w:t>
      </w:r>
    </w:p>
    <w:p w14:paraId="3B6943B0">
      <w:pPr>
        <w:spacing w:line="360" w:lineRule="auto"/>
        <w:ind w:firstLine="480"/>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 xml:space="preserve"> </w:t>
      </w:r>
      <w:r>
        <w:rPr>
          <w:rFonts w:hint="eastAsia"/>
          <w:color w:val="auto"/>
          <w:sz w:val="24"/>
          <w:highlight w:val="none"/>
        </w:rPr>
        <w:t>总体要求：按照《河北大学关于开展2025版研究生培养方案修订工作的指导意见》（校政字〔2025〕</w:t>
      </w:r>
      <w:r>
        <w:rPr>
          <w:rFonts w:hint="eastAsia"/>
          <w:color w:val="auto"/>
          <w:sz w:val="24"/>
          <w:highlight w:val="none"/>
        </w:rPr>
        <w:t>*号</w:t>
      </w:r>
      <w:r>
        <w:rPr>
          <w:rFonts w:hint="eastAsia"/>
          <w:color w:val="auto"/>
          <w:sz w:val="24"/>
          <w:highlight w:val="none"/>
        </w:rPr>
        <w:t>）规定，硕士研究生论文开题与答辩时间间隔原则上不少于12个月。学位（毕业）论文应当表明作者具有独立从事学术研究工作的能力，鼓励硕士研究生参与科学研究，取得创新性成果</w:t>
      </w:r>
      <w:r>
        <w:rPr>
          <w:rFonts w:hint="eastAsia"/>
          <w:color w:val="auto"/>
          <w:sz w:val="24"/>
          <w:highlight w:val="none"/>
          <w:lang w:eastAsia="zh-CN"/>
        </w:rPr>
        <w:t>。</w:t>
      </w:r>
    </w:p>
    <w:p w14:paraId="0AD050D8">
      <w:pPr>
        <w:spacing w:line="360" w:lineRule="auto"/>
        <w:ind w:firstLine="480"/>
        <w:rPr>
          <w:rFonts w:hint="eastAsia"/>
          <w:color w:val="auto"/>
          <w:sz w:val="24"/>
          <w:highlight w:val="none"/>
        </w:rPr>
      </w:pPr>
      <w:r>
        <w:rPr>
          <w:rFonts w:hint="eastAsia"/>
          <w:color w:val="auto"/>
          <w:sz w:val="24"/>
          <w:highlight w:val="none"/>
        </w:rPr>
        <w:t>2.</w:t>
      </w:r>
      <w:r>
        <w:rPr>
          <w:rFonts w:hint="eastAsia"/>
          <w:color w:val="auto"/>
          <w:sz w:val="24"/>
          <w:highlight w:val="none"/>
          <w:lang w:val="en-US" w:eastAsia="zh-CN"/>
        </w:rPr>
        <w:t xml:space="preserve"> </w:t>
      </w:r>
      <w:r>
        <w:rPr>
          <w:rFonts w:hint="eastAsia"/>
          <w:color w:val="auto"/>
          <w:sz w:val="24"/>
          <w:highlight w:val="none"/>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201CF6C1">
      <w:pPr>
        <w:spacing w:line="360" w:lineRule="auto"/>
        <w:ind w:firstLine="480"/>
        <w:rPr>
          <w:rFonts w:hint="eastAsia"/>
          <w:color w:val="auto"/>
          <w:sz w:val="24"/>
          <w:highlight w:val="none"/>
        </w:rPr>
      </w:pPr>
      <w:r>
        <w:rPr>
          <w:rFonts w:hint="eastAsia"/>
          <w:color w:val="auto"/>
          <w:sz w:val="24"/>
          <w:highlight w:val="none"/>
        </w:rPr>
        <w:t>原则上在入学后第3学期（最迟不超过第4学期）完成开题。开题由3-5名具有高级专业技术职务人员参加，以学术报告的方式进行。</w:t>
      </w:r>
    </w:p>
    <w:p w14:paraId="107B2BBF">
      <w:pPr>
        <w:numPr>
          <w:ilvl w:val="0"/>
          <w:numId w:val="1"/>
        </w:numPr>
        <w:spacing w:line="360" w:lineRule="auto"/>
        <w:ind w:firstLine="480"/>
        <w:rPr>
          <w:rFonts w:hint="eastAsia"/>
          <w:color w:val="auto"/>
          <w:sz w:val="24"/>
          <w:highlight w:val="none"/>
        </w:rPr>
      </w:pPr>
      <w:r>
        <w:rPr>
          <w:rFonts w:hint="eastAsia"/>
          <w:color w:val="auto"/>
          <w:sz w:val="24"/>
          <w:highlight w:val="none"/>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9EB4F81">
      <w:pPr>
        <w:numPr>
          <w:ilvl w:val="0"/>
          <w:numId w:val="1"/>
        </w:numPr>
        <w:spacing w:line="360" w:lineRule="auto"/>
        <w:ind w:left="0" w:leftChars="0" w:firstLine="480" w:firstLineChars="0"/>
        <w:rPr>
          <w:rFonts w:hint="eastAsia"/>
          <w:color w:val="auto"/>
          <w:sz w:val="24"/>
          <w:highlight w:val="none"/>
        </w:rPr>
      </w:pPr>
      <w:r>
        <w:rPr>
          <w:rFonts w:hint="eastAsia"/>
          <w:color w:val="auto"/>
          <w:sz w:val="24"/>
          <w:highlight w:val="none"/>
        </w:rPr>
        <w:t>学位申请：达到学位授予条件的申请人，经导师同意后，应于答辩前三个月，向所属学位评定分委员会提出学位申请，提交学位申请材料。</w:t>
      </w:r>
    </w:p>
    <w:p w14:paraId="2D833F5A">
      <w:pPr>
        <w:numPr>
          <w:ilvl w:val="0"/>
          <w:numId w:val="1"/>
        </w:numPr>
        <w:spacing w:line="360" w:lineRule="auto"/>
        <w:ind w:left="0" w:leftChars="0" w:firstLine="480" w:firstLineChars="0"/>
        <w:rPr>
          <w:rFonts w:hint="eastAsia"/>
          <w:color w:val="auto"/>
          <w:sz w:val="24"/>
          <w:highlight w:val="none"/>
        </w:rPr>
      </w:pPr>
      <w:r>
        <w:rPr>
          <w:rFonts w:hint="eastAsia"/>
          <w:color w:val="auto"/>
          <w:sz w:val="24"/>
          <w:highlight w:val="none"/>
        </w:rPr>
        <w:t>预答辩：学位申请人须进行学位论文预答辩。预答辩通过者，方可进入学位论文评阅、学位论文答辩等环节。学位（毕业）论文预答辩在正式答辩前3个月进行。</w:t>
      </w:r>
    </w:p>
    <w:p w14:paraId="5C428BD6">
      <w:pPr>
        <w:numPr>
          <w:ilvl w:val="0"/>
          <w:numId w:val="1"/>
        </w:numPr>
        <w:spacing w:line="360" w:lineRule="auto"/>
        <w:ind w:left="0" w:leftChars="0" w:firstLine="480" w:firstLineChars="0"/>
        <w:rPr>
          <w:rFonts w:hint="eastAsia"/>
          <w:color w:val="auto"/>
          <w:sz w:val="24"/>
          <w:highlight w:val="none"/>
        </w:rPr>
      </w:pPr>
      <w:r>
        <w:rPr>
          <w:rFonts w:hint="eastAsia"/>
          <w:color w:val="auto"/>
          <w:sz w:val="24"/>
          <w:highlight w:val="none"/>
        </w:rPr>
        <w:t>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18123CD9">
      <w:pPr>
        <w:numPr>
          <w:ilvl w:val="0"/>
          <w:numId w:val="1"/>
        </w:numPr>
        <w:spacing w:line="360" w:lineRule="auto"/>
        <w:ind w:left="0" w:leftChars="0" w:firstLine="480" w:firstLineChars="0"/>
        <w:rPr>
          <w:rFonts w:hint="eastAsia"/>
          <w:color w:val="auto"/>
          <w:sz w:val="24"/>
          <w:highlight w:val="none"/>
        </w:rPr>
      </w:pPr>
      <w:r>
        <w:rPr>
          <w:rFonts w:hint="eastAsia"/>
          <w:color w:val="auto"/>
          <w:sz w:val="24"/>
          <w:highlight w:val="none"/>
        </w:rPr>
        <w:t>答辩：学位（毕业）论文答辩按照《河北大学博士、硕士学位授予工作实施细则》（校政字〔2025〕7号）执行。</w:t>
      </w:r>
    </w:p>
    <w:p w14:paraId="38C57F11">
      <w:pPr>
        <w:spacing w:line="440" w:lineRule="exact"/>
        <w:ind w:firstLine="560" w:firstLineChars="200"/>
        <w:rPr>
          <w:rFonts w:eastAsia="黑体"/>
          <w:bCs/>
          <w:color w:val="auto"/>
          <w:sz w:val="28"/>
          <w:szCs w:val="28"/>
        </w:rPr>
      </w:pPr>
      <w:r>
        <w:rPr>
          <w:rFonts w:hint="eastAsia" w:eastAsia="黑体"/>
          <w:bCs/>
          <w:color w:val="auto"/>
          <w:sz w:val="28"/>
          <w:szCs w:val="28"/>
        </w:rPr>
        <w:t>九</w:t>
      </w:r>
      <w:r>
        <w:rPr>
          <w:rFonts w:eastAsia="黑体"/>
          <w:bCs/>
          <w:color w:val="auto"/>
          <w:sz w:val="28"/>
          <w:szCs w:val="28"/>
        </w:rPr>
        <w:t>、毕业条件</w:t>
      </w:r>
    </w:p>
    <w:p w14:paraId="68E6DDD4">
      <w:pPr>
        <w:spacing w:line="440" w:lineRule="exact"/>
        <w:ind w:firstLine="480" w:firstLineChars="200"/>
        <w:rPr>
          <w:rFonts w:eastAsiaTheme="minorEastAsia"/>
          <w:bCs/>
          <w:color w:val="auto"/>
          <w:sz w:val="24"/>
          <w:highlight w:val="none"/>
        </w:rPr>
      </w:pPr>
      <w:r>
        <w:rPr>
          <w:rFonts w:eastAsiaTheme="minorEastAsia"/>
          <w:bCs/>
          <w:color w:val="auto"/>
          <w:sz w:val="24"/>
          <w:highlight w:val="none"/>
        </w:rPr>
        <w:t>1. 课程学习。研究生在规定修业年限内完成培养方案规定的课程学习，考核成绩合格，获得规定的学分。</w:t>
      </w:r>
    </w:p>
    <w:p w14:paraId="571BF375">
      <w:pPr>
        <w:spacing w:line="440" w:lineRule="exact"/>
        <w:ind w:firstLine="480" w:firstLineChars="200"/>
        <w:rPr>
          <w:rFonts w:eastAsiaTheme="minorEastAsia"/>
          <w:color w:val="auto"/>
          <w:sz w:val="24"/>
          <w:highlight w:val="none"/>
        </w:rPr>
      </w:pPr>
      <w:r>
        <w:rPr>
          <w:rFonts w:eastAsiaTheme="minorEastAsia"/>
          <w:bCs/>
          <w:color w:val="auto"/>
          <w:sz w:val="24"/>
          <w:highlight w:val="none"/>
        </w:rPr>
        <w:t>2. 学术活动。研究生</w:t>
      </w:r>
      <w:r>
        <w:rPr>
          <w:rFonts w:eastAsiaTheme="minorEastAsia"/>
          <w:color w:val="auto"/>
          <w:sz w:val="24"/>
          <w:highlight w:val="none"/>
        </w:rPr>
        <w:t>在读期间参加不</w:t>
      </w:r>
      <w:r>
        <w:rPr>
          <w:rFonts w:eastAsiaTheme="minorEastAsia"/>
          <w:bCs/>
          <w:color w:val="auto"/>
          <w:sz w:val="24"/>
          <w:highlight w:val="none"/>
        </w:rPr>
        <w:t>少于</w:t>
      </w:r>
      <w:r>
        <w:rPr>
          <w:rFonts w:eastAsiaTheme="minorEastAsia"/>
          <w:bCs/>
          <w:color w:val="auto"/>
          <w:sz w:val="24"/>
          <w:highlight w:val="none"/>
        </w:rPr>
        <w:t>10</w:t>
      </w:r>
      <w:r>
        <w:rPr>
          <w:rFonts w:eastAsiaTheme="minorEastAsia"/>
          <w:bCs/>
          <w:color w:val="auto"/>
          <w:sz w:val="24"/>
          <w:highlight w:val="none"/>
        </w:rPr>
        <w:t>次学术活动，并撰写学术报告小结；以主讲人或宣讲人身份，参加在校内外举行的学术报告或学术讲座不少于1次。</w:t>
      </w:r>
    </w:p>
    <w:p w14:paraId="545F92C0">
      <w:pPr>
        <w:spacing w:line="440" w:lineRule="exact"/>
        <w:ind w:firstLine="480" w:firstLineChars="200"/>
        <w:rPr>
          <w:rFonts w:eastAsiaTheme="minorEastAsia"/>
          <w:bCs/>
          <w:color w:val="auto"/>
          <w:sz w:val="24"/>
          <w:highlight w:val="none"/>
        </w:rPr>
      </w:pPr>
      <w:r>
        <w:rPr>
          <w:rFonts w:eastAsiaTheme="minorEastAsia"/>
          <w:color w:val="auto"/>
          <w:sz w:val="24"/>
          <w:highlight w:val="none"/>
        </w:rPr>
        <w:t>3. 符合提前毕业条件的研究生，可按照学校相关规定</w:t>
      </w:r>
      <w:r>
        <w:rPr>
          <w:rFonts w:eastAsiaTheme="minorEastAsia"/>
          <w:bCs/>
          <w:color w:val="auto"/>
          <w:sz w:val="24"/>
          <w:highlight w:val="none"/>
        </w:rPr>
        <w:t>申请</w:t>
      </w:r>
      <w:r>
        <w:rPr>
          <w:rFonts w:eastAsiaTheme="minorEastAsia"/>
          <w:color w:val="auto"/>
          <w:sz w:val="24"/>
          <w:highlight w:val="none"/>
        </w:rPr>
        <w:t>提前毕业。</w:t>
      </w:r>
    </w:p>
    <w:p w14:paraId="21C7FFA8">
      <w:pPr>
        <w:spacing w:line="440" w:lineRule="exact"/>
        <w:ind w:firstLine="480" w:firstLineChars="200"/>
        <w:rPr>
          <w:rFonts w:eastAsiaTheme="minorEastAsia"/>
          <w:bCs/>
          <w:color w:val="auto"/>
          <w:sz w:val="24"/>
          <w:highlight w:val="none"/>
        </w:rPr>
      </w:pPr>
      <w:r>
        <w:rPr>
          <w:rFonts w:eastAsiaTheme="minorEastAsia"/>
          <w:bCs/>
          <w:color w:val="auto"/>
          <w:sz w:val="24"/>
          <w:highlight w:val="none"/>
        </w:rPr>
        <w:t>4. 论文答辩。学位（毕业）论文经专家评审合格、通过学位（毕业）答辩，符合毕业资格审查后，准予毕业。</w:t>
      </w:r>
    </w:p>
    <w:p w14:paraId="69AAA43C">
      <w:pPr>
        <w:spacing w:line="440" w:lineRule="exact"/>
        <w:ind w:firstLine="560" w:firstLineChars="200"/>
        <w:rPr>
          <w:rFonts w:eastAsia="黑体"/>
          <w:bCs/>
          <w:color w:val="auto"/>
          <w:sz w:val="28"/>
          <w:szCs w:val="28"/>
        </w:rPr>
      </w:pPr>
      <w:r>
        <w:rPr>
          <w:rFonts w:hint="eastAsia" w:eastAsia="黑体"/>
          <w:bCs/>
          <w:color w:val="auto"/>
          <w:sz w:val="28"/>
          <w:szCs w:val="28"/>
        </w:rPr>
        <w:t>十</w:t>
      </w:r>
      <w:r>
        <w:rPr>
          <w:rFonts w:eastAsia="黑体"/>
          <w:bCs/>
          <w:color w:val="auto"/>
          <w:sz w:val="28"/>
          <w:szCs w:val="28"/>
        </w:rPr>
        <w:t>、创新性成果</w:t>
      </w:r>
    </w:p>
    <w:p w14:paraId="4606E45B">
      <w:pPr>
        <w:spacing w:line="440" w:lineRule="exact"/>
        <w:ind w:firstLine="480" w:firstLineChars="200"/>
        <w:rPr>
          <w:rFonts w:eastAsiaTheme="minorEastAsia"/>
          <w:i/>
          <w:color w:val="auto"/>
          <w:sz w:val="24"/>
        </w:rPr>
      </w:pPr>
      <w:r>
        <w:rPr>
          <w:rFonts w:eastAsiaTheme="minorEastAsia"/>
          <w:bCs/>
          <w:color w:val="auto"/>
          <w:sz w:val="24"/>
          <w:highlight w:val="none"/>
        </w:rPr>
        <w:t>为体现创新性成果的多元化</w:t>
      </w:r>
      <w:r>
        <w:rPr>
          <w:rFonts w:hint="eastAsia" w:eastAsiaTheme="minorEastAsia"/>
          <w:bCs/>
          <w:color w:val="auto"/>
          <w:sz w:val="24"/>
          <w:highlight w:val="none"/>
          <w:lang w:eastAsia="zh-CN"/>
        </w:rPr>
        <w:t>，</w:t>
      </w:r>
      <w:r>
        <w:rPr>
          <w:rFonts w:hint="eastAsia" w:eastAsiaTheme="minorEastAsia"/>
          <w:bCs/>
          <w:color w:val="auto"/>
          <w:sz w:val="24"/>
          <w:highlight w:val="none"/>
          <w:lang w:val="en-US" w:eastAsia="zh-CN"/>
        </w:rPr>
        <w:t>要求管理科学与工程专业的硕士研究生完成的成果</w:t>
      </w:r>
      <w:r>
        <w:rPr>
          <w:rFonts w:hint="eastAsia" w:eastAsiaTheme="minorEastAsia"/>
          <w:bCs/>
          <w:color w:val="auto"/>
          <w:sz w:val="24"/>
          <w:highlight w:val="none"/>
          <w:lang w:eastAsia="zh-CN"/>
        </w:rPr>
        <w:t>包括但不限于学术论文、专利、软件著作权、竞赛获奖、实践项目报告、政策咨询报告等。</w:t>
      </w:r>
      <w:r>
        <w:rPr>
          <w:rFonts w:hint="eastAsia" w:eastAsiaTheme="minorEastAsia"/>
          <w:bCs/>
          <w:color w:val="auto"/>
          <w:sz w:val="24"/>
          <w:highlight w:val="none"/>
          <w:lang w:val="en-US" w:eastAsia="zh-CN"/>
        </w:rPr>
        <w:t>鼓励</w:t>
      </w:r>
      <w:r>
        <w:rPr>
          <w:rFonts w:hint="eastAsia" w:eastAsiaTheme="minorEastAsia"/>
          <w:bCs/>
          <w:color w:val="auto"/>
          <w:sz w:val="24"/>
          <w:highlight w:val="none"/>
          <w:lang w:eastAsia="zh-CN"/>
        </w:rPr>
        <w:t>学生至少完成其中一项，并通过导师组审核认定。</w:t>
      </w:r>
    </w:p>
    <w:p w14:paraId="1D91B576">
      <w:pPr>
        <w:spacing w:line="440" w:lineRule="exact"/>
        <w:ind w:firstLine="560" w:firstLineChars="200"/>
        <w:rPr>
          <w:rFonts w:eastAsia="黑体"/>
          <w:bCs/>
          <w:color w:val="auto"/>
          <w:sz w:val="28"/>
          <w:szCs w:val="28"/>
        </w:rPr>
      </w:pPr>
      <w:r>
        <w:rPr>
          <w:rFonts w:eastAsia="黑体"/>
          <w:bCs/>
          <w:color w:val="auto"/>
          <w:sz w:val="28"/>
          <w:szCs w:val="28"/>
        </w:rPr>
        <w:t>十一、学位授予</w:t>
      </w:r>
    </w:p>
    <w:p w14:paraId="75C7E976">
      <w:pPr>
        <w:spacing w:line="440" w:lineRule="exact"/>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满足本学院制定的创新性成果要求，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7E7AE037">
      <w:pPr>
        <w:spacing w:line="440" w:lineRule="exact"/>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二</w:t>
      </w:r>
      <w:r>
        <w:rPr>
          <w:rFonts w:eastAsia="黑体"/>
          <w:bCs/>
          <w:color w:val="auto"/>
          <w:sz w:val="28"/>
          <w:szCs w:val="28"/>
        </w:rPr>
        <w:t>、学分及课程设置</w:t>
      </w:r>
    </w:p>
    <w:p w14:paraId="6D0894F4">
      <w:pPr>
        <w:spacing w:line="440" w:lineRule="exact"/>
        <w:ind w:firstLine="480" w:firstLineChars="200"/>
        <w:rPr>
          <w:color w:val="auto"/>
          <w:sz w:val="24"/>
        </w:rPr>
      </w:pPr>
      <w:r>
        <w:rPr>
          <w:rFonts w:eastAsiaTheme="minorEastAsia"/>
          <w:color w:val="auto"/>
          <w:sz w:val="24"/>
        </w:rPr>
        <w:t>本专业最低毕业学分为</w:t>
      </w:r>
      <w:r>
        <w:rPr>
          <w:rFonts w:hint="eastAsia" w:eastAsiaTheme="minorEastAsia"/>
          <w:color w:val="auto"/>
          <w:sz w:val="24"/>
          <w:lang w:val="en-US" w:eastAsia="zh-CN"/>
        </w:rPr>
        <w:t>28</w:t>
      </w:r>
      <w:r>
        <w:rPr>
          <w:rFonts w:eastAsiaTheme="minorEastAsia"/>
          <w:color w:val="auto"/>
          <w:sz w:val="24"/>
        </w:rPr>
        <w:t>分，其中学位课</w:t>
      </w:r>
      <w:r>
        <w:rPr>
          <w:rFonts w:hint="eastAsia" w:eastAsiaTheme="minorEastAsia"/>
          <w:color w:val="auto"/>
          <w:sz w:val="24"/>
          <w:lang w:val="en-US" w:eastAsia="zh-CN"/>
        </w:rPr>
        <w:t>21</w:t>
      </w:r>
      <w:r>
        <w:rPr>
          <w:rFonts w:eastAsiaTheme="minorEastAsia"/>
          <w:color w:val="auto"/>
          <w:sz w:val="24"/>
        </w:rPr>
        <w:t>学分，非学位课</w:t>
      </w:r>
      <w:r>
        <w:rPr>
          <w:rFonts w:hint="eastAsia" w:eastAsiaTheme="minorEastAsia"/>
          <w:color w:val="auto"/>
          <w:sz w:val="24"/>
          <w:lang w:val="en-US" w:eastAsia="zh-CN"/>
        </w:rPr>
        <w:t>6</w:t>
      </w:r>
      <w:r>
        <w:rPr>
          <w:rFonts w:eastAsiaTheme="minorEastAsia"/>
          <w:color w:val="auto"/>
          <w:sz w:val="24"/>
        </w:rPr>
        <w:t>学分，</w:t>
      </w:r>
      <w:r>
        <w:rPr>
          <w:rFonts w:eastAsiaTheme="minorEastAsia"/>
          <w:color w:val="auto"/>
          <w:sz w:val="24"/>
          <w:highlight w:val="none"/>
        </w:rPr>
        <w:t>必修环节</w:t>
      </w:r>
      <w:r>
        <w:rPr>
          <w:rFonts w:hint="eastAsia" w:eastAsiaTheme="minorEastAsia"/>
          <w:color w:val="auto"/>
          <w:sz w:val="24"/>
          <w:highlight w:val="none"/>
          <w:lang w:val="en-US" w:eastAsia="zh-CN"/>
        </w:rPr>
        <w:t>1</w:t>
      </w:r>
      <w:r>
        <w:rPr>
          <w:rFonts w:hint="eastAsia" w:eastAsiaTheme="minorEastAsia"/>
          <w:color w:val="auto"/>
          <w:sz w:val="24"/>
          <w:highlight w:val="none"/>
          <w:lang w:val="en-US" w:eastAsia="zh-CN"/>
        </w:rPr>
        <w:t>学</w:t>
      </w:r>
      <w:r>
        <w:rPr>
          <w:rFonts w:eastAsiaTheme="minorEastAsia"/>
          <w:color w:val="auto"/>
          <w:sz w:val="24"/>
          <w:highlight w:val="none"/>
        </w:rPr>
        <w:t>分</w:t>
      </w:r>
      <w:r>
        <w:rPr>
          <w:rFonts w:hint="eastAsia" w:eastAsiaTheme="minorEastAsia"/>
          <w:color w:val="auto"/>
          <w:sz w:val="24"/>
          <w:lang w:eastAsia="zh-CN"/>
        </w:rPr>
        <w:t>。</w:t>
      </w:r>
      <w:r>
        <w:rPr>
          <w:rFonts w:eastAsiaTheme="minorEastAsia"/>
          <w:color w:val="auto"/>
          <w:sz w:val="24"/>
        </w:rPr>
        <w:t>课程考试不设补考环节，</w:t>
      </w:r>
      <w:r>
        <w:rPr>
          <w:color w:val="auto"/>
          <w:sz w:val="24"/>
        </w:rPr>
        <w:t>考试成绩低于60分的需重修。</w:t>
      </w:r>
    </w:p>
    <w:p w14:paraId="7277C925">
      <w:pPr>
        <w:spacing w:line="440" w:lineRule="exact"/>
        <w:ind w:firstLine="480" w:firstLineChars="200"/>
        <w:rPr>
          <w:rFonts w:eastAsiaTheme="minorEastAsia"/>
          <w:color w:val="auto"/>
          <w:sz w:val="24"/>
        </w:rPr>
      </w:pPr>
      <w:r>
        <w:rPr>
          <w:color w:val="auto"/>
          <w:sz w:val="24"/>
        </w:rPr>
        <w:t>课程考核方式包括考试和考查，可以采用口试、笔试或写读书报告、论文的形式。无论采取何种考核方式，均应能真实反映学生对所学课程掌握的程度及运用知识的能力。</w:t>
      </w:r>
    </w:p>
    <w:p w14:paraId="0E074697">
      <w:pPr>
        <w:spacing w:line="420" w:lineRule="exact"/>
        <w:rPr>
          <w:rFonts w:eastAsiaTheme="minorEastAsia"/>
          <w:b/>
          <w:bCs/>
          <w:color w:val="auto"/>
          <w:sz w:val="24"/>
        </w:rPr>
      </w:pPr>
      <w:r>
        <w:rPr>
          <w:i/>
          <w:color w:val="auto"/>
          <w:sz w:val="24"/>
        </w:rPr>
        <w:t xml:space="preserve"> </w:t>
      </w:r>
    </w:p>
    <w:p w14:paraId="40E2EE4A">
      <w:pPr>
        <w:spacing w:after="156" w:afterLines="50" w:line="440" w:lineRule="exact"/>
        <w:jc w:val="center"/>
        <w:rPr>
          <w:rFonts w:eastAsiaTheme="minorEastAsia"/>
          <w:b/>
          <w:bCs/>
          <w:color w:val="auto"/>
          <w:sz w:val="24"/>
        </w:rPr>
      </w:pPr>
      <w:r>
        <w:rPr>
          <w:rFonts w:hint="eastAsia" w:eastAsiaTheme="minorEastAsia"/>
          <w:b/>
          <w:bCs/>
          <w:color w:val="auto"/>
          <w:sz w:val="24"/>
          <w:lang w:val="en-US" w:eastAsia="zh-CN"/>
        </w:rPr>
        <w:t>管理科学与工程</w:t>
      </w:r>
      <w:r>
        <w:rPr>
          <w:rFonts w:eastAsiaTheme="minorEastAsia"/>
          <w:b/>
          <w:bCs/>
          <w:color w:val="auto"/>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921E2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1797" w:type="dxa"/>
            <w:gridSpan w:val="2"/>
            <w:vAlign w:val="center"/>
          </w:tcPr>
          <w:p w14:paraId="6A8B6B5C">
            <w:pPr>
              <w:jc w:val="center"/>
              <w:rPr>
                <w:b/>
                <w:color w:val="auto"/>
                <w:szCs w:val="21"/>
              </w:rPr>
            </w:pPr>
            <w:r>
              <w:rPr>
                <w:b/>
                <w:color w:val="auto"/>
                <w:szCs w:val="21"/>
              </w:rPr>
              <w:t>课程类别</w:t>
            </w:r>
          </w:p>
        </w:tc>
        <w:tc>
          <w:tcPr>
            <w:tcW w:w="3516" w:type="dxa"/>
            <w:vAlign w:val="center"/>
          </w:tcPr>
          <w:p w14:paraId="21B4428F">
            <w:pPr>
              <w:jc w:val="center"/>
              <w:rPr>
                <w:b/>
                <w:color w:val="auto"/>
                <w:szCs w:val="21"/>
              </w:rPr>
            </w:pPr>
            <w:r>
              <w:rPr>
                <w:b/>
                <w:color w:val="auto"/>
                <w:szCs w:val="21"/>
              </w:rPr>
              <w:t>课程说明</w:t>
            </w:r>
          </w:p>
        </w:tc>
        <w:tc>
          <w:tcPr>
            <w:tcW w:w="1081" w:type="dxa"/>
            <w:vAlign w:val="center"/>
          </w:tcPr>
          <w:p w14:paraId="7ED1FDAE">
            <w:pPr>
              <w:jc w:val="center"/>
              <w:rPr>
                <w:b/>
                <w:color w:val="auto"/>
                <w:szCs w:val="21"/>
              </w:rPr>
            </w:pPr>
            <w:r>
              <w:rPr>
                <w:b/>
                <w:color w:val="auto"/>
                <w:szCs w:val="21"/>
              </w:rPr>
              <w:t>课程编号</w:t>
            </w:r>
          </w:p>
        </w:tc>
        <w:tc>
          <w:tcPr>
            <w:tcW w:w="709" w:type="dxa"/>
            <w:vAlign w:val="center"/>
          </w:tcPr>
          <w:p w14:paraId="1E2273A0">
            <w:pPr>
              <w:jc w:val="center"/>
              <w:rPr>
                <w:b/>
                <w:color w:val="auto"/>
                <w:szCs w:val="21"/>
              </w:rPr>
            </w:pPr>
            <w:r>
              <w:rPr>
                <w:b/>
                <w:color w:val="auto"/>
                <w:szCs w:val="21"/>
              </w:rPr>
              <w:t>学分</w:t>
            </w:r>
          </w:p>
        </w:tc>
        <w:tc>
          <w:tcPr>
            <w:tcW w:w="709" w:type="dxa"/>
            <w:vAlign w:val="center"/>
          </w:tcPr>
          <w:p w14:paraId="6DD72008">
            <w:pPr>
              <w:jc w:val="center"/>
              <w:rPr>
                <w:b/>
                <w:color w:val="auto"/>
                <w:szCs w:val="21"/>
              </w:rPr>
            </w:pPr>
            <w:r>
              <w:rPr>
                <w:b/>
                <w:color w:val="auto"/>
                <w:szCs w:val="21"/>
              </w:rPr>
              <w:t>学期</w:t>
            </w:r>
          </w:p>
        </w:tc>
        <w:tc>
          <w:tcPr>
            <w:tcW w:w="1045" w:type="dxa"/>
            <w:vAlign w:val="center"/>
          </w:tcPr>
          <w:p w14:paraId="6D0C5767">
            <w:pPr>
              <w:jc w:val="center"/>
              <w:rPr>
                <w:b/>
                <w:color w:val="auto"/>
                <w:szCs w:val="21"/>
              </w:rPr>
            </w:pPr>
            <w:r>
              <w:rPr>
                <w:b/>
                <w:color w:val="auto"/>
                <w:szCs w:val="21"/>
              </w:rPr>
              <w:t>备注</w:t>
            </w:r>
          </w:p>
        </w:tc>
      </w:tr>
      <w:tr w14:paraId="3FF6F5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E0652FC">
            <w:pPr>
              <w:jc w:val="center"/>
              <w:rPr>
                <w:b/>
                <w:color w:val="auto"/>
                <w:sz w:val="18"/>
                <w:szCs w:val="18"/>
              </w:rPr>
            </w:pPr>
            <w:r>
              <w:rPr>
                <w:b/>
                <w:color w:val="auto"/>
                <w:sz w:val="18"/>
                <w:szCs w:val="18"/>
              </w:rPr>
              <w:t>学位课</w:t>
            </w:r>
          </w:p>
        </w:tc>
        <w:tc>
          <w:tcPr>
            <w:tcW w:w="1226" w:type="dxa"/>
            <w:vMerge w:val="restart"/>
            <w:vAlign w:val="center"/>
          </w:tcPr>
          <w:p w14:paraId="3DB29F8C">
            <w:pPr>
              <w:jc w:val="center"/>
              <w:rPr>
                <w:b/>
                <w:color w:val="auto"/>
                <w:sz w:val="18"/>
                <w:szCs w:val="18"/>
              </w:rPr>
            </w:pPr>
            <w:r>
              <w:rPr>
                <w:b/>
                <w:color w:val="auto"/>
                <w:sz w:val="18"/>
                <w:szCs w:val="18"/>
              </w:rPr>
              <w:t>公共必修课</w:t>
            </w:r>
          </w:p>
          <w:p w14:paraId="4D43525A">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20C1F136">
            <w:pPr>
              <w:rPr>
                <w:color w:val="auto"/>
                <w:sz w:val="18"/>
                <w:szCs w:val="18"/>
              </w:rPr>
            </w:pPr>
            <w:r>
              <w:rPr>
                <w:color w:val="auto"/>
                <w:sz w:val="18"/>
                <w:szCs w:val="18"/>
              </w:rPr>
              <w:t>新时代中国特色社会主义理论与实践</w:t>
            </w:r>
          </w:p>
        </w:tc>
        <w:tc>
          <w:tcPr>
            <w:tcW w:w="1081" w:type="dxa"/>
            <w:vAlign w:val="center"/>
          </w:tcPr>
          <w:p w14:paraId="0F439C4F">
            <w:pPr>
              <w:jc w:val="center"/>
              <w:rPr>
                <w:color w:val="auto"/>
                <w:sz w:val="18"/>
                <w:szCs w:val="18"/>
              </w:rPr>
            </w:pPr>
            <w:r>
              <w:rPr>
                <w:color w:val="auto"/>
                <w:sz w:val="18"/>
                <w:szCs w:val="18"/>
              </w:rPr>
              <w:t>TS0000001</w:t>
            </w:r>
          </w:p>
        </w:tc>
        <w:tc>
          <w:tcPr>
            <w:tcW w:w="709" w:type="dxa"/>
            <w:vAlign w:val="center"/>
          </w:tcPr>
          <w:p w14:paraId="74841339">
            <w:pPr>
              <w:jc w:val="center"/>
              <w:rPr>
                <w:color w:val="auto"/>
                <w:sz w:val="18"/>
                <w:szCs w:val="18"/>
              </w:rPr>
            </w:pPr>
            <w:r>
              <w:rPr>
                <w:color w:val="auto"/>
                <w:sz w:val="18"/>
                <w:szCs w:val="18"/>
              </w:rPr>
              <w:t>2</w:t>
            </w:r>
          </w:p>
        </w:tc>
        <w:tc>
          <w:tcPr>
            <w:tcW w:w="709" w:type="dxa"/>
            <w:vAlign w:val="center"/>
          </w:tcPr>
          <w:p w14:paraId="42E9DFCF">
            <w:pPr>
              <w:jc w:val="center"/>
              <w:rPr>
                <w:color w:val="auto"/>
                <w:sz w:val="18"/>
                <w:szCs w:val="18"/>
              </w:rPr>
            </w:pPr>
            <w:r>
              <w:rPr>
                <w:color w:val="auto"/>
                <w:sz w:val="18"/>
                <w:szCs w:val="18"/>
              </w:rPr>
              <w:t>1</w:t>
            </w:r>
          </w:p>
        </w:tc>
        <w:tc>
          <w:tcPr>
            <w:tcW w:w="1045" w:type="dxa"/>
            <w:vAlign w:val="center"/>
          </w:tcPr>
          <w:p w14:paraId="33A14ECB">
            <w:pPr>
              <w:jc w:val="center"/>
              <w:rPr>
                <w:color w:val="auto"/>
                <w:sz w:val="18"/>
                <w:szCs w:val="18"/>
              </w:rPr>
            </w:pPr>
            <w:r>
              <w:rPr>
                <w:rFonts w:hint="eastAsia"/>
                <w:color w:val="auto"/>
                <w:sz w:val="18"/>
                <w:szCs w:val="18"/>
              </w:rPr>
              <w:t>考查</w:t>
            </w:r>
          </w:p>
        </w:tc>
      </w:tr>
      <w:tr w14:paraId="465CAD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6633FD1">
            <w:pPr>
              <w:jc w:val="center"/>
              <w:rPr>
                <w:b/>
                <w:color w:val="auto"/>
                <w:sz w:val="18"/>
                <w:szCs w:val="18"/>
              </w:rPr>
            </w:pPr>
          </w:p>
        </w:tc>
        <w:tc>
          <w:tcPr>
            <w:tcW w:w="1226" w:type="dxa"/>
            <w:vMerge w:val="continue"/>
            <w:vAlign w:val="center"/>
          </w:tcPr>
          <w:p w14:paraId="500D4526">
            <w:pPr>
              <w:jc w:val="center"/>
              <w:rPr>
                <w:b/>
                <w:color w:val="auto"/>
                <w:sz w:val="18"/>
                <w:szCs w:val="18"/>
              </w:rPr>
            </w:pPr>
          </w:p>
        </w:tc>
        <w:tc>
          <w:tcPr>
            <w:tcW w:w="3516" w:type="dxa"/>
            <w:vAlign w:val="center"/>
          </w:tcPr>
          <w:p w14:paraId="281C873D">
            <w:pPr>
              <w:rPr>
                <w:color w:val="auto"/>
                <w:sz w:val="18"/>
                <w:szCs w:val="18"/>
              </w:rPr>
            </w:pPr>
            <w:r>
              <w:rPr>
                <w:color w:val="auto"/>
                <w:sz w:val="18"/>
                <w:szCs w:val="18"/>
              </w:rPr>
              <w:t>通用学术英语</w:t>
            </w:r>
          </w:p>
        </w:tc>
        <w:tc>
          <w:tcPr>
            <w:tcW w:w="1081" w:type="dxa"/>
            <w:vAlign w:val="center"/>
          </w:tcPr>
          <w:p w14:paraId="542FF727">
            <w:pPr>
              <w:jc w:val="center"/>
              <w:rPr>
                <w:color w:val="auto"/>
                <w:sz w:val="18"/>
                <w:szCs w:val="18"/>
              </w:rPr>
            </w:pPr>
            <w:r>
              <w:rPr>
                <w:color w:val="auto"/>
                <w:sz w:val="18"/>
                <w:szCs w:val="18"/>
              </w:rPr>
              <w:t>TS0000002</w:t>
            </w:r>
          </w:p>
        </w:tc>
        <w:tc>
          <w:tcPr>
            <w:tcW w:w="709" w:type="dxa"/>
            <w:vAlign w:val="center"/>
          </w:tcPr>
          <w:p w14:paraId="5B2F70F8">
            <w:pPr>
              <w:jc w:val="center"/>
              <w:rPr>
                <w:color w:val="auto"/>
                <w:sz w:val="18"/>
                <w:szCs w:val="18"/>
              </w:rPr>
            </w:pPr>
            <w:r>
              <w:rPr>
                <w:color w:val="auto"/>
                <w:sz w:val="18"/>
                <w:szCs w:val="18"/>
              </w:rPr>
              <w:t>2</w:t>
            </w:r>
          </w:p>
        </w:tc>
        <w:tc>
          <w:tcPr>
            <w:tcW w:w="709" w:type="dxa"/>
            <w:vAlign w:val="center"/>
          </w:tcPr>
          <w:p w14:paraId="15978C6C">
            <w:pPr>
              <w:jc w:val="center"/>
              <w:rPr>
                <w:color w:val="auto"/>
                <w:sz w:val="18"/>
                <w:szCs w:val="18"/>
              </w:rPr>
            </w:pPr>
            <w:r>
              <w:rPr>
                <w:color w:val="auto"/>
                <w:sz w:val="18"/>
                <w:szCs w:val="18"/>
              </w:rPr>
              <w:t>1</w:t>
            </w:r>
          </w:p>
        </w:tc>
        <w:tc>
          <w:tcPr>
            <w:tcW w:w="1045" w:type="dxa"/>
            <w:vAlign w:val="center"/>
          </w:tcPr>
          <w:p w14:paraId="4867DBF5">
            <w:pPr>
              <w:jc w:val="center"/>
              <w:rPr>
                <w:color w:val="auto"/>
                <w:sz w:val="18"/>
                <w:szCs w:val="18"/>
              </w:rPr>
            </w:pPr>
            <w:r>
              <w:rPr>
                <w:rFonts w:hint="eastAsia"/>
                <w:color w:val="auto"/>
                <w:sz w:val="18"/>
                <w:szCs w:val="18"/>
              </w:rPr>
              <w:t>考查</w:t>
            </w:r>
          </w:p>
        </w:tc>
      </w:tr>
      <w:tr w14:paraId="4BB68E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EE8AF31">
            <w:pPr>
              <w:jc w:val="center"/>
              <w:rPr>
                <w:b/>
                <w:color w:val="auto"/>
                <w:sz w:val="18"/>
                <w:szCs w:val="18"/>
              </w:rPr>
            </w:pPr>
          </w:p>
        </w:tc>
        <w:tc>
          <w:tcPr>
            <w:tcW w:w="1226" w:type="dxa"/>
            <w:vMerge w:val="restart"/>
            <w:vAlign w:val="center"/>
          </w:tcPr>
          <w:p w14:paraId="54DC40E3">
            <w:pPr>
              <w:jc w:val="center"/>
              <w:rPr>
                <w:b/>
                <w:color w:val="auto"/>
                <w:sz w:val="18"/>
                <w:szCs w:val="18"/>
                <w:highlight w:val="none"/>
              </w:rPr>
            </w:pPr>
            <w:r>
              <w:rPr>
                <w:b/>
                <w:color w:val="auto"/>
                <w:sz w:val="18"/>
                <w:szCs w:val="18"/>
                <w:highlight w:val="none"/>
              </w:rPr>
              <w:t>学科基础课</w:t>
            </w:r>
          </w:p>
          <w:p w14:paraId="1E118FCA">
            <w:pPr>
              <w:jc w:val="center"/>
              <w:rPr>
                <w:b/>
                <w:color w:val="auto"/>
                <w:sz w:val="18"/>
                <w:szCs w:val="18"/>
                <w:highlight w:val="none"/>
              </w:rPr>
            </w:pPr>
            <w:r>
              <w:rPr>
                <w:b/>
                <w:color w:val="auto"/>
                <w:sz w:val="18"/>
                <w:szCs w:val="18"/>
                <w:highlight w:val="none"/>
              </w:rPr>
              <w:t>（</w:t>
            </w:r>
            <w:r>
              <w:rPr>
                <w:rFonts w:hint="eastAsia"/>
                <w:b/>
                <w:color w:val="auto"/>
                <w:sz w:val="18"/>
                <w:szCs w:val="18"/>
                <w:highlight w:val="none"/>
                <w:lang w:val="en-US" w:eastAsia="zh-CN"/>
              </w:rPr>
              <w:t>6</w:t>
            </w:r>
            <w:r>
              <w:rPr>
                <w:b/>
                <w:color w:val="auto"/>
                <w:sz w:val="18"/>
                <w:szCs w:val="18"/>
                <w:highlight w:val="none"/>
              </w:rPr>
              <w:t>学分）</w:t>
            </w:r>
          </w:p>
        </w:tc>
        <w:tc>
          <w:tcPr>
            <w:tcW w:w="3516" w:type="dxa"/>
            <w:vAlign w:val="center"/>
          </w:tcPr>
          <w:p w14:paraId="708818B1">
            <w:pPr>
              <w:rPr>
                <w:color w:val="auto"/>
                <w:sz w:val="18"/>
                <w:szCs w:val="18"/>
                <w:highlight w:val="yellow"/>
              </w:rPr>
            </w:pPr>
            <w:r>
              <w:rPr>
                <w:color w:val="auto"/>
                <w:sz w:val="18"/>
                <w:szCs w:val="18"/>
                <w:highlight w:val="none"/>
              </w:rPr>
              <w:t>学术道德与论文写作</w:t>
            </w:r>
          </w:p>
        </w:tc>
        <w:tc>
          <w:tcPr>
            <w:tcW w:w="1081" w:type="dxa"/>
            <w:vAlign w:val="center"/>
          </w:tcPr>
          <w:p w14:paraId="16DDCBAB">
            <w:pPr>
              <w:jc w:val="center"/>
              <w:rPr>
                <w:rFonts w:hint="default" w:eastAsia="宋体"/>
                <w:color w:val="auto"/>
                <w:sz w:val="18"/>
                <w:szCs w:val="18"/>
                <w:lang w:val="en-US" w:eastAsia="zh-CN"/>
              </w:rPr>
            </w:pPr>
            <w:r>
              <w:rPr>
                <w:color w:val="auto"/>
                <w:sz w:val="18"/>
                <w:szCs w:val="18"/>
              </w:rPr>
              <w:t>XS04</w:t>
            </w:r>
            <w:r>
              <w:rPr>
                <w:rFonts w:hint="eastAsia"/>
                <w:color w:val="auto"/>
                <w:sz w:val="18"/>
                <w:szCs w:val="18"/>
                <w:lang w:val="en-US" w:eastAsia="zh-CN"/>
              </w:rPr>
              <w:t>01101</w:t>
            </w:r>
          </w:p>
        </w:tc>
        <w:tc>
          <w:tcPr>
            <w:tcW w:w="709" w:type="dxa"/>
            <w:vAlign w:val="center"/>
          </w:tcPr>
          <w:p w14:paraId="4780DCE6">
            <w:pPr>
              <w:jc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2</w:t>
            </w:r>
          </w:p>
        </w:tc>
        <w:tc>
          <w:tcPr>
            <w:tcW w:w="709" w:type="dxa"/>
            <w:vAlign w:val="center"/>
          </w:tcPr>
          <w:p w14:paraId="52737922">
            <w:pPr>
              <w:jc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1</w:t>
            </w:r>
          </w:p>
        </w:tc>
        <w:tc>
          <w:tcPr>
            <w:tcW w:w="1045" w:type="dxa"/>
            <w:vAlign w:val="center"/>
          </w:tcPr>
          <w:p w14:paraId="6D1D07DA">
            <w:pPr>
              <w:jc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考试</w:t>
            </w:r>
          </w:p>
        </w:tc>
      </w:tr>
      <w:tr w14:paraId="27E270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2AEE3B">
            <w:pPr>
              <w:jc w:val="center"/>
              <w:rPr>
                <w:b/>
                <w:color w:val="auto"/>
                <w:sz w:val="18"/>
                <w:szCs w:val="18"/>
              </w:rPr>
            </w:pPr>
          </w:p>
        </w:tc>
        <w:tc>
          <w:tcPr>
            <w:tcW w:w="1226" w:type="dxa"/>
            <w:vMerge w:val="continue"/>
            <w:vAlign w:val="center"/>
          </w:tcPr>
          <w:p w14:paraId="35B7F650">
            <w:pPr>
              <w:jc w:val="center"/>
              <w:rPr>
                <w:b/>
                <w:color w:val="auto"/>
                <w:sz w:val="18"/>
                <w:szCs w:val="18"/>
              </w:rPr>
            </w:pPr>
          </w:p>
        </w:tc>
        <w:tc>
          <w:tcPr>
            <w:tcW w:w="3516" w:type="dxa"/>
            <w:vAlign w:val="center"/>
          </w:tcPr>
          <w:p w14:paraId="479F16EA">
            <w:pPr>
              <w:rPr>
                <w:rFonts w:hint="eastAsia"/>
                <w:color w:val="auto"/>
                <w:sz w:val="18"/>
                <w:szCs w:val="18"/>
                <w:highlight w:val="yellow"/>
                <w:lang w:val="en-US" w:eastAsia="zh-CN"/>
              </w:rPr>
            </w:pPr>
            <w:r>
              <w:rPr>
                <w:rFonts w:hint="eastAsia"/>
                <w:color w:val="auto"/>
                <w:sz w:val="18"/>
                <w:szCs w:val="18"/>
                <w:highlight w:val="none"/>
              </w:rPr>
              <w:t>高级运筹学</w:t>
            </w:r>
          </w:p>
        </w:tc>
        <w:tc>
          <w:tcPr>
            <w:tcW w:w="1081" w:type="dxa"/>
            <w:shd w:val="clear" w:color="auto" w:fill="auto"/>
            <w:vAlign w:val="center"/>
          </w:tcPr>
          <w:p w14:paraId="66F9D74A">
            <w:pPr>
              <w:jc w:val="center"/>
              <w:rPr>
                <w:rFonts w:hint="eastAsia" w:eastAsia="宋体"/>
                <w:color w:val="auto"/>
                <w:sz w:val="18"/>
                <w:szCs w:val="18"/>
                <w:lang w:val="en-US" w:eastAsia="zh-CN"/>
              </w:rPr>
            </w:pPr>
            <w:r>
              <w:rPr>
                <w:rFonts w:hint="eastAsia"/>
                <w:color w:val="auto"/>
                <w:sz w:val="18"/>
                <w:szCs w:val="18"/>
              </w:rPr>
              <w:t>XS0403</w:t>
            </w:r>
            <w:r>
              <w:rPr>
                <w:rFonts w:hint="eastAsia"/>
                <w:color w:val="auto"/>
                <w:sz w:val="18"/>
                <w:szCs w:val="18"/>
                <w:lang w:val="en-US" w:eastAsia="zh-CN"/>
              </w:rPr>
              <w:t>0</w:t>
            </w:r>
            <w:r>
              <w:rPr>
                <w:rFonts w:hint="eastAsia"/>
                <w:color w:val="auto"/>
                <w:sz w:val="18"/>
                <w:szCs w:val="18"/>
              </w:rPr>
              <w:t>0</w:t>
            </w:r>
            <w:r>
              <w:rPr>
                <w:rFonts w:hint="eastAsia"/>
                <w:color w:val="auto"/>
                <w:sz w:val="18"/>
                <w:szCs w:val="18"/>
                <w:lang w:val="en-US" w:eastAsia="zh-CN"/>
              </w:rPr>
              <w:t>5</w:t>
            </w:r>
          </w:p>
        </w:tc>
        <w:tc>
          <w:tcPr>
            <w:tcW w:w="709" w:type="dxa"/>
            <w:shd w:val="clear" w:color="auto" w:fill="auto"/>
            <w:vAlign w:val="center"/>
          </w:tcPr>
          <w:p w14:paraId="432F3B38">
            <w:pPr>
              <w:jc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2</w:t>
            </w:r>
          </w:p>
        </w:tc>
        <w:tc>
          <w:tcPr>
            <w:tcW w:w="709" w:type="dxa"/>
            <w:shd w:val="clear" w:color="auto" w:fill="auto"/>
            <w:vAlign w:val="center"/>
          </w:tcPr>
          <w:p w14:paraId="78244735">
            <w:pPr>
              <w:jc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1</w:t>
            </w:r>
          </w:p>
        </w:tc>
        <w:tc>
          <w:tcPr>
            <w:tcW w:w="1045" w:type="dxa"/>
            <w:vAlign w:val="center"/>
          </w:tcPr>
          <w:p w14:paraId="70B6364B">
            <w:pPr>
              <w:jc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考试</w:t>
            </w:r>
          </w:p>
        </w:tc>
      </w:tr>
      <w:tr w14:paraId="2D20A9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2A3EC1C">
            <w:pPr>
              <w:jc w:val="center"/>
              <w:rPr>
                <w:b/>
                <w:color w:val="auto"/>
                <w:sz w:val="18"/>
                <w:szCs w:val="18"/>
              </w:rPr>
            </w:pPr>
          </w:p>
        </w:tc>
        <w:tc>
          <w:tcPr>
            <w:tcW w:w="1226" w:type="dxa"/>
            <w:vMerge w:val="continue"/>
            <w:vAlign w:val="center"/>
          </w:tcPr>
          <w:p w14:paraId="42898971">
            <w:pPr>
              <w:jc w:val="center"/>
              <w:rPr>
                <w:b/>
                <w:color w:val="auto"/>
                <w:sz w:val="18"/>
                <w:szCs w:val="18"/>
              </w:rPr>
            </w:pPr>
          </w:p>
        </w:tc>
        <w:tc>
          <w:tcPr>
            <w:tcW w:w="3516" w:type="dxa"/>
            <w:vAlign w:val="center"/>
          </w:tcPr>
          <w:p w14:paraId="75DD5501">
            <w:pPr>
              <w:rPr>
                <w:rFonts w:hint="default"/>
                <w:color w:val="auto"/>
                <w:sz w:val="18"/>
                <w:szCs w:val="18"/>
                <w:highlight w:val="yellow"/>
                <w:lang w:val="en-US" w:eastAsia="zh-CN"/>
              </w:rPr>
            </w:pPr>
            <w:r>
              <w:rPr>
                <w:rFonts w:hint="eastAsia"/>
                <w:color w:val="auto"/>
                <w:sz w:val="18"/>
                <w:szCs w:val="18"/>
                <w:highlight w:val="none"/>
                <w:lang w:val="en-US" w:eastAsia="zh-CN"/>
              </w:rPr>
              <w:t>管理科学研究方法</w:t>
            </w:r>
          </w:p>
        </w:tc>
        <w:tc>
          <w:tcPr>
            <w:tcW w:w="1081" w:type="dxa"/>
            <w:shd w:val="clear" w:color="auto" w:fill="auto"/>
            <w:vAlign w:val="center"/>
          </w:tcPr>
          <w:p w14:paraId="22A66CCE">
            <w:pPr>
              <w:jc w:val="center"/>
              <w:rPr>
                <w:rFonts w:hint="default" w:eastAsia="宋体"/>
                <w:color w:val="auto"/>
                <w:sz w:val="18"/>
                <w:szCs w:val="18"/>
                <w:lang w:val="en-US" w:eastAsia="zh-CN"/>
              </w:rPr>
            </w:pPr>
            <w:r>
              <w:rPr>
                <w:rFonts w:hint="eastAsia"/>
                <w:color w:val="auto"/>
                <w:sz w:val="18"/>
                <w:szCs w:val="18"/>
              </w:rPr>
              <w:t>XS0403</w:t>
            </w:r>
            <w:r>
              <w:rPr>
                <w:rFonts w:hint="eastAsia"/>
                <w:color w:val="auto"/>
                <w:sz w:val="18"/>
                <w:szCs w:val="18"/>
                <w:lang w:val="en-US" w:eastAsia="zh-CN"/>
              </w:rPr>
              <w:t>203</w:t>
            </w:r>
          </w:p>
        </w:tc>
        <w:tc>
          <w:tcPr>
            <w:tcW w:w="709" w:type="dxa"/>
            <w:shd w:val="clear" w:color="auto" w:fill="auto"/>
            <w:vAlign w:val="center"/>
          </w:tcPr>
          <w:p w14:paraId="787CCF2A">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4D4C6398">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2</w:t>
            </w:r>
          </w:p>
        </w:tc>
        <w:tc>
          <w:tcPr>
            <w:tcW w:w="1045" w:type="dxa"/>
            <w:vAlign w:val="center"/>
          </w:tcPr>
          <w:p w14:paraId="3450198C">
            <w:pPr>
              <w:jc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考试</w:t>
            </w:r>
          </w:p>
        </w:tc>
      </w:tr>
      <w:tr w14:paraId="0514B7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638ABBF">
            <w:pPr>
              <w:jc w:val="center"/>
              <w:rPr>
                <w:b/>
                <w:color w:val="auto"/>
                <w:sz w:val="18"/>
                <w:szCs w:val="18"/>
              </w:rPr>
            </w:pPr>
          </w:p>
        </w:tc>
        <w:tc>
          <w:tcPr>
            <w:tcW w:w="1226" w:type="dxa"/>
            <w:vMerge w:val="restart"/>
            <w:vAlign w:val="center"/>
          </w:tcPr>
          <w:p w14:paraId="1CF53C86">
            <w:pPr>
              <w:jc w:val="center"/>
              <w:rPr>
                <w:b/>
                <w:color w:val="auto"/>
                <w:sz w:val="18"/>
                <w:szCs w:val="18"/>
                <w:highlight w:val="none"/>
              </w:rPr>
            </w:pPr>
            <w:r>
              <w:rPr>
                <w:b/>
                <w:color w:val="auto"/>
                <w:sz w:val="18"/>
                <w:szCs w:val="18"/>
                <w:highlight w:val="none"/>
              </w:rPr>
              <w:t>专业必修课</w:t>
            </w:r>
          </w:p>
          <w:p w14:paraId="5E88C241">
            <w:pPr>
              <w:jc w:val="center"/>
              <w:rPr>
                <w:b/>
                <w:color w:val="auto"/>
                <w:sz w:val="18"/>
                <w:szCs w:val="18"/>
                <w:highlight w:val="none"/>
              </w:rPr>
            </w:pPr>
            <w:r>
              <w:rPr>
                <w:b/>
                <w:color w:val="auto"/>
                <w:sz w:val="18"/>
                <w:szCs w:val="18"/>
                <w:highlight w:val="none"/>
              </w:rPr>
              <w:t>（</w:t>
            </w:r>
            <w:r>
              <w:rPr>
                <w:rFonts w:hint="eastAsia"/>
                <w:b/>
                <w:color w:val="auto"/>
                <w:sz w:val="18"/>
                <w:szCs w:val="18"/>
                <w:highlight w:val="none"/>
                <w:lang w:val="en-US" w:eastAsia="zh-CN"/>
              </w:rPr>
              <w:t>11</w:t>
            </w:r>
            <w:r>
              <w:rPr>
                <w:b/>
                <w:color w:val="auto"/>
                <w:sz w:val="18"/>
                <w:szCs w:val="18"/>
                <w:highlight w:val="none"/>
              </w:rPr>
              <w:t>学分）</w:t>
            </w:r>
          </w:p>
        </w:tc>
        <w:tc>
          <w:tcPr>
            <w:tcW w:w="3516" w:type="dxa"/>
            <w:vAlign w:val="center"/>
          </w:tcPr>
          <w:p w14:paraId="1163F27B">
            <w:pPr>
              <w:adjustRightInd w:val="0"/>
              <w:snapToGrid w:val="0"/>
              <w:rPr>
                <w:color w:val="auto"/>
                <w:highlight w:val="none"/>
              </w:rPr>
            </w:pPr>
            <w:r>
              <w:rPr>
                <w:rFonts w:hint="eastAsia"/>
                <w:color w:val="auto"/>
                <w:sz w:val="18"/>
                <w:szCs w:val="18"/>
                <w:highlight w:val="none"/>
              </w:rPr>
              <w:t>高级应用统计</w:t>
            </w:r>
          </w:p>
        </w:tc>
        <w:tc>
          <w:tcPr>
            <w:tcW w:w="1081" w:type="dxa"/>
            <w:vAlign w:val="center"/>
          </w:tcPr>
          <w:p w14:paraId="57275473">
            <w:pPr>
              <w:jc w:val="center"/>
              <w:rPr>
                <w:rFonts w:hint="default" w:eastAsia="宋体"/>
                <w:color w:val="auto"/>
                <w:sz w:val="18"/>
                <w:szCs w:val="18"/>
                <w:lang w:val="en-US" w:eastAsia="zh-CN"/>
              </w:rPr>
            </w:pPr>
            <w:r>
              <w:rPr>
                <w:color w:val="auto"/>
                <w:sz w:val="18"/>
                <w:szCs w:val="18"/>
              </w:rPr>
              <w:t>XS04030</w:t>
            </w:r>
            <w:r>
              <w:rPr>
                <w:rFonts w:hint="eastAsia"/>
                <w:color w:val="auto"/>
                <w:sz w:val="18"/>
                <w:szCs w:val="18"/>
                <w:lang w:val="en-US" w:eastAsia="zh-CN"/>
              </w:rPr>
              <w:t>02</w:t>
            </w:r>
          </w:p>
        </w:tc>
        <w:tc>
          <w:tcPr>
            <w:tcW w:w="709" w:type="dxa"/>
            <w:vAlign w:val="center"/>
          </w:tcPr>
          <w:p w14:paraId="78605C25">
            <w:pPr>
              <w:jc w:val="center"/>
              <w:rPr>
                <w:color w:val="auto"/>
              </w:rPr>
            </w:pPr>
            <w:r>
              <w:rPr>
                <w:color w:val="auto"/>
              </w:rPr>
              <w:t>3</w:t>
            </w:r>
          </w:p>
        </w:tc>
        <w:tc>
          <w:tcPr>
            <w:tcW w:w="709" w:type="dxa"/>
            <w:vAlign w:val="center"/>
          </w:tcPr>
          <w:p w14:paraId="36155AD3">
            <w:pPr>
              <w:jc w:val="center"/>
              <w:rPr>
                <w:color w:val="auto"/>
              </w:rPr>
            </w:pPr>
            <w:r>
              <w:rPr>
                <w:color w:val="auto"/>
              </w:rPr>
              <w:t>1</w:t>
            </w:r>
          </w:p>
        </w:tc>
        <w:tc>
          <w:tcPr>
            <w:tcW w:w="1045" w:type="dxa"/>
            <w:vAlign w:val="center"/>
          </w:tcPr>
          <w:p w14:paraId="729D6E2F">
            <w:pPr>
              <w:jc w:val="center"/>
              <w:rPr>
                <w:color w:val="auto"/>
                <w:sz w:val="18"/>
                <w:szCs w:val="18"/>
              </w:rPr>
            </w:pPr>
            <w:r>
              <w:rPr>
                <w:rFonts w:hint="eastAsia"/>
                <w:color w:val="auto"/>
                <w:sz w:val="18"/>
                <w:szCs w:val="18"/>
              </w:rPr>
              <w:t>考试</w:t>
            </w:r>
          </w:p>
        </w:tc>
      </w:tr>
      <w:tr w14:paraId="65DA32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0BC7925">
            <w:pPr>
              <w:jc w:val="center"/>
              <w:rPr>
                <w:b/>
                <w:color w:val="auto"/>
                <w:sz w:val="18"/>
                <w:szCs w:val="18"/>
              </w:rPr>
            </w:pPr>
          </w:p>
        </w:tc>
        <w:tc>
          <w:tcPr>
            <w:tcW w:w="1226" w:type="dxa"/>
            <w:vMerge w:val="continue"/>
            <w:vAlign w:val="center"/>
          </w:tcPr>
          <w:p w14:paraId="1CDB520C">
            <w:pPr>
              <w:jc w:val="center"/>
              <w:rPr>
                <w:b/>
                <w:color w:val="auto"/>
                <w:sz w:val="18"/>
                <w:szCs w:val="18"/>
              </w:rPr>
            </w:pPr>
          </w:p>
        </w:tc>
        <w:tc>
          <w:tcPr>
            <w:tcW w:w="3516" w:type="dxa"/>
            <w:vAlign w:val="center"/>
          </w:tcPr>
          <w:p w14:paraId="595CCF16">
            <w:pPr>
              <w:rPr>
                <w:i/>
                <w:color w:val="auto"/>
                <w:sz w:val="18"/>
                <w:szCs w:val="18"/>
                <w:highlight w:val="none"/>
              </w:rPr>
            </w:pPr>
            <w:r>
              <w:rPr>
                <w:rFonts w:hint="eastAsia"/>
                <w:color w:val="auto"/>
                <w:sz w:val="18"/>
                <w:szCs w:val="18"/>
                <w:highlight w:val="none"/>
              </w:rPr>
              <w:t>计量经济学</w:t>
            </w:r>
          </w:p>
        </w:tc>
        <w:tc>
          <w:tcPr>
            <w:tcW w:w="1081" w:type="dxa"/>
            <w:vAlign w:val="center"/>
          </w:tcPr>
          <w:p w14:paraId="20146B63">
            <w:pPr>
              <w:jc w:val="center"/>
              <w:rPr>
                <w:rFonts w:hint="eastAsia" w:eastAsia="宋体"/>
                <w:color w:val="auto"/>
                <w:sz w:val="18"/>
                <w:szCs w:val="18"/>
                <w:lang w:val="en-US" w:eastAsia="zh-CN"/>
              </w:rPr>
            </w:pPr>
            <w:r>
              <w:rPr>
                <w:rFonts w:hint="eastAsia"/>
                <w:color w:val="auto"/>
                <w:sz w:val="18"/>
                <w:szCs w:val="18"/>
              </w:rPr>
              <w:t>XS040300</w:t>
            </w:r>
            <w:r>
              <w:rPr>
                <w:rFonts w:hint="eastAsia"/>
                <w:color w:val="auto"/>
                <w:sz w:val="18"/>
                <w:szCs w:val="18"/>
                <w:lang w:val="en-US" w:eastAsia="zh-CN"/>
              </w:rPr>
              <w:t>3</w:t>
            </w:r>
          </w:p>
        </w:tc>
        <w:tc>
          <w:tcPr>
            <w:tcW w:w="709" w:type="dxa"/>
            <w:vAlign w:val="center"/>
          </w:tcPr>
          <w:p w14:paraId="7D134D5E">
            <w:pPr>
              <w:jc w:val="center"/>
              <w:rPr>
                <w:i/>
                <w:color w:val="auto"/>
                <w:sz w:val="18"/>
                <w:szCs w:val="18"/>
              </w:rPr>
            </w:pPr>
            <w:r>
              <w:rPr>
                <w:rFonts w:hint="eastAsia"/>
                <w:color w:val="auto"/>
                <w:sz w:val="18"/>
                <w:szCs w:val="18"/>
              </w:rPr>
              <w:t>3</w:t>
            </w:r>
          </w:p>
        </w:tc>
        <w:tc>
          <w:tcPr>
            <w:tcW w:w="709" w:type="dxa"/>
            <w:vAlign w:val="center"/>
          </w:tcPr>
          <w:p w14:paraId="3B2CD3E1">
            <w:pPr>
              <w:jc w:val="center"/>
              <w:rPr>
                <w:i/>
                <w:color w:val="auto"/>
                <w:sz w:val="18"/>
                <w:szCs w:val="18"/>
              </w:rPr>
            </w:pPr>
            <w:r>
              <w:rPr>
                <w:rFonts w:hint="eastAsia"/>
                <w:color w:val="auto"/>
                <w:sz w:val="18"/>
                <w:szCs w:val="18"/>
              </w:rPr>
              <w:t>1</w:t>
            </w:r>
          </w:p>
        </w:tc>
        <w:tc>
          <w:tcPr>
            <w:tcW w:w="1045" w:type="dxa"/>
            <w:vAlign w:val="center"/>
          </w:tcPr>
          <w:p w14:paraId="279E04C1">
            <w:pPr>
              <w:jc w:val="center"/>
              <w:rPr>
                <w:i/>
                <w:color w:val="auto"/>
                <w:sz w:val="18"/>
                <w:szCs w:val="18"/>
              </w:rPr>
            </w:pPr>
            <w:r>
              <w:rPr>
                <w:rFonts w:hint="eastAsia"/>
                <w:color w:val="auto"/>
                <w:sz w:val="18"/>
                <w:szCs w:val="18"/>
              </w:rPr>
              <w:t>考试</w:t>
            </w:r>
          </w:p>
        </w:tc>
      </w:tr>
      <w:tr w14:paraId="027C17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51C2034">
            <w:pPr>
              <w:jc w:val="center"/>
              <w:rPr>
                <w:b/>
                <w:color w:val="auto"/>
                <w:sz w:val="18"/>
                <w:szCs w:val="18"/>
              </w:rPr>
            </w:pPr>
          </w:p>
        </w:tc>
        <w:tc>
          <w:tcPr>
            <w:tcW w:w="1226" w:type="dxa"/>
            <w:vMerge w:val="continue"/>
            <w:vAlign w:val="center"/>
          </w:tcPr>
          <w:p w14:paraId="2C8A0534">
            <w:pPr>
              <w:jc w:val="center"/>
              <w:rPr>
                <w:b/>
                <w:color w:val="auto"/>
                <w:sz w:val="18"/>
                <w:szCs w:val="18"/>
              </w:rPr>
            </w:pPr>
          </w:p>
        </w:tc>
        <w:tc>
          <w:tcPr>
            <w:tcW w:w="3516" w:type="dxa"/>
            <w:vAlign w:val="center"/>
          </w:tcPr>
          <w:p w14:paraId="4B79A816">
            <w:pPr>
              <w:rPr>
                <w:i/>
                <w:color w:val="auto"/>
                <w:sz w:val="18"/>
                <w:szCs w:val="18"/>
                <w:highlight w:val="none"/>
              </w:rPr>
            </w:pPr>
            <w:r>
              <w:rPr>
                <w:rFonts w:hint="eastAsia"/>
                <w:color w:val="auto"/>
                <w:sz w:val="18"/>
                <w:szCs w:val="18"/>
                <w:highlight w:val="none"/>
              </w:rPr>
              <w:t>决策理论与方法</w:t>
            </w:r>
          </w:p>
        </w:tc>
        <w:tc>
          <w:tcPr>
            <w:tcW w:w="1081" w:type="dxa"/>
            <w:vAlign w:val="center"/>
          </w:tcPr>
          <w:p w14:paraId="03B8431B">
            <w:pPr>
              <w:jc w:val="center"/>
              <w:rPr>
                <w:rFonts w:hint="eastAsia" w:eastAsia="宋体"/>
                <w:i/>
                <w:color w:val="auto"/>
                <w:sz w:val="18"/>
                <w:szCs w:val="18"/>
                <w:lang w:val="en-US" w:eastAsia="zh-CN"/>
              </w:rPr>
            </w:pPr>
            <w:r>
              <w:rPr>
                <w:rFonts w:hint="eastAsia"/>
                <w:color w:val="auto"/>
                <w:sz w:val="18"/>
                <w:szCs w:val="18"/>
              </w:rPr>
              <w:t>XS040300</w:t>
            </w:r>
            <w:r>
              <w:rPr>
                <w:rFonts w:hint="eastAsia"/>
                <w:color w:val="auto"/>
                <w:sz w:val="18"/>
                <w:szCs w:val="18"/>
                <w:lang w:val="en-US" w:eastAsia="zh-CN"/>
              </w:rPr>
              <w:t>4</w:t>
            </w:r>
          </w:p>
        </w:tc>
        <w:tc>
          <w:tcPr>
            <w:tcW w:w="709" w:type="dxa"/>
            <w:vAlign w:val="center"/>
          </w:tcPr>
          <w:p w14:paraId="453A13CB">
            <w:pPr>
              <w:jc w:val="center"/>
              <w:rPr>
                <w:i/>
                <w:color w:val="auto"/>
                <w:sz w:val="18"/>
                <w:szCs w:val="18"/>
              </w:rPr>
            </w:pPr>
            <w:r>
              <w:rPr>
                <w:rFonts w:hint="eastAsia"/>
                <w:color w:val="auto"/>
                <w:sz w:val="18"/>
                <w:szCs w:val="18"/>
              </w:rPr>
              <w:t>3</w:t>
            </w:r>
          </w:p>
        </w:tc>
        <w:tc>
          <w:tcPr>
            <w:tcW w:w="709" w:type="dxa"/>
            <w:vAlign w:val="center"/>
          </w:tcPr>
          <w:p w14:paraId="5F2ED58F">
            <w:pPr>
              <w:jc w:val="center"/>
              <w:rPr>
                <w:i/>
                <w:color w:val="auto"/>
                <w:sz w:val="18"/>
                <w:szCs w:val="18"/>
              </w:rPr>
            </w:pPr>
            <w:r>
              <w:rPr>
                <w:rFonts w:hint="eastAsia"/>
                <w:color w:val="auto"/>
                <w:sz w:val="18"/>
                <w:szCs w:val="18"/>
              </w:rPr>
              <w:t>2</w:t>
            </w:r>
          </w:p>
        </w:tc>
        <w:tc>
          <w:tcPr>
            <w:tcW w:w="1045" w:type="dxa"/>
            <w:vAlign w:val="center"/>
          </w:tcPr>
          <w:p w14:paraId="5A2DA255">
            <w:pPr>
              <w:jc w:val="center"/>
              <w:rPr>
                <w:i/>
                <w:color w:val="auto"/>
                <w:sz w:val="18"/>
                <w:szCs w:val="18"/>
              </w:rPr>
            </w:pPr>
            <w:r>
              <w:rPr>
                <w:rFonts w:hint="eastAsia"/>
                <w:color w:val="auto"/>
                <w:sz w:val="18"/>
                <w:szCs w:val="18"/>
              </w:rPr>
              <w:t>考试</w:t>
            </w:r>
          </w:p>
        </w:tc>
      </w:tr>
      <w:tr w14:paraId="6F75B6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6D5B563">
            <w:pPr>
              <w:jc w:val="center"/>
              <w:rPr>
                <w:b/>
                <w:color w:val="auto"/>
                <w:sz w:val="18"/>
                <w:szCs w:val="18"/>
              </w:rPr>
            </w:pPr>
          </w:p>
        </w:tc>
        <w:tc>
          <w:tcPr>
            <w:tcW w:w="1226" w:type="dxa"/>
            <w:vMerge w:val="continue"/>
            <w:vAlign w:val="center"/>
          </w:tcPr>
          <w:p w14:paraId="7A77FAFF">
            <w:pPr>
              <w:jc w:val="center"/>
              <w:rPr>
                <w:b/>
                <w:color w:val="auto"/>
                <w:sz w:val="18"/>
                <w:szCs w:val="18"/>
              </w:rPr>
            </w:pPr>
          </w:p>
        </w:tc>
        <w:tc>
          <w:tcPr>
            <w:tcW w:w="3516" w:type="dxa"/>
            <w:vAlign w:val="center"/>
          </w:tcPr>
          <w:p w14:paraId="749B1C46">
            <w:pPr>
              <w:rPr>
                <w:i/>
                <w:color w:val="auto"/>
                <w:sz w:val="18"/>
                <w:szCs w:val="18"/>
                <w:highlight w:val="none"/>
              </w:rPr>
            </w:pPr>
            <w:r>
              <w:rPr>
                <w:rFonts w:hint="eastAsia"/>
                <w:color w:val="auto"/>
                <w:sz w:val="18"/>
                <w:szCs w:val="18"/>
                <w:highlight w:val="none"/>
              </w:rPr>
              <w:t>系统科学与系统工程</w:t>
            </w:r>
          </w:p>
        </w:tc>
        <w:tc>
          <w:tcPr>
            <w:tcW w:w="1081" w:type="dxa"/>
            <w:vAlign w:val="center"/>
          </w:tcPr>
          <w:p w14:paraId="7415A90E">
            <w:pPr>
              <w:jc w:val="center"/>
              <w:rPr>
                <w:rFonts w:hint="eastAsia" w:eastAsia="宋体"/>
                <w:i/>
                <w:color w:val="auto"/>
                <w:sz w:val="18"/>
                <w:szCs w:val="18"/>
                <w:lang w:val="en-US" w:eastAsia="zh-CN"/>
              </w:rPr>
            </w:pPr>
            <w:r>
              <w:rPr>
                <w:rFonts w:hint="eastAsia"/>
                <w:color w:val="auto"/>
                <w:sz w:val="18"/>
                <w:szCs w:val="18"/>
              </w:rPr>
              <w:t>XS040300</w:t>
            </w:r>
            <w:r>
              <w:rPr>
                <w:rFonts w:hint="eastAsia"/>
                <w:color w:val="auto"/>
                <w:sz w:val="18"/>
                <w:szCs w:val="18"/>
                <w:lang w:val="en-US" w:eastAsia="zh-CN"/>
              </w:rPr>
              <w:t>6</w:t>
            </w:r>
          </w:p>
        </w:tc>
        <w:tc>
          <w:tcPr>
            <w:tcW w:w="709" w:type="dxa"/>
            <w:vAlign w:val="center"/>
          </w:tcPr>
          <w:p w14:paraId="2A1A1AAE">
            <w:pPr>
              <w:jc w:val="center"/>
              <w:rPr>
                <w:i/>
                <w:color w:val="auto"/>
                <w:sz w:val="18"/>
                <w:szCs w:val="18"/>
              </w:rPr>
            </w:pPr>
            <w:r>
              <w:rPr>
                <w:rFonts w:hint="eastAsia"/>
                <w:color w:val="auto"/>
                <w:sz w:val="18"/>
                <w:szCs w:val="18"/>
              </w:rPr>
              <w:t>2</w:t>
            </w:r>
          </w:p>
        </w:tc>
        <w:tc>
          <w:tcPr>
            <w:tcW w:w="709" w:type="dxa"/>
            <w:vAlign w:val="center"/>
          </w:tcPr>
          <w:p w14:paraId="485E274E">
            <w:pPr>
              <w:jc w:val="center"/>
              <w:rPr>
                <w:rFonts w:hint="eastAsia" w:eastAsia="宋体"/>
                <w:i/>
                <w:color w:val="auto"/>
                <w:sz w:val="18"/>
                <w:szCs w:val="18"/>
                <w:lang w:eastAsia="zh-CN"/>
              </w:rPr>
            </w:pPr>
            <w:r>
              <w:rPr>
                <w:rFonts w:hint="eastAsia"/>
                <w:color w:val="auto"/>
                <w:sz w:val="18"/>
                <w:szCs w:val="18"/>
                <w:lang w:val="en-US" w:eastAsia="zh-CN"/>
              </w:rPr>
              <w:t>2</w:t>
            </w:r>
          </w:p>
        </w:tc>
        <w:tc>
          <w:tcPr>
            <w:tcW w:w="1045" w:type="dxa"/>
            <w:vAlign w:val="center"/>
          </w:tcPr>
          <w:p w14:paraId="7A65721C">
            <w:pPr>
              <w:jc w:val="center"/>
              <w:rPr>
                <w:i/>
                <w:color w:val="auto"/>
                <w:sz w:val="18"/>
                <w:szCs w:val="18"/>
              </w:rPr>
            </w:pPr>
            <w:r>
              <w:rPr>
                <w:rFonts w:hint="eastAsia"/>
                <w:color w:val="auto"/>
                <w:sz w:val="18"/>
                <w:szCs w:val="18"/>
              </w:rPr>
              <w:t>考试</w:t>
            </w:r>
          </w:p>
        </w:tc>
      </w:tr>
      <w:tr w14:paraId="3AC11F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A367C3A">
            <w:pPr>
              <w:jc w:val="center"/>
              <w:rPr>
                <w:b/>
                <w:color w:val="auto"/>
                <w:sz w:val="18"/>
                <w:szCs w:val="18"/>
              </w:rPr>
            </w:pPr>
            <w:r>
              <w:rPr>
                <w:b/>
                <w:color w:val="auto"/>
                <w:sz w:val="18"/>
                <w:szCs w:val="18"/>
              </w:rPr>
              <w:t>非学位课</w:t>
            </w:r>
          </w:p>
        </w:tc>
        <w:tc>
          <w:tcPr>
            <w:tcW w:w="1226" w:type="dxa"/>
            <w:vMerge w:val="restart"/>
            <w:vAlign w:val="center"/>
          </w:tcPr>
          <w:p w14:paraId="3920361B">
            <w:pPr>
              <w:jc w:val="center"/>
              <w:rPr>
                <w:b/>
                <w:color w:val="auto"/>
                <w:sz w:val="18"/>
                <w:szCs w:val="18"/>
              </w:rPr>
            </w:pPr>
            <w:r>
              <w:rPr>
                <w:b/>
                <w:color w:val="auto"/>
                <w:sz w:val="18"/>
                <w:szCs w:val="18"/>
              </w:rPr>
              <w:t>公共通识课</w:t>
            </w:r>
          </w:p>
          <w:p w14:paraId="1649B532">
            <w:pPr>
              <w:jc w:val="center"/>
              <w:rPr>
                <w:b/>
                <w:color w:val="auto"/>
                <w:sz w:val="18"/>
                <w:szCs w:val="18"/>
              </w:rPr>
            </w:pPr>
            <w:r>
              <w:rPr>
                <w:b/>
                <w:color w:val="auto"/>
                <w:sz w:val="18"/>
                <w:szCs w:val="18"/>
              </w:rPr>
              <w:t>（2学分）</w:t>
            </w:r>
          </w:p>
        </w:tc>
        <w:tc>
          <w:tcPr>
            <w:tcW w:w="3516" w:type="dxa"/>
            <w:vAlign w:val="center"/>
          </w:tcPr>
          <w:p w14:paraId="72719168">
            <w:pPr>
              <w:rPr>
                <w:color w:val="auto"/>
                <w:sz w:val="18"/>
                <w:szCs w:val="18"/>
              </w:rPr>
            </w:pPr>
            <w:r>
              <w:rPr>
                <w:color w:val="auto"/>
                <w:sz w:val="18"/>
                <w:szCs w:val="18"/>
              </w:rPr>
              <w:t>《习近平谈治国理政》研读</w:t>
            </w:r>
          </w:p>
        </w:tc>
        <w:tc>
          <w:tcPr>
            <w:tcW w:w="1081" w:type="dxa"/>
            <w:vAlign w:val="center"/>
          </w:tcPr>
          <w:p w14:paraId="7CA265EB">
            <w:pPr>
              <w:jc w:val="center"/>
              <w:rPr>
                <w:color w:val="auto"/>
                <w:sz w:val="18"/>
                <w:szCs w:val="18"/>
              </w:rPr>
            </w:pPr>
            <w:r>
              <w:rPr>
                <w:color w:val="auto"/>
                <w:sz w:val="18"/>
                <w:szCs w:val="18"/>
              </w:rPr>
              <w:t>TT0000101</w:t>
            </w:r>
          </w:p>
        </w:tc>
        <w:tc>
          <w:tcPr>
            <w:tcW w:w="709" w:type="dxa"/>
            <w:vAlign w:val="center"/>
          </w:tcPr>
          <w:p w14:paraId="50B78ACF">
            <w:pPr>
              <w:jc w:val="center"/>
              <w:rPr>
                <w:color w:val="auto"/>
                <w:sz w:val="18"/>
                <w:szCs w:val="18"/>
              </w:rPr>
            </w:pPr>
            <w:r>
              <w:rPr>
                <w:color w:val="auto"/>
                <w:sz w:val="18"/>
                <w:szCs w:val="18"/>
              </w:rPr>
              <w:t>1</w:t>
            </w:r>
          </w:p>
        </w:tc>
        <w:tc>
          <w:tcPr>
            <w:tcW w:w="709" w:type="dxa"/>
            <w:vAlign w:val="center"/>
          </w:tcPr>
          <w:p w14:paraId="5DBF2DDC">
            <w:pPr>
              <w:jc w:val="center"/>
              <w:rPr>
                <w:color w:val="auto"/>
                <w:sz w:val="18"/>
                <w:szCs w:val="18"/>
              </w:rPr>
            </w:pPr>
            <w:r>
              <w:rPr>
                <w:color w:val="auto"/>
                <w:sz w:val="18"/>
                <w:szCs w:val="18"/>
              </w:rPr>
              <w:t>2</w:t>
            </w:r>
          </w:p>
        </w:tc>
        <w:tc>
          <w:tcPr>
            <w:tcW w:w="1045" w:type="dxa"/>
            <w:vAlign w:val="center"/>
          </w:tcPr>
          <w:p w14:paraId="608A100E">
            <w:pPr>
              <w:jc w:val="center"/>
              <w:rPr>
                <w:color w:val="auto"/>
                <w:sz w:val="18"/>
                <w:szCs w:val="18"/>
              </w:rPr>
            </w:pPr>
            <w:r>
              <w:rPr>
                <w:color w:val="auto"/>
                <w:sz w:val="18"/>
                <w:szCs w:val="18"/>
              </w:rPr>
              <w:t>考查</w:t>
            </w:r>
          </w:p>
        </w:tc>
      </w:tr>
      <w:tr w14:paraId="77179A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33B370E">
            <w:pPr>
              <w:jc w:val="center"/>
              <w:rPr>
                <w:b/>
                <w:color w:val="auto"/>
                <w:sz w:val="18"/>
                <w:szCs w:val="18"/>
              </w:rPr>
            </w:pPr>
          </w:p>
        </w:tc>
        <w:tc>
          <w:tcPr>
            <w:tcW w:w="1226" w:type="dxa"/>
            <w:vMerge w:val="continue"/>
            <w:vAlign w:val="center"/>
          </w:tcPr>
          <w:p w14:paraId="066FEDA2">
            <w:pPr>
              <w:jc w:val="center"/>
              <w:rPr>
                <w:b/>
                <w:color w:val="auto"/>
                <w:sz w:val="18"/>
                <w:szCs w:val="18"/>
              </w:rPr>
            </w:pPr>
          </w:p>
        </w:tc>
        <w:tc>
          <w:tcPr>
            <w:tcW w:w="3516" w:type="dxa"/>
            <w:vAlign w:val="center"/>
          </w:tcPr>
          <w:p w14:paraId="16EB38B1">
            <w:pPr>
              <w:rPr>
                <w:color w:val="auto"/>
                <w:sz w:val="18"/>
                <w:szCs w:val="18"/>
              </w:rPr>
            </w:pPr>
            <w:r>
              <w:rPr>
                <w:color w:val="auto"/>
                <w:sz w:val="18"/>
                <w:szCs w:val="18"/>
              </w:rPr>
              <w:t>马克思主义与社会科学方法论</w:t>
            </w:r>
          </w:p>
        </w:tc>
        <w:tc>
          <w:tcPr>
            <w:tcW w:w="1081" w:type="dxa"/>
            <w:vAlign w:val="center"/>
          </w:tcPr>
          <w:p w14:paraId="7A591E2C">
            <w:pPr>
              <w:jc w:val="center"/>
              <w:rPr>
                <w:color w:val="auto"/>
                <w:sz w:val="18"/>
                <w:szCs w:val="18"/>
              </w:rPr>
            </w:pPr>
            <w:r>
              <w:rPr>
                <w:color w:val="auto"/>
                <w:sz w:val="18"/>
                <w:szCs w:val="18"/>
              </w:rPr>
              <w:t>TS0000101</w:t>
            </w:r>
          </w:p>
        </w:tc>
        <w:tc>
          <w:tcPr>
            <w:tcW w:w="709" w:type="dxa"/>
            <w:vAlign w:val="center"/>
          </w:tcPr>
          <w:p w14:paraId="1AEBF603">
            <w:pPr>
              <w:jc w:val="center"/>
              <w:rPr>
                <w:color w:val="auto"/>
                <w:sz w:val="18"/>
                <w:szCs w:val="18"/>
              </w:rPr>
            </w:pPr>
            <w:r>
              <w:rPr>
                <w:color w:val="auto"/>
                <w:sz w:val="18"/>
                <w:szCs w:val="18"/>
              </w:rPr>
              <w:t>1</w:t>
            </w:r>
          </w:p>
        </w:tc>
        <w:tc>
          <w:tcPr>
            <w:tcW w:w="709" w:type="dxa"/>
            <w:vAlign w:val="center"/>
          </w:tcPr>
          <w:p w14:paraId="426379E8">
            <w:pPr>
              <w:jc w:val="center"/>
              <w:rPr>
                <w:color w:val="auto"/>
                <w:sz w:val="18"/>
                <w:szCs w:val="18"/>
              </w:rPr>
            </w:pPr>
            <w:r>
              <w:rPr>
                <w:color w:val="auto"/>
                <w:sz w:val="18"/>
                <w:szCs w:val="18"/>
              </w:rPr>
              <w:t>2</w:t>
            </w:r>
          </w:p>
        </w:tc>
        <w:tc>
          <w:tcPr>
            <w:tcW w:w="1045" w:type="dxa"/>
            <w:vAlign w:val="center"/>
          </w:tcPr>
          <w:p w14:paraId="6496652A">
            <w:pPr>
              <w:jc w:val="center"/>
              <w:rPr>
                <w:color w:val="auto"/>
                <w:sz w:val="18"/>
                <w:szCs w:val="18"/>
              </w:rPr>
            </w:pPr>
            <w:r>
              <w:rPr>
                <w:color w:val="auto"/>
                <w:sz w:val="18"/>
                <w:szCs w:val="18"/>
              </w:rPr>
              <w:t>考查</w:t>
            </w:r>
          </w:p>
        </w:tc>
      </w:tr>
      <w:tr w14:paraId="526089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F218A3C">
            <w:pPr>
              <w:rPr>
                <w:b/>
                <w:color w:val="auto"/>
                <w:sz w:val="18"/>
                <w:szCs w:val="18"/>
              </w:rPr>
            </w:pPr>
          </w:p>
        </w:tc>
        <w:tc>
          <w:tcPr>
            <w:tcW w:w="1226" w:type="dxa"/>
            <w:vMerge w:val="restart"/>
            <w:vAlign w:val="center"/>
          </w:tcPr>
          <w:p w14:paraId="5A7F120F">
            <w:pPr>
              <w:adjustRightInd w:val="0"/>
              <w:snapToGrid w:val="0"/>
              <w:jc w:val="center"/>
              <w:rPr>
                <w:b/>
                <w:color w:val="auto"/>
                <w:sz w:val="18"/>
                <w:szCs w:val="18"/>
              </w:rPr>
            </w:pPr>
            <w:r>
              <w:rPr>
                <w:rFonts w:hint="eastAsia"/>
                <w:b/>
                <w:color w:val="auto"/>
                <w:sz w:val="18"/>
                <w:szCs w:val="18"/>
              </w:rPr>
              <w:t>供应链与物流管理方向</w:t>
            </w:r>
          </w:p>
          <w:p w14:paraId="47A6B2E6">
            <w:pPr>
              <w:adjustRightInd w:val="0"/>
              <w:snapToGrid w:val="0"/>
              <w:jc w:val="center"/>
              <w:rPr>
                <w:b/>
                <w:color w:val="auto"/>
                <w:sz w:val="18"/>
                <w:szCs w:val="18"/>
              </w:rPr>
            </w:pPr>
            <w:r>
              <w:rPr>
                <w:rFonts w:hint="eastAsia"/>
                <w:b/>
                <w:color w:val="auto"/>
                <w:sz w:val="18"/>
                <w:szCs w:val="18"/>
              </w:rPr>
              <w:t>选修课</w:t>
            </w:r>
          </w:p>
        </w:tc>
        <w:tc>
          <w:tcPr>
            <w:tcW w:w="3516" w:type="dxa"/>
            <w:shd w:val="clear" w:color="auto" w:fill="auto"/>
            <w:vAlign w:val="center"/>
          </w:tcPr>
          <w:p w14:paraId="11BCC0D7">
            <w:pPr>
              <w:rPr>
                <w:rFonts w:ascii="Times New Roman" w:hAnsi="Times New Roman" w:eastAsia="宋体" w:cs="Times New Roman"/>
                <w:color w:val="auto"/>
                <w:kern w:val="2"/>
                <w:sz w:val="18"/>
                <w:szCs w:val="18"/>
                <w:lang w:val="en-US" w:eastAsia="zh-CN" w:bidi="ar-SA"/>
              </w:rPr>
            </w:pPr>
            <w:r>
              <w:rPr>
                <w:rFonts w:hint="eastAsia"/>
                <w:color w:val="auto"/>
                <w:sz w:val="18"/>
                <w:szCs w:val="18"/>
              </w:rPr>
              <w:t>物流与供应链管理</w:t>
            </w:r>
          </w:p>
        </w:tc>
        <w:tc>
          <w:tcPr>
            <w:tcW w:w="1081" w:type="dxa"/>
            <w:shd w:val="clear" w:color="auto" w:fill="auto"/>
            <w:vAlign w:val="center"/>
          </w:tcPr>
          <w:p w14:paraId="6EDEDCC4">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XS0403201</w:t>
            </w:r>
          </w:p>
        </w:tc>
        <w:tc>
          <w:tcPr>
            <w:tcW w:w="709" w:type="dxa"/>
            <w:shd w:val="clear" w:color="auto" w:fill="auto"/>
            <w:vAlign w:val="center"/>
          </w:tcPr>
          <w:p w14:paraId="63699B78">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C14CA5D">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restart"/>
            <w:vAlign w:val="center"/>
          </w:tcPr>
          <w:p w14:paraId="4A785B5F">
            <w:pPr>
              <w:adjustRightInd w:val="0"/>
              <w:snapToGrid w:val="0"/>
              <w:jc w:val="center"/>
              <w:rPr>
                <w:color w:val="auto"/>
                <w:sz w:val="18"/>
                <w:szCs w:val="18"/>
              </w:rPr>
            </w:pPr>
            <w:r>
              <w:rPr>
                <w:color w:val="auto"/>
                <w:sz w:val="18"/>
                <w:szCs w:val="18"/>
              </w:rPr>
              <w:t>本方向研究生至少选修</w:t>
            </w:r>
          </w:p>
          <w:p w14:paraId="101AA1FE">
            <w:pPr>
              <w:adjustRightInd w:val="0"/>
              <w:snapToGrid w:val="0"/>
              <w:jc w:val="center"/>
              <w:rPr>
                <w:color w:val="auto"/>
                <w:sz w:val="18"/>
                <w:szCs w:val="18"/>
              </w:rPr>
            </w:pPr>
            <w:r>
              <w:rPr>
                <w:rFonts w:hint="eastAsia"/>
                <w:color w:val="auto"/>
                <w:sz w:val="18"/>
                <w:szCs w:val="18"/>
                <w:highlight w:val="none"/>
                <w:lang w:val="en-US" w:eastAsia="zh-CN"/>
              </w:rPr>
              <w:t>4</w:t>
            </w:r>
            <w:r>
              <w:rPr>
                <w:color w:val="auto"/>
                <w:sz w:val="18"/>
                <w:szCs w:val="18"/>
              </w:rPr>
              <w:t>学分</w:t>
            </w:r>
          </w:p>
        </w:tc>
      </w:tr>
      <w:tr w14:paraId="51C27D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D1DF6C">
            <w:pPr>
              <w:rPr>
                <w:b/>
                <w:color w:val="auto"/>
                <w:sz w:val="18"/>
                <w:szCs w:val="18"/>
              </w:rPr>
            </w:pPr>
          </w:p>
        </w:tc>
        <w:tc>
          <w:tcPr>
            <w:tcW w:w="1226" w:type="dxa"/>
            <w:vMerge w:val="continue"/>
            <w:vAlign w:val="center"/>
          </w:tcPr>
          <w:p w14:paraId="5A4D8ACD">
            <w:pPr>
              <w:jc w:val="center"/>
              <w:rPr>
                <w:b/>
                <w:color w:val="auto"/>
                <w:sz w:val="18"/>
                <w:szCs w:val="18"/>
              </w:rPr>
            </w:pPr>
          </w:p>
        </w:tc>
        <w:tc>
          <w:tcPr>
            <w:tcW w:w="3516" w:type="dxa"/>
            <w:shd w:val="clear" w:color="auto" w:fill="auto"/>
            <w:vAlign w:val="center"/>
          </w:tcPr>
          <w:p w14:paraId="1BDB56D9">
            <w:pP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数据挖掘与商务智能</w:t>
            </w:r>
          </w:p>
        </w:tc>
        <w:tc>
          <w:tcPr>
            <w:tcW w:w="1081" w:type="dxa"/>
            <w:shd w:val="clear" w:color="auto" w:fill="auto"/>
            <w:vAlign w:val="center"/>
          </w:tcPr>
          <w:p w14:paraId="5EEE36A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4</w:t>
            </w:r>
          </w:p>
        </w:tc>
        <w:tc>
          <w:tcPr>
            <w:tcW w:w="709" w:type="dxa"/>
            <w:shd w:val="clear" w:color="auto" w:fill="auto"/>
            <w:vAlign w:val="center"/>
          </w:tcPr>
          <w:p w14:paraId="0FAC9FC0">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A3BB80D">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4CA46805">
            <w:pPr>
              <w:jc w:val="center"/>
              <w:rPr>
                <w:color w:val="auto"/>
                <w:sz w:val="18"/>
                <w:szCs w:val="18"/>
              </w:rPr>
            </w:pPr>
          </w:p>
        </w:tc>
      </w:tr>
      <w:tr w14:paraId="113498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F5ABBE">
            <w:pPr>
              <w:rPr>
                <w:b/>
                <w:color w:val="auto"/>
                <w:sz w:val="18"/>
                <w:szCs w:val="18"/>
              </w:rPr>
            </w:pPr>
          </w:p>
        </w:tc>
        <w:tc>
          <w:tcPr>
            <w:tcW w:w="1226" w:type="dxa"/>
            <w:vMerge w:val="continue"/>
            <w:vAlign w:val="center"/>
          </w:tcPr>
          <w:p w14:paraId="560EB795">
            <w:pPr>
              <w:jc w:val="center"/>
              <w:rPr>
                <w:b/>
                <w:color w:val="auto"/>
                <w:sz w:val="18"/>
                <w:szCs w:val="18"/>
              </w:rPr>
            </w:pPr>
          </w:p>
        </w:tc>
        <w:tc>
          <w:tcPr>
            <w:tcW w:w="3516" w:type="dxa"/>
            <w:shd w:val="clear" w:color="auto" w:fill="auto"/>
            <w:vAlign w:val="center"/>
          </w:tcPr>
          <w:p w14:paraId="3ABE2C77">
            <w:pPr>
              <w:rPr>
                <w:rFonts w:ascii="Times New Roman" w:hAnsi="Times New Roman" w:eastAsia="宋体" w:cs="Times New Roman"/>
                <w:color w:val="auto"/>
                <w:kern w:val="2"/>
                <w:sz w:val="18"/>
                <w:szCs w:val="18"/>
                <w:lang w:val="en-US" w:eastAsia="zh-CN" w:bidi="ar-SA"/>
              </w:rPr>
            </w:pPr>
            <w:r>
              <w:rPr>
                <w:rFonts w:hint="eastAsia"/>
                <w:color w:val="auto"/>
                <w:sz w:val="18"/>
                <w:szCs w:val="18"/>
                <w:highlight w:val="none"/>
              </w:rPr>
              <w:t>决策支持系统</w:t>
            </w:r>
          </w:p>
        </w:tc>
        <w:tc>
          <w:tcPr>
            <w:tcW w:w="1081" w:type="dxa"/>
            <w:shd w:val="clear" w:color="auto" w:fill="auto"/>
            <w:vAlign w:val="center"/>
          </w:tcPr>
          <w:p w14:paraId="6F6B66C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5</w:t>
            </w:r>
          </w:p>
        </w:tc>
        <w:tc>
          <w:tcPr>
            <w:tcW w:w="709" w:type="dxa"/>
            <w:shd w:val="clear" w:color="auto" w:fill="auto"/>
            <w:vAlign w:val="center"/>
          </w:tcPr>
          <w:p w14:paraId="5A5E4308">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F6B3E47">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4CCDAFD5">
            <w:pPr>
              <w:jc w:val="center"/>
              <w:rPr>
                <w:color w:val="auto"/>
                <w:sz w:val="18"/>
                <w:szCs w:val="18"/>
              </w:rPr>
            </w:pPr>
          </w:p>
        </w:tc>
      </w:tr>
      <w:tr w14:paraId="651052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94FADA">
            <w:pPr>
              <w:rPr>
                <w:b/>
                <w:color w:val="auto"/>
                <w:sz w:val="18"/>
                <w:szCs w:val="18"/>
              </w:rPr>
            </w:pPr>
          </w:p>
        </w:tc>
        <w:tc>
          <w:tcPr>
            <w:tcW w:w="1226" w:type="dxa"/>
            <w:vMerge w:val="continue"/>
            <w:vAlign w:val="center"/>
          </w:tcPr>
          <w:p w14:paraId="7EADEF8C">
            <w:pPr>
              <w:jc w:val="center"/>
              <w:rPr>
                <w:b/>
                <w:color w:val="auto"/>
                <w:sz w:val="18"/>
                <w:szCs w:val="18"/>
              </w:rPr>
            </w:pPr>
          </w:p>
        </w:tc>
        <w:tc>
          <w:tcPr>
            <w:tcW w:w="3516" w:type="dxa"/>
            <w:shd w:val="clear" w:color="auto" w:fill="auto"/>
            <w:vAlign w:val="center"/>
          </w:tcPr>
          <w:p w14:paraId="76D04AF9">
            <w:pPr>
              <w:rPr>
                <w:rFonts w:ascii="Times New Roman" w:hAnsi="Times New Roman" w:eastAsia="宋体" w:cs="Times New Roman"/>
                <w:color w:val="auto"/>
                <w:kern w:val="2"/>
                <w:sz w:val="18"/>
                <w:szCs w:val="18"/>
                <w:lang w:val="en-US" w:eastAsia="zh-CN" w:bidi="ar-SA"/>
              </w:rPr>
            </w:pPr>
            <w:r>
              <w:rPr>
                <w:rFonts w:hint="eastAsia"/>
                <w:color w:val="auto"/>
                <w:sz w:val="18"/>
                <w:szCs w:val="18"/>
              </w:rPr>
              <w:t>项目管理</w:t>
            </w:r>
          </w:p>
        </w:tc>
        <w:tc>
          <w:tcPr>
            <w:tcW w:w="1081" w:type="dxa"/>
            <w:shd w:val="clear" w:color="auto" w:fill="auto"/>
            <w:vAlign w:val="center"/>
          </w:tcPr>
          <w:p w14:paraId="5D6CBE5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6</w:t>
            </w:r>
          </w:p>
        </w:tc>
        <w:tc>
          <w:tcPr>
            <w:tcW w:w="709" w:type="dxa"/>
            <w:shd w:val="clear" w:color="auto" w:fill="auto"/>
            <w:vAlign w:val="center"/>
          </w:tcPr>
          <w:p w14:paraId="57F47AC1">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6C2CD06">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4D2BF86B">
            <w:pPr>
              <w:jc w:val="center"/>
              <w:rPr>
                <w:color w:val="auto"/>
                <w:sz w:val="18"/>
                <w:szCs w:val="18"/>
              </w:rPr>
            </w:pPr>
          </w:p>
        </w:tc>
      </w:tr>
      <w:tr w14:paraId="7980C6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571" w:type="dxa"/>
            <w:vMerge w:val="continue"/>
          </w:tcPr>
          <w:p w14:paraId="04F00DAA">
            <w:pPr>
              <w:rPr>
                <w:b/>
                <w:color w:val="auto"/>
                <w:sz w:val="18"/>
                <w:szCs w:val="18"/>
              </w:rPr>
            </w:pPr>
          </w:p>
        </w:tc>
        <w:tc>
          <w:tcPr>
            <w:tcW w:w="1226" w:type="dxa"/>
            <w:vMerge w:val="continue"/>
            <w:vAlign w:val="center"/>
          </w:tcPr>
          <w:p w14:paraId="63AC47CC">
            <w:pPr>
              <w:jc w:val="center"/>
              <w:rPr>
                <w:b/>
                <w:color w:val="auto"/>
                <w:sz w:val="18"/>
                <w:szCs w:val="18"/>
              </w:rPr>
            </w:pPr>
          </w:p>
        </w:tc>
        <w:tc>
          <w:tcPr>
            <w:tcW w:w="3516" w:type="dxa"/>
            <w:shd w:val="clear" w:color="auto" w:fill="auto"/>
            <w:vAlign w:val="center"/>
          </w:tcPr>
          <w:p w14:paraId="2B5448C7">
            <w:pPr>
              <w:rPr>
                <w:rFonts w:ascii="Times New Roman" w:hAnsi="Times New Roman" w:eastAsia="宋体" w:cs="Times New Roman"/>
                <w:color w:val="auto"/>
                <w:kern w:val="2"/>
                <w:sz w:val="18"/>
                <w:szCs w:val="18"/>
                <w:lang w:val="en-US" w:eastAsia="zh-CN" w:bidi="ar-SA"/>
              </w:rPr>
            </w:pPr>
            <w:r>
              <w:rPr>
                <w:rFonts w:hint="eastAsia"/>
                <w:color w:val="auto"/>
                <w:sz w:val="18"/>
                <w:szCs w:val="18"/>
              </w:rPr>
              <w:t>最优化理论与方法</w:t>
            </w:r>
          </w:p>
        </w:tc>
        <w:tc>
          <w:tcPr>
            <w:tcW w:w="1081" w:type="dxa"/>
            <w:shd w:val="clear" w:color="auto" w:fill="auto"/>
            <w:vAlign w:val="center"/>
          </w:tcPr>
          <w:p w14:paraId="55C1DF1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7</w:t>
            </w:r>
          </w:p>
        </w:tc>
        <w:tc>
          <w:tcPr>
            <w:tcW w:w="709" w:type="dxa"/>
            <w:shd w:val="clear" w:color="auto" w:fill="auto"/>
            <w:vAlign w:val="center"/>
          </w:tcPr>
          <w:p w14:paraId="03FDBC62">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73C9FA57">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16C022ED">
            <w:pPr>
              <w:jc w:val="center"/>
              <w:rPr>
                <w:color w:val="auto"/>
                <w:sz w:val="18"/>
                <w:szCs w:val="18"/>
              </w:rPr>
            </w:pPr>
          </w:p>
        </w:tc>
      </w:tr>
      <w:tr w14:paraId="4CB351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571" w:type="dxa"/>
            <w:vMerge w:val="continue"/>
          </w:tcPr>
          <w:p w14:paraId="34B8165B">
            <w:pPr>
              <w:rPr>
                <w:color w:val="auto"/>
              </w:rPr>
            </w:pPr>
          </w:p>
        </w:tc>
        <w:tc>
          <w:tcPr>
            <w:tcW w:w="1226" w:type="dxa"/>
            <w:vMerge w:val="continue"/>
            <w:vAlign w:val="center"/>
          </w:tcPr>
          <w:p w14:paraId="1CA9B39E">
            <w:pPr>
              <w:rPr>
                <w:color w:val="auto"/>
              </w:rPr>
            </w:pPr>
          </w:p>
        </w:tc>
        <w:tc>
          <w:tcPr>
            <w:tcW w:w="3516" w:type="dxa"/>
            <w:shd w:val="clear" w:color="auto" w:fill="auto"/>
            <w:vAlign w:val="center"/>
          </w:tcPr>
          <w:p w14:paraId="17F1C0C0">
            <w:pPr>
              <w:rPr>
                <w:rFonts w:hint="eastAsia"/>
                <w:color w:val="auto"/>
                <w:sz w:val="18"/>
                <w:szCs w:val="18"/>
              </w:rPr>
            </w:pPr>
            <w:r>
              <w:rPr>
                <w:rFonts w:hint="eastAsia"/>
                <w:color w:val="auto"/>
                <w:sz w:val="18"/>
                <w:szCs w:val="18"/>
                <w:highlight w:val="none"/>
                <w:lang w:val="en-US" w:eastAsia="zh-CN"/>
              </w:rPr>
              <w:t>现代管理科学前沿</w:t>
            </w:r>
          </w:p>
        </w:tc>
        <w:tc>
          <w:tcPr>
            <w:tcW w:w="1081" w:type="dxa"/>
            <w:shd w:val="clear" w:color="auto" w:fill="auto"/>
            <w:vAlign w:val="center"/>
          </w:tcPr>
          <w:p w14:paraId="569F5F03">
            <w:pPr>
              <w:rPr>
                <w:rFonts w:hint="default" w:eastAsia="宋体"/>
                <w:color w:val="auto"/>
                <w:sz w:val="18"/>
                <w:szCs w:val="18"/>
                <w:lang w:val="en-US" w:eastAsia="zh-CN"/>
              </w:rPr>
            </w:pPr>
            <w:r>
              <w:rPr>
                <w:rFonts w:hint="eastAsia"/>
                <w:color w:val="auto"/>
                <w:sz w:val="18"/>
                <w:szCs w:val="18"/>
              </w:rPr>
              <w:t>XS04032</w:t>
            </w:r>
            <w:r>
              <w:rPr>
                <w:rFonts w:hint="eastAsia"/>
                <w:color w:val="auto"/>
                <w:sz w:val="18"/>
                <w:szCs w:val="18"/>
                <w:lang w:val="en-US" w:eastAsia="zh-CN"/>
              </w:rPr>
              <w:t>10</w:t>
            </w:r>
          </w:p>
        </w:tc>
        <w:tc>
          <w:tcPr>
            <w:tcW w:w="709" w:type="dxa"/>
            <w:shd w:val="clear" w:color="auto" w:fill="auto"/>
            <w:vAlign w:val="center"/>
          </w:tcPr>
          <w:p w14:paraId="38C22B4E">
            <w:pPr>
              <w:jc w:val="center"/>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5163B9CB">
            <w:pPr>
              <w:jc w:val="center"/>
              <w:rPr>
                <w:rFonts w:hint="eastAsia" w:eastAsia="宋体"/>
                <w:color w:val="auto"/>
                <w:sz w:val="18"/>
                <w:szCs w:val="18"/>
                <w:lang w:val="en-US" w:eastAsia="zh-CN"/>
              </w:rPr>
            </w:pPr>
            <w:r>
              <w:rPr>
                <w:rFonts w:hint="eastAsia"/>
                <w:color w:val="auto"/>
                <w:sz w:val="18"/>
                <w:szCs w:val="18"/>
                <w:lang w:val="en-US" w:eastAsia="zh-CN"/>
              </w:rPr>
              <w:t>2</w:t>
            </w:r>
          </w:p>
        </w:tc>
        <w:tc>
          <w:tcPr>
            <w:tcW w:w="1045" w:type="dxa"/>
            <w:vMerge w:val="continue"/>
            <w:vAlign w:val="center"/>
          </w:tcPr>
          <w:p w14:paraId="5B2314E2">
            <w:pPr>
              <w:rPr>
                <w:rFonts w:hint="eastAsia"/>
                <w:color w:val="auto"/>
                <w:sz w:val="18"/>
                <w:szCs w:val="18"/>
              </w:rPr>
            </w:pPr>
          </w:p>
        </w:tc>
      </w:tr>
      <w:tr w14:paraId="266E73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9BFCA2">
            <w:pPr>
              <w:rPr>
                <w:b/>
                <w:color w:val="auto"/>
                <w:sz w:val="18"/>
                <w:szCs w:val="18"/>
              </w:rPr>
            </w:pPr>
          </w:p>
        </w:tc>
        <w:tc>
          <w:tcPr>
            <w:tcW w:w="1226" w:type="dxa"/>
            <w:vMerge w:val="restart"/>
            <w:vAlign w:val="center"/>
          </w:tcPr>
          <w:p w14:paraId="157D3BBF">
            <w:pPr>
              <w:adjustRightInd w:val="0"/>
              <w:snapToGrid w:val="0"/>
              <w:jc w:val="center"/>
              <w:rPr>
                <w:b/>
                <w:color w:val="auto"/>
                <w:sz w:val="18"/>
                <w:szCs w:val="18"/>
              </w:rPr>
            </w:pPr>
            <w:r>
              <w:rPr>
                <w:rFonts w:hint="eastAsia"/>
                <w:b/>
                <w:color w:val="auto"/>
                <w:sz w:val="18"/>
                <w:szCs w:val="18"/>
              </w:rPr>
              <w:t>决策理论与系统分析方向选修课</w:t>
            </w:r>
          </w:p>
        </w:tc>
        <w:tc>
          <w:tcPr>
            <w:tcW w:w="3516" w:type="dxa"/>
            <w:shd w:val="clear" w:color="auto" w:fill="auto"/>
            <w:vAlign w:val="center"/>
          </w:tcPr>
          <w:p w14:paraId="2EC4F3AD">
            <w:pPr>
              <w:rPr>
                <w:rFonts w:ascii="Times New Roman" w:hAnsi="Times New Roman" w:eastAsia="宋体" w:cs="Times New Roman"/>
                <w:color w:val="auto"/>
                <w:kern w:val="2"/>
                <w:sz w:val="18"/>
                <w:szCs w:val="18"/>
                <w:lang w:val="en-US" w:eastAsia="zh-CN" w:bidi="ar-SA"/>
              </w:rPr>
            </w:pPr>
            <w:r>
              <w:rPr>
                <w:rFonts w:hint="eastAsia"/>
                <w:color w:val="auto"/>
                <w:sz w:val="18"/>
                <w:szCs w:val="18"/>
              </w:rPr>
              <w:t>特色课程（决策支持系统）</w:t>
            </w:r>
          </w:p>
        </w:tc>
        <w:tc>
          <w:tcPr>
            <w:tcW w:w="1081" w:type="dxa"/>
            <w:shd w:val="clear" w:color="auto" w:fill="auto"/>
            <w:vAlign w:val="center"/>
          </w:tcPr>
          <w:p w14:paraId="367CE32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3</w:t>
            </w:r>
          </w:p>
        </w:tc>
        <w:tc>
          <w:tcPr>
            <w:tcW w:w="709" w:type="dxa"/>
            <w:shd w:val="clear" w:color="auto" w:fill="auto"/>
            <w:vAlign w:val="center"/>
          </w:tcPr>
          <w:p w14:paraId="31408714">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767BE04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restart"/>
            <w:vAlign w:val="center"/>
          </w:tcPr>
          <w:p w14:paraId="19F0FE1F">
            <w:pPr>
              <w:adjustRightInd w:val="0"/>
              <w:snapToGrid w:val="0"/>
              <w:jc w:val="center"/>
              <w:rPr>
                <w:color w:val="auto"/>
                <w:sz w:val="18"/>
                <w:szCs w:val="18"/>
              </w:rPr>
            </w:pPr>
            <w:r>
              <w:rPr>
                <w:color w:val="auto"/>
                <w:sz w:val="18"/>
                <w:szCs w:val="18"/>
              </w:rPr>
              <w:t>本方向研究生至少选修</w:t>
            </w:r>
          </w:p>
          <w:p w14:paraId="1395A426">
            <w:pPr>
              <w:adjustRightInd w:val="0"/>
              <w:snapToGrid w:val="0"/>
              <w:jc w:val="center"/>
              <w:rPr>
                <w:color w:val="auto"/>
                <w:sz w:val="18"/>
                <w:szCs w:val="18"/>
              </w:rPr>
            </w:pPr>
            <w:r>
              <w:rPr>
                <w:rFonts w:hint="eastAsia"/>
                <w:color w:val="auto"/>
                <w:sz w:val="18"/>
                <w:szCs w:val="18"/>
                <w:highlight w:val="none"/>
                <w:lang w:val="en-US" w:eastAsia="zh-CN"/>
              </w:rPr>
              <w:t>4</w:t>
            </w:r>
            <w:r>
              <w:rPr>
                <w:color w:val="auto"/>
                <w:sz w:val="18"/>
                <w:szCs w:val="18"/>
              </w:rPr>
              <w:t>学分</w:t>
            </w:r>
          </w:p>
        </w:tc>
      </w:tr>
      <w:tr w14:paraId="34FD118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B97C10">
            <w:pPr>
              <w:rPr>
                <w:b/>
                <w:color w:val="auto"/>
                <w:sz w:val="18"/>
                <w:szCs w:val="18"/>
              </w:rPr>
            </w:pPr>
          </w:p>
        </w:tc>
        <w:tc>
          <w:tcPr>
            <w:tcW w:w="1226" w:type="dxa"/>
            <w:vMerge w:val="continue"/>
            <w:vAlign w:val="center"/>
          </w:tcPr>
          <w:p w14:paraId="46CC1497">
            <w:pPr>
              <w:adjustRightInd w:val="0"/>
              <w:snapToGrid w:val="0"/>
              <w:jc w:val="center"/>
              <w:rPr>
                <w:b/>
                <w:color w:val="auto"/>
                <w:sz w:val="18"/>
                <w:szCs w:val="18"/>
              </w:rPr>
            </w:pPr>
          </w:p>
        </w:tc>
        <w:tc>
          <w:tcPr>
            <w:tcW w:w="3516" w:type="dxa"/>
            <w:shd w:val="clear" w:color="auto" w:fill="auto"/>
            <w:vAlign w:val="center"/>
          </w:tcPr>
          <w:p w14:paraId="2897BAF6">
            <w:pPr>
              <w:rPr>
                <w:rFonts w:ascii="Times New Roman" w:hAnsi="Times New Roman" w:eastAsia="宋体" w:cs="Times New Roman"/>
                <w:color w:val="auto"/>
                <w:kern w:val="2"/>
                <w:sz w:val="18"/>
                <w:szCs w:val="18"/>
                <w:lang w:val="en-US" w:eastAsia="zh-CN" w:bidi="ar-SA"/>
              </w:rPr>
            </w:pPr>
            <w:r>
              <w:rPr>
                <w:rFonts w:hint="eastAsia"/>
                <w:color w:val="auto"/>
                <w:sz w:val="18"/>
                <w:szCs w:val="18"/>
              </w:rPr>
              <w:t>数据挖掘与商务智能</w:t>
            </w:r>
          </w:p>
        </w:tc>
        <w:tc>
          <w:tcPr>
            <w:tcW w:w="1081" w:type="dxa"/>
            <w:shd w:val="clear" w:color="auto" w:fill="auto"/>
            <w:vAlign w:val="center"/>
          </w:tcPr>
          <w:p w14:paraId="0E35EE7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4</w:t>
            </w:r>
          </w:p>
        </w:tc>
        <w:tc>
          <w:tcPr>
            <w:tcW w:w="709" w:type="dxa"/>
            <w:shd w:val="clear" w:color="auto" w:fill="auto"/>
            <w:vAlign w:val="center"/>
          </w:tcPr>
          <w:p w14:paraId="27AAE2B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074D0AB2">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251170F5">
            <w:pPr>
              <w:adjustRightInd w:val="0"/>
              <w:snapToGrid w:val="0"/>
              <w:jc w:val="center"/>
              <w:rPr>
                <w:color w:val="auto"/>
                <w:sz w:val="18"/>
                <w:szCs w:val="18"/>
              </w:rPr>
            </w:pPr>
          </w:p>
        </w:tc>
      </w:tr>
      <w:tr w14:paraId="44F606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10EEC6">
            <w:pPr>
              <w:rPr>
                <w:b/>
                <w:color w:val="auto"/>
                <w:sz w:val="18"/>
                <w:szCs w:val="18"/>
              </w:rPr>
            </w:pPr>
          </w:p>
        </w:tc>
        <w:tc>
          <w:tcPr>
            <w:tcW w:w="1226" w:type="dxa"/>
            <w:vMerge w:val="continue"/>
            <w:vAlign w:val="center"/>
          </w:tcPr>
          <w:p w14:paraId="2E61CD0E">
            <w:pPr>
              <w:adjustRightInd w:val="0"/>
              <w:snapToGrid w:val="0"/>
              <w:jc w:val="center"/>
              <w:rPr>
                <w:b/>
                <w:color w:val="auto"/>
                <w:sz w:val="18"/>
                <w:szCs w:val="18"/>
              </w:rPr>
            </w:pPr>
          </w:p>
        </w:tc>
        <w:tc>
          <w:tcPr>
            <w:tcW w:w="3516" w:type="dxa"/>
            <w:shd w:val="clear" w:color="auto" w:fill="auto"/>
            <w:vAlign w:val="center"/>
          </w:tcPr>
          <w:p w14:paraId="325D2C76">
            <w:pPr>
              <w:rPr>
                <w:rFonts w:ascii="Times New Roman" w:hAnsi="Times New Roman" w:eastAsia="宋体" w:cs="Times New Roman"/>
                <w:color w:val="auto"/>
                <w:kern w:val="2"/>
                <w:sz w:val="18"/>
                <w:szCs w:val="18"/>
                <w:lang w:val="en-US" w:eastAsia="zh-CN" w:bidi="ar-SA"/>
              </w:rPr>
            </w:pPr>
            <w:r>
              <w:rPr>
                <w:rFonts w:hint="eastAsia"/>
                <w:color w:val="auto"/>
                <w:sz w:val="18"/>
                <w:szCs w:val="18"/>
              </w:rPr>
              <w:t>物流与供应链管理</w:t>
            </w:r>
          </w:p>
        </w:tc>
        <w:tc>
          <w:tcPr>
            <w:tcW w:w="1081" w:type="dxa"/>
            <w:shd w:val="clear" w:color="auto" w:fill="auto"/>
            <w:vAlign w:val="center"/>
          </w:tcPr>
          <w:p w14:paraId="2442BC0A">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XS0403201</w:t>
            </w:r>
          </w:p>
        </w:tc>
        <w:tc>
          <w:tcPr>
            <w:tcW w:w="709" w:type="dxa"/>
            <w:shd w:val="clear" w:color="auto" w:fill="auto"/>
            <w:vAlign w:val="center"/>
          </w:tcPr>
          <w:p w14:paraId="6589F6E7">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0F2E2383">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13F5AEED">
            <w:pPr>
              <w:adjustRightInd w:val="0"/>
              <w:snapToGrid w:val="0"/>
              <w:jc w:val="center"/>
              <w:rPr>
                <w:color w:val="auto"/>
                <w:sz w:val="18"/>
                <w:szCs w:val="18"/>
              </w:rPr>
            </w:pPr>
          </w:p>
        </w:tc>
      </w:tr>
      <w:tr w14:paraId="74524C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123791">
            <w:pPr>
              <w:rPr>
                <w:b/>
                <w:color w:val="auto"/>
                <w:sz w:val="18"/>
                <w:szCs w:val="18"/>
              </w:rPr>
            </w:pPr>
          </w:p>
        </w:tc>
        <w:tc>
          <w:tcPr>
            <w:tcW w:w="1226" w:type="dxa"/>
            <w:vMerge w:val="continue"/>
            <w:vAlign w:val="center"/>
          </w:tcPr>
          <w:p w14:paraId="7B3AAE56">
            <w:pPr>
              <w:adjustRightInd w:val="0"/>
              <w:snapToGrid w:val="0"/>
              <w:jc w:val="center"/>
              <w:rPr>
                <w:b/>
                <w:color w:val="auto"/>
                <w:sz w:val="18"/>
                <w:szCs w:val="18"/>
              </w:rPr>
            </w:pPr>
          </w:p>
        </w:tc>
        <w:tc>
          <w:tcPr>
            <w:tcW w:w="3516" w:type="dxa"/>
            <w:shd w:val="clear" w:color="auto" w:fill="auto"/>
            <w:vAlign w:val="center"/>
          </w:tcPr>
          <w:p w14:paraId="19643CAB">
            <w:pPr>
              <w:rPr>
                <w:rFonts w:ascii="Times New Roman" w:hAnsi="Times New Roman" w:eastAsia="宋体" w:cs="Times New Roman"/>
                <w:color w:val="auto"/>
                <w:kern w:val="2"/>
                <w:sz w:val="18"/>
                <w:szCs w:val="18"/>
                <w:lang w:val="en-US" w:eastAsia="zh-CN" w:bidi="ar-SA"/>
              </w:rPr>
            </w:pPr>
            <w:r>
              <w:rPr>
                <w:rFonts w:hint="eastAsia"/>
                <w:color w:val="auto"/>
                <w:sz w:val="18"/>
                <w:szCs w:val="18"/>
              </w:rPr>
              <w:t>最优化理论与方法</w:t>
            </w:r>
          </w:p>
        </w:tc>
        <w:tc>
          <w:tcPr>
            <w:tcW w:w="1081" w:type="dxa"/>
            <w:shd w:val="clear" w:color="auto" w:fill="auto"/>
            <w:vAlign w:val="center"/>
          </w:tcPr>
          <w:p w14:paraId="47422CCE">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7</w:t>
            </w:r>
          </w:p>
        </w:tc>
        <w:tc>
          <w:tcPr>
            <w:tcW w:w="709" w:type="dxa"/>
            <w:shd w:val="clear" w:color="auto" w:fill="auto"/>
            <w:vAlign w:val="center"/>
          </w:tcPr>
          <w:p w14:paraId="5F35AF38">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695DCD7">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58A64204">
            <w:pPr>
              <w:adjustRightInd w:val="0"/>
              <w:snapToGrid w:val="0"/>
              <w:jc w:val="center"/>
              <w:rPr>
                <w:color w:val="auto"/>
                <w:sz w:val="18"/>
                <w:szCs w:val="18"/>
              </w:rPr>
            </w:pPr>
          </w:p>
        </w:tc>
      </w:tr>
      <w:tr w14:paraId="3695EE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571" w:type="dxa"/>
            <w:vMerge w:val="continue"/>
          </w:tcPr>
          <w:p w14:paraId="7478EC0D">
            <w:pPr>
              <w:rPr>
                <w:b/>
                <w:color w:val="auto"/>
                <w:sz w:val="18"/>
                <w:szCs w:val="18"/>
              </w:rPr>
            </w:pPr>
          </w:p>
        </w:tc>
        <w:tc>
          <w:tcPr>
            <w:tcW w:w="1226" w:type="dxa"/>
            <w:vMerge w:val="continue"/>
          </w:tcPr>
          <w:p w14:paraId="779A463D">
            <w:pPr>
              <w:jc w:val="center"/>
              <w:rPr>
                <w:b/>
                <w:color w:val="auto"/>
                <w:sz w:val="18"/>
                <w:szCs w:val="18"/>
              </w:rPr>
            </w:pPr>
          </w:p>
        </w:tc>
        <w:tc>
          <w:tcPr>
            <w:tcW w:w="3516" w:type="dxa"/>
            <w:shd w:val="clear" w:color="auto" w:fill="auto"/>
            <w:vAlign w:val="center"/>
          </w:tcPr>
          <w:p w14:paraId="0E3AEED9">
            <w:pPr>
              <w:rPr>
                <w:rFonts w:ascii="Times New Roman" w:hAnsi="Times New Roman" w:eastAsia="宋体" w:cs="Times New Roman"/>
                <w:color w:val="auto"/>
                <w:kern w:val="2"/>
                <w:sz w:val="18"/>
                <w:szCs w:val="18"/>
                <w:lang w:val="en-US" w:eastAsia="zh-CN" w:bidi="ar-SA"/>
              </w:rPr>
            </w:pPr>
            <w:r>
              <w:rPr>
                <w:rFonts w:hint="eastAsia"/>
                <w:color w:val="auto"/>
                <w:sz w:val="18"/>
                <w:szCs w:val="18"/>
                <w:highlight w:val="none"/>
                <w:lang w:val="en-US" w:eastAsia="zh-CN"/>
              </w:rPr>
              <w:t>现代管理科学前沿</w:t>
            </w:r>
          </w:p>
        </w:tc>
        <w:tc>
          <w:tcPr>
            <w:tcW w:w="1081" w:type="dxa"/>
            <w:shd w:val="clear" w:color="auto" w:fill="auto"/>
            <w:vAlign w:val="center"/>
          </w:tcPr>
          <w:p w14:paraId="0CBBD6F6">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XS04032</w:t>
            </w:r>
            <w:r>
              <w:rPr>
                <w:rFonts w:hint="eastAsia"/>
                <w:color w:val="auto"/>
                <w:sz w:val="18"/>
                <w:szCs w:val="18"/>
                <w:lang w:val="en-US" w:eastAsia="zh-CN"/>
              </w:rPr>
              <w:t>10</w:t>
            </w:r>
          </w:p>
        </w:tc>
        <w:tc>
          <w:tcPr>
            <w:tcW w:w="709" w:type="dxa"/>
            <w:shd w:val="clear" w:color="auto" w:fill="auto"/>
            <w:vAlign w:val="center"/>
          </w:tcPr>
          <w:p w14:paraId="4AC0B591">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E348BD9">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7AF9D255">
            <w:pPr>
              <w:jc w:val="center"/>
              <w:rPr>
                <w:color w:val="auto"/>
                <w:sz w:val="18"/>
                <w:szCs w:val="18"/>
              </w:rPr>
            </w:pPr>
          </w:p>
        </w:tc>
      </w:tr>
      <w:tr w14:paraId="69CC7A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571" w:type="dxa"/>
            <w:vMerge w:val="continue"/>
          </w:tcPr>
          <w:p w14:paraId="2A5521BD">
            <w:pPr>
              <w:rPr>
                <w:color w:val="auto"/>
              </w:rPr>
            </w:pPr>
          </w:p>
        </w:tc>
        <w:tc>
          <w:tcPr>
            <w:tcW w:w="1226" w:type="dxa"/>
            <w:vMerge w:val="continue"/>
          </w:tcPr>
          <w:p w14:paraId="120E3F51">
            <w:pPr>
              <w:rPr>
                <w:color w:val="auto"/>
              </w:rPr>
            </w:pPr>
          </w:p>
        </w:tc>
        <w:tc>
          <w:tcPr>
            <w:tcW w:w="3516" w:type="dxa"/>
            <w:shd w:val="clear" w:color="auto" w:fill="auto"/>
            <w:vAlign w:val="center"/>
          </w:tcPr>
          <w:p w14:paraId="7B253B7C">
            <w:pPr>
              <w:rPr>
                <w:rFonts w:hint="eastAsia"/>
                <w:color w:val="auto"/>
                <w:sz w:val="18"/>
                <w:szCs w:val="18"/>
              </w:rPr>
            </w:pPr>
            <w:r>
              <w:rPr>
                <w:rFonts w:hint="eastAsia"/>
                <w:color w:val="auto"/>
                <w:sz w:val="18"/>
                <w:szCs w:val="18"/>
              </w:rPr>
              <w:t>生产运作管理</w:t>
            </w:r>
          </w:p>
        </w:tc>
        <w:tc>
          <w:tcPr>
            <w:tcW w:w="1081" w:type="dxa"/>
            <w:shd w:val="clear" w:color="auto" w:fill="auto"/>
            <w:vAlign w:val="center"/>
          </w:tcPr>
          <w:p w14:paraId="0D6F4B08">
            <w:pPr>
              <w:rPr>
                <w:rFonts w:hint="eastAsia" w:eastAsia="宋体"/>
                <w:color w:val="auto"/>
                <w:sz w:val="18"/>
                <w:szCs w:val="18"/>
                <w:lang w:val="en-US" w:eastAsia="zh-CN"/>
              </w:rPr>
            </w:pPr>
            <w:r>
              <w:rPr>
                <w:rFonts w:hint="eastAsia"/>
                <w:color w:val="auto"/>
                <w:sz w:val="18"/>
                <w:szCs w:val="18"/>
              </w:rPr>
              <w:t>XS040320</w:t>
            </w:r>
            <w:r>
              <w:rPr>
                <w:rFonts w:hint="eastAsia"/>
                <w:color w:val="auto"/>
                <w:sz w:val="18"/>
                <w:szCs w:val="18"/>
                <w:lang w:val="en-US" w:eastAsia="zh-CN"/>
              </w:rPr>
              <w:t>8</w:t>
            </w:r>
          </w:p>
        </w:tc>
        <w:tc>
          <w:tcPr>
            <w:tcW w:w="709" w:type="dxa"/>
            <w:shd w:val="clear" w:color="auto" w:fill="auto"/>
            <w:vAlign w:val="center"/>
          </w:tcPr>
          <w:p w14:paraId="39E973D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1FF02F0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64A2792C">
            <w:pPr>
              <w:rPr>
                <w:rFonts w:hint="eastAsia"/>
                <w:color w:val="auto"/>
                <w:sz w:val="18"/>
                <w:szCs w:val="18"/>
              </w:rPr>
            </w:pPr>
          </w:p>
        </w:tc>
      </w:tr>
      <w:tr w14:paraId="15FED7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28A4E4C8">
            <w:pPr>
              <w:jc w:val="center"/>
              <w:rPr>
                <w:b/>
                <w:color w:val="auto"/>
                <w:sz w:val="18"/>
                <w:szCs w:val="18"/>
              </w:rPr>
            </w:pPr>
          </w:p>
        </w:tc>
        <w:tc>
          <w:tcPr>
            <w:tcW w:w="1226" w:type="dxa"/>
            <w:vMerge w:val="restart"/>
            <w:vAlign w:val="center"/>
          </w:tcPr>
          <w:p w14:paraId="13C3C93B">
            <w:pPr>
              <w:jc w:val="center"/>
              <w:rPr>
                <w:b/>
                <w:color w:val="auto"/>
                <w:sz w:val="18"/>
                <w:szCs w:val="18"/>
              </w:rPr>
            </w:pPr>
            <w:r>
              <w:rPr>
                <w:rFonts w:hint="eastAsia"/>
                <w:b/>
                <w:color w:val="auto"/>
                <w:sz w:val="18"/>
                <w:szCs w:val="18"/>
              </w:rPr>
              <w:t>信息管理与智能决策方向选修课</w:t>
            </w:r>
          </w:p>
        </w:tc>
        <w:tc>
          <w:tcPr>
            <w:tcW w:w="3516" w:type="dxa"/>
            <w:shd w:val="clear" w:color="auto" w:fill="auto"/>
            <w:vAlign w:val="center"/>
          </w:tcPr>
          <w:p w14:paraId="6623F812">
            <w:pPr>
              <w:rPr>
                <w:rFonts w:ascii="Times New Roman" w:hAnsi="Times New Roman" w:eastAsia="宋体" w:cs="Times New Roman"/>
                <w:color w:val="auto"/>
                <w:kern w:val="2"/>
                <w:sz w:val="18"/>
                <w:szCs w:val="18"/>
                <w:lang w:val="en-US" w:eastAsia="zh-CN" w:bidi="ar-SA"/>
              </w:rPr>
            </w:pPr>
            <w:r>
              <w:rPr>
                <w:rFonts w:hint="eastAsia"/>
                <w:color w:val="auto"/>
                <w:sz w:val="18"/>
                <w:szCs w:val="18"/>
              </w:rPr>
              <w:t>特色课程（数据挖掘与商务智能）</w:t>
            </w:r>
          </w:p>
        </w:tc>
        <w:tc>
          <w:tcPr>
            <w:tcW w:w="1081" w:type="dxa"/>
            <w:shd w:val="clear" w:color="auto" w:fill="auto"/>
            <w:vAlign w:val="center"/>
          </w:tcPr>
          <w:p w14:paraId="514F071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4</w:t>
            </w:r>
          </w:p>
        </w:tc>
        <w:tc>
          <w:tcPr>
            <w:tcW w:w="709" w:type="dxa"/>
            <w:shd w:val="clear" w:color="auto" w:fill="auto"/>
            <w:vAlign w:val="center"/>
          </w:tcPr>
          <w:p w14:paraId="772F2B82">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EC85ECA">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restart"/>
            <w:vAlign w:val="center"/>
          </w:tcPr>
          <w:p w14:paraId="33C38E4D">
            <w:pPr>
              <w:adjustRightInd w:val="0"/>
              <w:snapToGrid w:val="0"/>
              <w:jc w:val="center"/>
              <w:rPr>
                <w:color w:val="auto"/>
                <w:sz w:val="18"/>
                <w:szCs w:val="18"/>
              </w:rPr>
            </w:pPr>
            <w:r>
              <w:rPr>
                <w:color w:val="auto"/>
                <w:sz w:val="18"/>
                <w:szCs w:val="18"/>
              </w:rPr>
              <w:t>本方向研究生至少选修</w:t>
            </w:r>
          </w:p>
          <w:p w14:paraId="4F02DD99">
            <w:pPr>
              <w:jc w:val="center"/>
              <w:rPr>
                <w:i/>
                <w:color w:val="auto"/>
                <w:sz w:val="18"/>
                <w:szCs w:val="18"/>
              </w:rPr>
            </w:pPr>
            <w:r>
              <w:rPr>
                <w:rFonts w:hint="eastAsia"/>
                <w:color w:val="auto"/>
                <w:sz w:val="18"/>
                <w:szCs w:val="18"/>
                <w:highlight w:val="none"/>
                <w:lang w:val="en-US" w:eastAsia="zh-CN"/>
              </w:rPr>
              <w:t>4</w:t>
            </w:r>
            <w:r>
              <w:rPr>
                <w:color w:val="auto"/>
                <w:sz w:val="18"/>
                <w:szCs w:val="18"/>
              </w:rPr>
              <w:t>学分</w:t>
            </w:r>
          </w:p>
        </w:tc>
      </w:tr>
      <w:tr w14:paraId="5D1C96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7455DAD0">
            <w:pPr>
              <w:jc w:val="center"/>
              <w:rPr>
                <w:b/>
                <w:color w:val="auto"/>
                <w:sz w:val="18"/>
                <w:szCs w:val="18"/>
              </w:rPr>
            </w:pPr>
          </w:p>
        </w:tc>
        <w:tc>
          <w:tcPr>
            <w:tcW w:w="1226" w:type="dxa"/>
            <w:vMerge w:val="continue"/>
            <w:vAlign w:val="center"/>
          </w:tcPr>
          <w:p w14:paraId="1BC8BB53">
            <w:pPr>
              <w:jc w:val="center"/>
              <w:rPr>
                <w:b/>
                <w:color w:val="auto"/>
                <w:sz w:val="18"/>
                <w:szCs w:val="18"/>
              </w:rPr>
            </w:pPr>
          </w:p>
        </w:tc>
        <w:tc>
          <w:tcPr>
            <w:tcW w:w="3516" w:type="dxa"/>
            <w:shd w:val="clear" w:color="auto" w:fill="auto"/>
            <w:vAlign w:val="center"/>
          </w:tcPr>
          <w:p w14:paraId="1B4E33BF">
            <w:pPr>
              <w:rPr>
                <w:rFonts w:ascii="Times New Roman" w:hAnsi="Times New Roman" w:eastAsia="宋体" w:cs="Times New Roman"/>
                <w:color w:val="auto"/>
                <w:kern w:val="2"/>
                <w:sz w:val="18"/>
                <w:szCs w:val="18"/>
                <w:lang w:val="en-US" w:eastAsia="zh-CN" w:bidi="ar-SA"/>
              </w:rPr>
            </w:pPr>
            <w:r>
              <w:rPr>
                <w:rFonts w:hint="eastAsia"/>
                <w:color w:val="auto"/>
                <w:sz w:val="18"/>
                <w:szCs w:val="18"/>
              </w:rPr>
              <w:t>物流与供应链管理</w:t>
            </w:r>
          </w:p>
        </w:tc>
        <w:tc>
          <w:tcPr>
            <w:tcW w:w="1081" w:type="dxa"/>
            <w:shd w:val="clear" w:color="auto" w:fill="auto"/>
            <w:vAlign w:val="center"/>
          </w:tcPr>
          <w:p w14:paraId="3BDFBB7A">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XS0403201</w:t>
            </w:r>
          </w:p>
        </w:tc>
        <w:tc>
          <w:tcPr>
            <w:tcW w:w="709" w:type="dxa"/>
            <w:shd w:val="clear" w:color="auto" w:fill="auto"/>
            <w:vAlign w:val="center"/>
          </w:tcPr>
          <w:p w14:paraId="6422FA9A">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B6E45C7">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346FA4A7">
            <w:pPr>
              <w:jc w:val="center"/>
              <w:rPr>
                <w:i/>
                <w:color w:val="auto"/>
                <w:sz w:val="18"/>
                <w:szCs w:val="18"/>
              </w:rPr>
            </w:pPr>
          </w:p>
        </w:tc>
      </w:tr>
      <w:tr w14:paraId="4B92AE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266E0FAF">
            <w:pPr>
              <w:jc w:val="center"/>
              <w:rPr>
                <w:b/>
                <w:color w:val="auto"/>
                <w:sz w:val="18"/>
                <w:szCs w:val="18"/>
              </w:rPr>
            </w:pPr>
          </w:p>
        </w:tc>
        <w:tc>
          <w:tcPr>
            <w:tcW w:w="1226" w:type="dxa"/>
            <w:vMerge w:val="continue"/>
            <w:vAlign w:val="center"/>
          </w:tcPr>
          <w:p w14:paraId="62519FA8">
            <w:pPr>
              <w:jc w:val="center"/>
              <w:rPr>
                <w:b/>
                <w:color w:val="auto"/>
                <w:sz w:val="18"/>
                <w:szCs w:val="18"/>
              </w:rPr>
            </w:pPr>
          </w:p>
        </w:tc>
        <w:tc>
          <w:tcPr>
            <w:tcW w:w="3516" w:type="dxa"/>
            <w:shd w:val="clear" w:color="auto" w:fill="auto"/>
            <w:vAlign w:val="center"/>
          </w:tcPr>
          <w:p w14:paraId="4E8C1A77">
            <w:pPr>
              <w:rPr>
                <w:rFonts w:ascii="Times New Roman" w:hAnsi="Times New Roman" w:eastAsia="宋体" w:cs="Times New Roman"/>
                <w:color w:val="auto"/>
                <w:kern w:val="2"/>
                <w:sz w:val="18"/>
                <w:szCs w:val="18"/>
                <w:lang w:val="en-US" w:eastAsia="zh-CN" w:bidi="ar-SA"/>
              </w:rPr>
            </w:pPr>
            <w:r>
              <w:rPr>
                <w:rFonts w:hint="eastAsia"/>
                <w:color w:val="auto"/>
                <w:sz w:val="18"/>
                <w:szCs w:val="18"/>
              </w:rPr>
              <w:t>决策支持系统</w:t>
            </w:r>
          </w:p>
        </w:tc>
        <w:tc>
          <w:tcPr>
            <w:tcW w:w="1081" w:type="dxa"/>
            <w:shd w:val="clear" w:color="auto" w:fill="auto"/>
            <w:vAlign w:val="center"/>
          </w:tcPr>
          <w:p w14:paraId="0C02255B">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5</w:t>
            </w:r>
          </w:p>
        </w:tc>
        <w:tc>
          <w:tcPr>
            <w:tcW w:w="709" w:type="dxa"/>
            <w:shd w:val="clear" w:color="auto" w:fill="auto"/>
            <w:vAlign w:val="center"/>
          </w:tcPr>
          <w:p w14:paraId="1555FCD0">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D937615">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7035CF07">
            <w:pPr>
              <w:jc w:val="center"/>
              <w:rPr>
                <w:i/>
                <w:color w:val="auto"/>
                <w:sz w:val="18"/>
                <w:szCs w:val="18"/>
              </w:rPr>
            </w:pPr>
          </w:p>
        </w:tc>
      </w:tr>
      <w:tr w14:paraId="19634B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756FE451">
            <w:pPr>
              <w:jc w:val="center"/>
              <w:rPr>
                <w:b/>
                <w:color w:val="auto"/>
                <w:sz w:val="18"/>
                <w:szCs w:val="18"/>
              </w:rPr>
            </w:pPr>
          </w:p>
        </w:tc>
        <w:tc>
          <w:tcPr>
            <w:tcW w:w="1226" w:type="dxa"/>
            <w:vMerge w:val="continue"/>
            <w:vAlign w:val="center"/>
          </w:tcPr>
          <w:p w14:paraId="5B308E29">
            <w:pPr>
              <w:jc w:val="center"/>
              <w:rPr>
                <w:b/>
                <w:color w:val="auto"/>
                <w:sz w:val="18"/>
                <w:szCs w:val="18"/>
              </w:rPr>
            </w:pPr>
          </w:p>
        </w:tc>
        <w:tc>
          <w:tcPr>
            <w:tcW w:w="3516" w:type="dxa"/>
            <w:shd w:val="clear" w:color="auto" w:fill="auto"/>
            <w:vAlign w:val="center"/>
          </w:tcPr>
          <w:p w14:paraId="05BF7671">
            <w:pPr>
              <w:rPr>
                <w:rFonts w:ascii="Times New Roman" w:hAnsi="Times New Roman" w:eastAsia="宋体" w:cs="Times New Roman"/>
                <w:color w:val="auto"/>
                <w:kern w:val="2"/>
                <w:sz w:val="18"/>
                <w:szCs w:val="18"/>
                <w:lang w:val="en-US" w:eastAsia="zh-CN" w:bidi="ar-SA"/>
              </w:rPr>
            </w:pPr>
            <w:r>
              <w:rPr>
                <w:rFonts w:hint="eastAsia"/>
                <w:color w:val="auto"/>
                <w:sz w:val="18"/>
                <w:szCs w:val="18"/>
              </w:rPr>
              <w:t>最优化理论与方法</w:t>
            </w:r>
          </w:p>
        </w:tc>
        <w:tc>
          <w:tcPr>
            <w:tcW w:w="1081" w:type="dxa"/>
            <w:shd w:val="clear" w:color="auto" w:fill="auto"/>
            <w:vAlign w:val="center"/>
          </w:tcPr>
          <w:p w14:paraId="450FF01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7</w:t>
            </w:r>
          </w:p>
        </w:tc>
        <w:tc>
          <w:tcPr>
            <w:tcW w:w="709" w:type="dxa"/>
            <w:shd w:val="clear" w:color="auto" w:fill="auto"/>
            <w:vAlign w:val="center"/>
          </w:tcPr>
          <w:p w14:paraId="67A147EA">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344C4D6">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7E9B582C">
            <w:pPr>
              <w:jc w:val="center"/>
              <w:rPr>
                <w:i/>
                <w:color w:val="auto"/>
                <w:sz w:val="18"/>
                <w:szCs w:val="18"/>
              </w:rPr>
            </w:pPr>
          </w:p>
        </w:tc>
      </w:tr>
      <w:tr w14:paraId="203023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571" w:type="dxa"/>
            <w:vMerge w:val="continue"/>
            <w:vAlign w:val="center"/>
          </w:tcPr>
          <w:p w14:paraId="1BF1D137">
            <w:pPr>
              <w:jc w:val="center"/>
              <w:rPr>
                <w:b/>
                <w:color w:val="auto"/>
                <w:sz w:val="18"/>
                <w:szCs w:val="18"/>
              </w:rPr>
            </w:pPr>
          </w:p>
        </w:tc>
        <w:tc>
          <w:tcPr>
            <w:tcW w:w="1226" w:type="dxa"/>
            <w:vMerge w:val="continue"/>
            <w:vAlign w:val="center"/>
          </w:tcPr>
          <w:p w14:paraId="3482B20C">
            <w:pPr>
              <w:jc w:val="center"/>
              <w:rPr>
                <w:b/>
                <w:color w:val="auto"/>
                <w:sz w:val="18"/>
                <w:szCs w:val="18"/>
              </w:rPr>
            </w:pPr>
          </w:p>
        </w:tc>
        <w:tc>
          <w:tcPr>
            <w:tcW w:w="3516" w:type="dxa"/>
            <w:shd w:val="clear" w:color="auto" w:fill="auto"/>
            <w:vAlign w:val="center"/>
          </w:tcPr>
          <w:p w14:paraId="291B939E">
            <w:pPr>
              <w:rPr>
                <w:rFonts w:ascii="Times New Roman" w:hAnsi="Times New Roman" w:eastAsia="宋体" w:cs="Times New Roman"/>
                <w:color w:val="auto"/>
                <w:kern w:val="2"/>
                <w:sz w:val="18"/>
                <w:szCs w:val="18"/>
                <w:lang w:val="en-US" w:eastAsia="zh-CN" w:bidi="ar-SA"/>
              </w:rPr>
            </w:pPr>
            <w:r>
              <w:rPr>
                <w:rFonts w:hint="eastAsia"/>
                <w:color w:val="auto"/>
                <w:sz w:val="18"/>
                <w:szCs w:val="18"/>
                <w:highlight w:val="none"/>
                <w:lang w:val="en-US" w:eastAsia="zh-CN"/>
              </w:rPr>
              <w:t>现代管理科学前沿</w:t>
            </w:r>
          </w:p>
        </w:tc>
        <w:tc>
          <w:tcPr>
            <w:tcW w:w="1081" w:type="dxa"/>
            <w:shd w:val="clear" w:color="auto" w:fill="auto"/>
            <w:vAlign w:val="center"/>
          </w:tcPr>
          <w:p w14:paraId="1F9B840C">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XS04032</w:t>
            </w:r>
            <w:r>
              <w:rPr>
                <w:rFonts w:hint="eastAsia"/>
                <w:color w:val="auto"/>
                <w:sz w:val="18"/>
                <w:szCs w:val="18"/>
                <w:lang w:val="en-US" w:eastAsia="zh-CN"/>
              </w:rPr>
              <w:t>10</w:t>
            </w:r>
          </w:p>
        </w:tc>
        <w:tc>
          <w:tcPr>
            <w:tcW w:w="709" w:type="dxa"/>
            <w:shd w:val="clear" w:color="auto" w:fill="auto"/>
            <w:vAlign w:val="center"/>
          </w:tcPr>
          <w:p w14:paraId="1965C278">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4D2EC9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21DFE2AF">
            <w:pPr>
              <w:jc w:val="center"/>
              <w:rPr>
                <w:i/>
                <w:color w:val="auto"/>
                <w:sz w:val="18"/>
                <w:szCs w:val="18"/>
              </w:rPr>
            </w:pPr>
          </w:p>
        </w:tc>
      </w:tr>
      <w:tr w14:paraId="23D7DA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9" w:hRule="atLeast"/>
          <w:jc w:val="center"/>
        </w:trPr>
        <w:tc>
          <w:tcPr>
            <w:tcW w:w="571" w:type="dxa"/>
            <w:vMerge w:val="continue"/>
            <w:vAlign w:val="center"/>
          </w:tcPr>
          <w:p w14:paraId="62389F49">
            <w:pPr>
              <w:rPr>
                <w:color w:val="auto"/>
              </w:rPr>
            </w:pPr>
          </w:p>
        </w:tc>
        <w:tc>
          <w:tcPr>
            <w:tcW w:w="1226" w:type="dxa"/>
            <w:vMerge w:val="continue"/>
            <w:vAlign w:val="center"/>
          </w:tcPr>
          <w:p w14:paraId="3E5B9D78">
            <w:pPr>
              <w:rPr>
                <w:color w:val="auto"/>
              </w:rPr>
            </w:pPr>
          </w:p>
        </w:tc>
        <w:tc>
          <w:tcPr>
            <w:tcW w:w="3516" w:type="dxa"/>
            <w:shd w:val="clear" w:color="auto" w:fill="auto"/>
            <w:vAlign w:val="center"/>
          </w:tcPr>
          <w:p w14:paraId="6551F577">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信息系统规划与管理</w:t>
            </w:r>
          </w:p>
        </w:tc>
        <w:tc>
          <w:tcPr>
            <w:tcW w:w="1081" w:type="dxa"/>
            <w:shd w:val="clear" w:color="auto" w:fill="auto"/>
            <w:vAlign w:val="center"/>
          </w:tcPr>
          <w:p w14:paraId="04452F7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XS040320</w:t>
            </w:r>
            <w:r>
              <w:rPr>
                <w:rFonts w:hint="eastAsia"/>
                <w:color w:val="auto"/>
                <w:sz w:val="18"/>
                <w:szCs w:val="18"/>
                <w:lang w:val="en-US" w:eastAsia="zh-CN"/>
              </w:rPr>
              <w:t>9</w:t>
            </w:r>
            <w:bookmarkStart w:id="1" w:name="_GoBack"/>
            <w:bookmarkEnd w:id="1"/>
          </w:p>
        </w:tc>
        <w:tc>
          <w:tcPr>
            <w:tcW w:w="709" w:type="dxa"/>
            <w:shd w:val="clear" w:color="auto" w:fill="auto"/>
            <w:vAlign w:val="center"/>
          </w:tcPr>
          <w:p w14:paraId="39E62CD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7A51CD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vMerge w:val="continue"/>
            <w:vAlign w:val="center"/>
          </w:tcPr>
          <w:p w14:paraId="54AD14FC">
            <w:pPr>
              <w:rPr>
                <w:rFonts w:hint="eastAsia"/>
                <w:color w:val="auto"/>
                <w:sz w:val="18"/>
                <w:szCs w:val="18"/>
              </w:rPr>
            </w:pPr>
          </w:p>
        </w:tc>
      </w:tr>
      <w:tr w14:paraId="553695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5409ACE9">
            <w:pPr>
              <w:jc w:val="center"/>
              <w:rPr>
                <w:b/>
                <w:color w:val="auto"/>
                <w:sz w:val="18"/>
                <w:szCs w:val="18"/>
              </w:rPr>
            </w:pPr>
            <w:r>
              <w:rPr>
                <w:b/>
                <w:color w:val="auto"/>
                <w:sz w:val="18"/>
                <w:szCs w:val="18"/>
              </w:rPr>
              <w:t>必修环节</w:t>
            </w:r>
          </w:p>
          <w:p w14:paraId="756C7D0B">
            <w:pPr>
              <w:jc w:val="center"/>
              <w:rPr>
                <w:b/>
                <w:color w:val="auto"/>
                <w:sz w:val="18"/>
                <w:szCs w:val="18"/>
              </w:rPr>
            </w:pPr>
          </w:p>
        </w:tc>
        <w:tc>
          <w:tcPr>
            <w:tcW w:w="1226" w:type="dxa"/>
            <w:vMerge w:val="restart"/>
            <w:vAlign w:val="center"/>
          </w:tcPr>
          <w:p w14:paraId="7A90243F">
            <w:pPr>
              <w:jc w:val="center"/>
              <w:rPr>
                <w:b/>
                <w:color w:val="auto"/>
                <w:sz w:val="18"/>
                <w:szCs w:val="18"/>
              </w:rPr>
            </w:pPr>
            <w:r>
              <w:rPr>
                <w:b/>
                <w:color w:val="auto"/>
                <w:sz w:val="18"/>
                <w:szCs w:val="18"/>
              </w:rPr>
              <w:t>素质拓展</w:t>
            </w:r>
          </w:p>
        </w:tc>
        <w:tc>
          <w:tcPr>
            <w:tcW w:w="3516" w:type="dxa"/>
            <w:vAlign w:val="center"/>
          </w:tcPr>
          <w:p w14:paraId="2ED9E1EA">
            <w:pPr>
              <w:rPr>
                <w:color w:val="auto"/>
                <w:sz w:val="18"/>
                <w:szCs w:val="18"/>
              </w:rPr>
            </w:pPr>
            <w:r>
              <w:rPr>
                <w:color w:val="auto"/>
                <w:sz w:val="18"/>
                <w:szCs w:val="18"/>
              </w:rPr>
              <w:t>入学教育</w:t>
            </w:r>
          </w:p>
        </w:tc>
        <w:tc>
          <w:tcPr>
            <w:tcW w:w="1081" w:type="dxa"/>
            <w:vAlign w:val="center"/>
          </w:tcPr>
          <w:p w14:paraId="23190E47">
            <w:pPr>
              <w:jc w:val="center"/>
              <w:rPr>
                <w:color w:val="auto"/>
                <w:sz w:val="18"/>
                <w:szCs w:val="18"/>
              </w:rPr>
            </w:pPr>
          </w:p>
        </w:tc>
        <w:tc>
          <w:tcPr>
            <w:tcW w:w="709" w:type="dxa"/>
            <w:vAlign w:val="center"/>
          </w:tcPr>
          <w:p w14:paraId="735B764A">
            <w:pPr>
              <w:jc w:val="center"/>
              <w:rPr>
                <w:color w:val="auto"/>
                <w:sz w:val="18"/>
                <w:szCs w:val="18"/>
              </w:rPr>
            </w:pPr>
          </w:p>
        </w:tc>
        <w:tc>
          <w:tcPr>
            <w:tcW w:w="709" w:type="dxa"/>
            <w:vAlign w:val="center"/>
          </w:tcPr>
          <w:p w14:paraId="7D035D74">
            <w:pPr>
              <w:jc w:val="center"/>
              <w:rPr>
                <w:color w:val="auto"/>
                <w:sz w:val="18"/>
                <w:szCs w:val="18"/>
              </w:rPr>
            </w:pPr>
            <w:r>
              <w:rPr>
                <w:color w:val="auto"/>
                <w:sz w:val="18"/>
                <w:szCs w:val="18"/>
              </w:rPr>
              <w:t>1</w:t>
            </w:r>
          </w:p>
        </w:tc>
        <w:tc>
          <w:tcPr>
            <w:tcW w:w="1045" w:type="dxa"/>
            <w:vMerge w:val="restart"/>
            <w:vAlign w:val="center"/>
          </w:tcPr>
          <w:p w14:paraId="37A9104F">
            <w:pPr>
              <w:jc w:val="center"/>
              <w:rPr>
                <w:i/>
                <w:color w:val="auto"/>
                <w:sz w:val="18"/>
                <w:szCs w:val="18"/>
              </w:rPr>
            </w:pPr>
          </w:p>
        </w:tc>
      </w:tr>
      <w:tr w14:paraId="148611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64D8AF64">
            <w:pPr>
              <w:jc w:val="center"/>
              <w:rPr>
                <w:b/>
                <w:color w:val="auto"/>
                <w:sz w:val="18"/>
                <w:szCs w:val="18"/>
              </w:rPr>
            </w:pPr>
          </w:p>
        </w:tc>
        <w:tc>
          <w:tcPr>
            <w:tcW w:w="1226" w:type="dxa"/>
            <w:vMerge w:val="continue"/>
            <w:vAlign w:val="center"/>
          </w:tcPr>
          <w:p w14:paraId="6E046901">
            <w:pPr>
              <w:jc w:val="center"/>
              <w:rPr>
                <w:b/>
                <w:color w:val="auto"/>
                <w:sz w:val="18"/>
                <w:szCs w:val="18"/>
              </w:rPr>
            </w:pPr>
          </w:p>
        </w:tc>
        <w:tc>
          <w:tcPr>
            <w:tcW w:w="3516" w:type="dxa"/>
            <w:vAlign w:val="center"/>
          </w:tcPr>
          <w:p w14:paraId="174C93B0">
            <w:pPr>
              <w:rPr>
                <w:color w:val="auto"/>
                <w:sz w:val="18"/>
                <w:szCs w:val="18"/>
              </w:rPr>
            </w:pPr>
            <w:r>
              <w:rPr>
                <w:color w:val="auto"/>
                <w:sz w:val="18"/>
                <w:szCs w:val="18"/>
                <w:highlight w:val="none"/>
              </w:rPr>
              <w:t>学术活动</w:t>
            </w:r>
            <w:r>
              <w:rPr>
                <w:rFonts w:hint="eastAsia"/>
                <w:color w:val="auto"/>
                <w:sz w:val="18"/>
                <w:szCs w:val="18"/>
                <w:highlight w:val="none"/>
                <w:lang w:val="en-US" w:eastAsia="zh-CN"/>
              </w:rPr>
              <w:t>+学科竞赛</w:t>
            </w:r>
          </w:p>
        </w:tc>
        <w:tc>
          <w:tcPr>
            <w:tcW w:w="1081" w:type="dxa"/>
            <w:vAlign w:val="center"/>
          </w:tcPr>
          <w:p w14:paraId="0562F39C">
            <w:pPr>
              <w:jc w:val="center"/>
              <w:rPr>
                <w:color w:val="auto"/>
                <w:sz w:val="18"/>
                <w:szCs w:val="18"/>
              </w:rPr>
            </w:pPr>
          </w:p>
        </w:tc>
        <w:tc>
          <w:tcPr>
            <w:tcW w:w="709" w:type="dxa"/>
            <w:vAlign w:val="center"/>
          </w:tcPr>
          <w:p w14:paraId="07797D06">
            <w:pPr>
              <w:jc w:val="center"/>
              <w:rPr>
                <w:color w:val="auto"/>
                <w:sz w:val="18"/>
                <w:szCs w:val="18"/>
              </w:rPr>
            </w:pPr>
            <w:r>
              <w:rPr>
                <w:color w:val="auto"/>
                <w:sz w:val="18"/>
                <w:szCs w:val="18"/>
              </w:rPr>
              <w:t>1</w:t>
            </w:r>
          </w:p>
        </w:tc>
        <w:tc>
          <w:tcPr>
            <w:tcW w:w="709" w:type="dxa"/>
            <w:vAlign w:val="center"/>
          </w:tcPr>
          <w:p w14:paraId="63A11951">
            <w:pPr>
              <w:jc w:val="center"/>
              <w:rPr>
                <w:color w:val="auto"/>
                <w:sz w:val="18"/>
                <w:szCs w:val="18"/>
              </w:rPr>
            </w:pPr>
            <w:r>
              <w:rPr>
                <w:color w:val="auto"/>
                <w:sz w:val="18"/>
                <w:szCs w:val="18"/>
              </w:rPr>
              <w:t>1-6</w:t>
            </w:r>
          </w:p>
        </w:tc>
        <w:tc>
          <w:tcPr>
            <w:tcW w:w="1045" w:type="dxa"/>
            <w:vMerge w:val="continue"/>
            <w:vAlign w:val="center"/>
          </w:tcPr>
          <w:p w14:paraId="297E08F5">
            <w:pPr>
              <w:jc w:val="center"/>
              <w:rPr>
                <w:color w:val="auto"/>
                <w:sz w:val="18"/>
                <w:szCs w:val="18"/>
              </w:rPr>
            </w:pPr>
          </w:p>
        </w:tc>
      </w:tr>
      <w:tr w14:paraId="55E085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7DF47A">
            <w:pPr>
              <w:rPr>
                <w:b/>
                <w:color w:val="auto"/>
                <w:sz w:val="18"/>
                <w:szCs w:val="18"/>
              </w:rPr>
            </w:pPr>
          </w:p>
        </w:tc>
        <w:tc>
          <w:tcPr>
            <w:tcW w:w="1226" w:type="dxa"/>
            <w:vMerge w:val="restart"/>
            <w:vAlign w:val="center"/>
          </w:tcPr>
          <w:p w14:paraId="55483B46">
            <w:pPr>
              <w:jc w:val="center"/>
              <w:rPr>
                <w:b/>
                <w:color w:val="auto"/>
                <w:sz w:val="18"/>
                <w:szCs w:val="18"/>
              </w:rPr>
            </w:pPr>
            <w:r>
              <w:rPr>
                <w:b/>
                <w:color w:val="auto"/>
                <w:sz w:val="18"/>
                <w:szCs w:val="18"/>
              </w:rPr>
              <w:t>学术训练</w:t>
            </w:r>
          </w:p>
        </w:tc>
        <w:tc>
          <w:tcPr>
            <w:tcW w:w="3516" w:type="dxa"/>
            <w:vAlign w:val="center"/>
          </w:tcPr>
          <w:p w14:paraId="06E72DA2">
            <w:pPr>
              <w:rPr>
                <w:color w:val="auto"/>
                <w:sz w:val="18"/>
                <w:szCs w:val="18"/>
              </w:rPr>
            </w:pPr>
            <w:r>
              <w:rPr>
                <w:color w:val="auto"/>
                <w:sz w:val="18"/>
                <w:szCs w:val="18"/>
              </w:rPr>
              <w:t>中期筛选</w:t>
            </w:r>
          </w:p>
        </w:tc>
        <w:tc>
          <w:tcPr>
            <w:tcW w:w="1081" w:type="dxa"/>
            <w:vAlign w:val="center"/>
          </w:tcPr>
          <w:p w14:paraId="41EF321A">
            <w:pPr>
              <w:jc w:val="center"/>
              <w:rPr>
                <w:color w:val="auto"/>
                <w:sz w:val="18"/>
                <w:szCs w:val="18"/>
              </w:rPr>
            </w:pPr>
          </w:p>
        </w:tc>
        <w:tc>
          <w:tcPr>
            <w:tcW w:w="709" w:type="dxa"/>
            <w:vAlign w:val="center"/>
          </w:tcPr>
          <w:p w14:paraId="55F8EA72">
            <w:pPr>
              <w:jc w:val="center"/>
              <w:rPr>
                <w:color w:val="auto"/>
                <w:sz w:val="18"/>
                <w:szCs w:val="18"/>
              </w:rPr>
            </w:pPr>
          </w:p>
        </w:tc>
        <w:tc>
          <w:tcPr>
            <w:tcW w:w="709" w:type="dxa"/>
            <w:vAlign w:val="center"/>
          </w:tcPr>
          <w:p w14:paraId="179DB429">
            <w:pPr>
              <w:jc w:val="center"/>
              <w:rPr>
                <w:rFonts w:hint="eastAsia" w:eastAsia="宋体"/>
                <w:color w:val="auto"/>
                <w:sz w:val="18"/>
                <w:szCs w:val="18"/>
                <w:lang w:eastAsia="zh-CN"/>
              </w:rPr>
            </w:pPr>
            <w:r>
              <w:rPr>
                <w:rFonts w:hint="eastAsia"/>
                <w:i/>
                <w:color w:val="auto"/>
                <w:sz w:val="18"/>
                <w:szCs w:val="18"/>
                <w:lang w:val="en-US" w:eastAsia="zh-CN"/>
              </w:rPr>
              <w:t>3</w:t>
            </w:r>
          </w:p>
        </w:tc>
        <w:tc>
          <w:tcPr>
            <w:tcW w:w="1045" w:type="dxa"/>
            <w:vMerge w:val="restart"/>
            <w:vAlign w:val="center"/>
          </w:tcPr>
          <w:p w14:paraId="01C75F8D">
            <w:pPr>
              <w:jc w:val="center"/>
              <w:rPr>
                <w:color w:val="auto"/>
                <w:sz w:val="18"/>
                <w:szCs w:val="18"/>
              </w:rPr>
            </w:pPr>
            <w:r>
              <w:rPr>
                <w:color w:val="auto"/>
                <w:sz w:val="18"/>
                <w:szCs w:val="18"/>
              </w:rPr>
              <w:t>过程管理</w:t>
            </w:r>
          </w:p>
          <w:p w14:paraId="104E2F34">
            <w:pPr>
              <w:jc w:val="center"/>
              <w:rPr>
                <w:color w:val="auto"/>
                <w:sz w:val="18"/>
                <w:szCs w:val="18"/>
              </w:rPr>
            </w:pPr>
            <w:r>
              <w:rPr>
                <w:color w:val="auto"/>
                <w:sz w:val="18"/>
                <w:szCs w:val="18"/>
              </w:rPr>
              <w:t>无学分</w:t>
            </w:r>
          </w:p>
        </w:tc>
      </w:tr>
      <w:tr w14:paraId="19327E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E9801E">
            <w:pPr>
              <w:rPr>
                <w:b/>
                <w:color w:val="auto"/>
                <w:sz w:val="18"/>
                <w:szCs w:val="18"/>
              </w:rPr>
            </w:pPr>
          </w:p>
        </w:tc>
        <w:tc>
          <w:tcPr>
            <w:tcW w:w="1226" w:type="dxa"/>
            <w:vMerge w:val="continue"/>
            <w:vAlign w:val="center"/>
          </w:tcPr>
          <w:p w14:paraId="79017DBD">
            <w:pPr>
              <w:jc w:val="center"/>
              <w:rPr>
                <w:b/>
                <w:color w:val="auto"/>
                <w:sz w:val="18"/>
                <w:szCs w:val="18"/>
              </w:rPr>
            </w:pPr>
          </w:p>
        </w:tc>
        <w:tc>
          <w:tcPr>
            <w:tcW w:w="3516" w:type="dxa"/>
            <w:shd w:val="clear" w:color="auto" w:fill="auto"/>
            <w:vAlign w:val="center"/>
          </w:tcPr>
          <w:p w14:paraId="67F1665B">
            <w:pPr>
              <w:rPr>
                <w:rFonts w:ascii="Times New Roman" w:hAnsi="Times New Roman" w:eastAsia="宋体" w:cs="Times New Roman"/>
                <w:color w:val="auto"/>
                <w:kern w:val="2"/>
                <w:sz w:val="18"/>
                <w:szCs w:val="18"/>
                <w:lang w:val="en-US" w:eastAsia="zh-CN" w:bidi="ar-SA"/>
              </w:rPr>
            </w:pPr>
            <w:r>
              <w:rPr>
                <w:color w:val="auto"/>
                <w:sz w:val="18"/>
                <w:szCs w:val="18"/>
              </w:rPr>
              <w:t>论文开题</w:t>
            </w:r>
          </w:p>
        </w:tc>
        <w:tc>
          <w:tcPr>
            <w:tcW w:w="1081" w:type="dxa"/>
            <w:vAlign w:val="center"/>
          </w:tcPr>
          <w:p w14:paraId="05BB707E">
            <w:pPr>
              <w:jc w:val="center"/>
              <w:rPr>
                <w:color w:val="auto"/>
                <w:sz w:val="18"/>
                <w:szCs w:val="18"/>
              </w:rPr>
            </w:pPr>
          </w:p>
        </w:tc>
        <w:tc>
          <w:tcPr>
            <w:tcW w:w="709" w:type="dxa"/>
            <w:vAlign w:val="center"/>
          </w:tcPr>
          <w:p w14:paraId="7C86496D">
            <w:pPr>
              <w:jc w:val="center"/>
              <w:rPr>
                <w:color w:val="auto"/>
                <w:sz w:val="18"/>
                <w:szCs w:val="18"/>
              </w:rPr>
            </w:pPr>
          </w:p>
        </w:tc>
        <w:tc>
          <w:tcPr>
            <w:tcW w:w="709" w:type="dxa"/>
            <w:shd w:val="clear" w:color="auto" w:fill="auto"/>
            <w:vAlign w:val="center"/>
          </w:tcPr>
          <w:p w14:paraId="7E47A1B7">
            <w:pPr>
              <w:jc w:val="center"/>
              <w:rPr>
                <w:rFonts w:hint="eastAsia" w:ascii="Times New Roman" w:hAnsi="Times New Roman" w:eastAsia="宋体" w:cs="Times New Roman"/>
                <w:color w:val="auto"/>
                <w:kern w:val="2"/>
                <w:sz w:val="18"/>
                <w:szCs w:val="18"/>
                <w:lang w:val="en-US" w:eastAsia="zh-CN" w:bidi="ar-SA"/>
              </w:rPr>
            </w:pPr>
            <w:r>
              <w:rPr>
                <w:rFonts w:hint="eastAsia"/>
                <w:i/>
                <w:color w:val="auto"/>
                <w:sz w:val="18"/>
                <w:szCs w:val="18"/>
                <w:lang w:val="en-US" w:eastAsia="zh-CN"/>
              </w:rPr>
              <w:t>3</w:t>
            </w:r>
          </w:p>
        </w:tc>
        <w:tc>
          <w:tcPr>
            <w:tcW w:w="1045" w:type="dxa"/>
            <w:vMerge w:val="continue"/>
            <w:vAlign w:val="center"/>
          </w:tcPr>
          <w:p w14:paraId="2FA18B42">
            <w:pPr>
              <w:jc w:val="center"/>
              <w:rPr>
                <w:color w:val="auto"/>
                <w:sz w:val="18"/>
                <w:szCs w:val="18"/>
              </w:rPr>
            </w:pPr>
          </w:p>
        </w:tc>
      </w:tr>
      <w:tr w14:paraId="569575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949394">
            <w:pPr>
              <w:rPr>
                <w:b/>
                <w:color w:val="auto"/>
                <w:sz w:val="18"/>
                <w:szCs w:val="18"/>
              </w:rPr>
            </w:pPr>
          </w:p>
        </w:tc>
        <w:tc>
          <w:tcPr>
            <w:tcW w:w="1226" w:type="dxa"/>
            <w:vMerge w:val="continue"/>
            <w:vAlign w:val="center"/>
          </w:tcPr>
          <w:p w14:paraId="7058B134">
            <w:pPr>
              <w:jc w:val="center"/>
              <w:rPr>
                <w:b/>
                <w:color w:val="auto"/>
                <w:sz w:val="18"/>
                <w:szCs w:val="18"/>
              </w:rPr>
            </w:pPr>
          </w:p>
        </w:tc>
        <w:tc>
          <w:tcPr>
            <w:tcW w:w="3516" w:type="dxa"/>
            <w:shd w:val="clear" w:color="auto" w:fill="auto"/>
            <w:vAlign w:val="center"/>
          </w:tcPr>
          <w:p w14:paraId="61934FFF">
            <w:pPr>
              <w:rPr>
                <w:rFonts w:hint="default" w:ascii="Times New Roman" w:hAnsi="Times New Roman" w:eastAsia="宋体" w:cs="Times New Roman"/>
                <w:color w:val="auto"/>
                <w:kern w:val="2"/>
                <w:sz w:val="18"/>
                <w:szCs w:val="18"/>
                <w:lang w:val="en-US" w:eastAsia="zh-CN" w:bidi="ar-SA"/>
              </w:rPr>
            </w:pPr>
            <w:r>
              <w:rPr>
                <w:color w:val="auto"/>
                <w:sz w:val="18"/>
                <w:szCs w:val="18"/>
              </w:rPr>
              <w:t>论文中期进展报告</w:t>
            </w:r>
            <w:r>
              <w:rPr>
                <w:rFonts w:hint="eastAsia"/>
                <w:color w:val="auto"/>
                <w:sz w:val="18"/>
                <w:szCs w:val="18"/>
                <w:lang w:eastAsia="zh-CN"/>
              </w:rPr>
              <w:t>、</w:t>
            </w:r>
            <w:r>
              <w:rPr>
                <w:rFonts w:hint="eastAsia"/>
                <w:color w:val="auto"/>
                <w:sz w:val="18"/>
                <w:szCs w:val="18"/>
                <w:lang w:val="en-US" w:eastAsia="zh-CN"/>
              </w:rPr>
              <w:t>阶段性成果报告</w:t>
            </w:r>
          </w:p>
        </w:tc>
        <w:tc>
          <w:tcPr>
            <w:tcW w:w="1081" w:type="dxa"/>
            <w:vAlign w:val="center"/>
          </w:tcPr>
          <w:p w14:paraId="3EAFF0F5">
            <w:pPr>
              <w:jc w:val="center"/>
              <w:rPr>
                <w:color w:val="auto"/>
                <w:sz w:val="18"/>
                <w:szCs w:val="18"/>
              </w:rPr>
            </w:pPr>
          </w:p>
        </w:tc>
        <w:tc>
          <w:tcPr>
            <w:tcW w:w="709" w:type="dxa"/>
            <w:vAlign w:val="center"/>
          </w:tcPr>
          <w:p w14:paraId="4E8DC7DC">
            <w:pPr>
              <w:jc w:val="center"/>
              <w:rPr>
                <w:color w:val="auto"/>
                <w:sz w:val="18"/>
                <w:szCs w:val="18"/>
              </w:rPr>
            </w:pPr>
          </w:p>
        </w:tc>
        <w:tc>
          <w:tcPr>
            <w:tcW w:w="709" w:type="dxa"/>
            <w:shd w:val="clear" w:color="auto" w:fill="auto"/>
            <w:vAlign w:val="center"/>
          </w:tcPr>
          <w:p w14:paraId="05D0D3A4">
            <w:pPr>
              <w:jc w:val="center"/>
              <w:rPr>
                <w:rFonts w:hint="default" w:ascii="Times New Roman" w:hAnsi="Times New Roman" w:eastAsia="宋体" w:cs="Times New Roman"/>
                <w:color w:val="auto"/>
                <w:kern w:val="2"/>
                <w:sz w:val="18"/>
                <w:szCs w:val="18"/>
                <w:lang w:val="en-US" w:eastAsia="zh-CN" w:bidi="ar-SA"/>
              </w:rPr>
            </w:pPr>
            <w:r>
              <w:rPr>
                <w:rFonts w:hint="eastAsia"/>
                <w:i/>
                <w:color w:val="auto"/>
                <w:sz w:val="18"/>
                <w:szCs w:val="18"/>
                <w:lang w:val="en-US" w:eastAsia="zh-CN"/>
              </w:rPr>
              <w:t>4-5</w:t>
            </w:r>
          </w:p>
        </w:tc>
        <w:tc>
          <w:tcPr>
            <w:tcW w:w="1045" w:type="dxa"/>
            <w:vMerge w:val="continue"/>
            <w:vAlign w:val="center"/>
          </w:tcPr>
          <w:p w14:paraId="4FBD41E2">
            <w:pPr>
              <w:jc w:val="center"/>
              <w:rPr>
                <w:color w:val="auto"/>
                <w:sz w:val="18"/>
                <w:szCs w:val="18"/>
              </w:rPr>
            </w:pPr>
          </w:p>
        </w:tc>
      </w:tr>
      <w:tr w14:paraId="0CE18E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641A46">
            <w:pPr>
              <w:rPr>
                <w:b/>
                <w:color w:val="auto"/>
                <w:sz w:val="18"/>
                <w:szCs w:val="18"/>
              </w:rPr>
            </w:pPr>
          </w:p>
        </w:tc>
        <w:tc>
          <w:tcPr>
            <w:tcW w:w="1226" w:type="dxa"/>
            <w:vMerge w:val="continue"/>
            <w:vAlign w:val="center"/>
          </w:tcPr>
          <w:p w14:paraId="51828F6F">
            <w:pPr>
              <w:jc w:val="center"/>
              <w:rPr>
                <w:b/>
                <w:color w:val="auto"/>
                <w:sz w:val="18"/>
                <w:szCs w:val="18"/>
              </w:rPr>
            </w:pPr>
          </w:p>
        </w:tc>
        <w:tc>
          <w:tcPr>
            <w:tcW w:w="3516" w:type="dxa"/>
            <w:shd w:val="clear" w:color="auto" w:fill="auto"/>
            <w:vAlign w:val="center"/>
          </w:tcPr>
          <w:p w14:paraId="75A78A74">
            <w:pPr>
              <w:rPr>
                <w:rFonts w:ascii="Times New Roman" w:hAnsi="Times New Roman" w:eastAsia="宋体" w:cs="Times New Roman"/>
                <w:color w:val="auto"/>
                <w:kern w:val="2"/>
                <w:sz w:val="18"/>
                <w:szCs w:val="18"/>
                <w:lang w:val="en-US" w:eastAsia="zh-CN" w:bidi="ar-SA"/>
              </w:rPr>
            </w:pPr>
            <w:r>
              <w:rPr>
                <w:color w:val="auto"/>
                <w:sz w:val="18"/>
                <w:szCs w:val="18"/>
              </w:rPr>
              <w:t>论文预答辩</w:t>
            </w:r>
          </w:p>
        </w:tc>
        <w:tc>
          <w:tcPr>
            <w:tcW w:w="1081" w:type="dxa"/>
            <w:vAlign w:val="center"/>
          </w:tcPr>
          <w:p w14:paraId="1059D514">
            <w:pPr>
              <w:jc w:val="center"/>
              <w:rPr>
                <w:color w:val="auto"/>
                <w:sz w:val="18"/>
                <w:szCs w:val="18"/>
              </w:rPr>
            </w:pPr>
          </w:p>
        </w:tc>
        <w:tc>
          <w:tcPr>
            <w:tcW w:w="709" w:type="dxa"/>
            <w:vAlign w:val="center"/>
          </w:tcPr>
          <w:p w14:paraId="71B4AB1A">
            <w:pPr>
              <w:jc w:val="center"/>
              <w:rPr>
                <w:color w:val="auto"/>
                <w:sz w:val="18"/>
                <w:szCs w:val="18"/>
              </w:rPr>
            </w:pPr>
          </w:p>
        </w:tc>
        <w:tc>
          <w:tcPr>
            <w:tcW w:w="709" w:type="dxa"/>
            <w:shd w:val="clear" w:color="auto" w:fill="auto"/>
            <w:vAlign w:val="center"/>
          </w:tcPr>
          <w:p w14:paraId="60A12E70">
            <w:pPr>
              <w:jc w:val="center"/>
              <w:rPr>
                <w:rFonts w:hint="eastAsia" w:ascii="Times New Roman" w:hAnsi="Times New Roman" w:eastAsia="宋体" w:cs="Times New Roman"/>
                <w:color w:val="auto"/>
                <w:kern w:val="2"/>
                <w:sz w:val="18"/>
                <w:szCs w:val="18"/>
                <w:lang w:val="en-US" w:eastAsia="zh-CN" w:bidi="ar-SA"/>
              </w:rPr>
            </w:pPr>
            <w:r>
              <w:rPr>
                <w:rFonts w:hint="eastAsia"/>
                <w:i/>
                <w:color w:val="auto"/>
                <w:sz w:val="18"/>
                <w:szCs w:val="18"/>
                <w:lang w:val="en-US" w:eastAsia="zh-CN"/>
              </w:rPr>
              <w:t>6</w:t>
            </w:r>
          </w:p>
        </w:tc>
        <w:tc>
          <w:tcPr>
            <w:tcW w:w="1045" w:type="dxa"/>
            <w:vMerge w:val="continue"/>
            <w:vAlign w:val="center"/>
          </w:tcPr>
          <w:p w14:paraId="420FF9A7">
            <w:pPr>
              <w:jc w:val="center"/>
              <w:rPr>
                <w:color w:val="auto"/>
                <w:sz w:val="18"/>
                <w:szCs w:val="18"/>
              </w:rPr>
            </w:pPr>
          </w:p>
        </w:tc>
      </w:tr>
      <w:tr w14:paraId="4BDA9D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817D32">
            <w:pPr>
              <w:rPr>
                <w:b/>
                <w:color w:val="auto"/>
                <w:sz w:val="18"/>
                <w:szCs w:val="18"/>
              </w:rPr>
            </w:pPr>
          </w:p>
        </w:tc>
        <w:tc>
          <w:tcPr>
            <w:tcW w:w="1226" w:type="dxa"/>
            <w:vMerge w:val="continue"/>
            <w:vAlign w:val="center"/>
          </w:tcPr>
          <w:p w14:paraId="5A82A246">
            <w:pPr>
              <w:jc w:val="center"/>
              <w:rPr>
                <w:b/>
                <w:color w:val="auto"/>
                <w:sz w:val="18"/>
                <w:szCs w:val="18"/>
              </w:rPr>
            </w:pPr>
          </w:p>
        </w:tc>
        <w:tc>
          <w:tcPr>
            <w:tcW w:w="3516" w:type="dxa"/>
            <w:shd w:val="clear" w:color="auto" w:fill="auto"/>
            <w:vAlign w:val="center"/>
          </w:tcPr>
          <w:p w14:paraId="39466205">
            <w:pPr>
              <w:rPr>
                <w:rFonts w:ascii="Times New Roman" w:hAnsi="Times New Roman" w:eastAsia="宋体" w:cs="Times New Roman"/>
                <w:color w:val="auto"/>
                <w:kern w:val="2"/>
                <w:sz w:val="18"/>
                <w:szCs w:val="18"/>
                <w:lang w:val="en-US" w:eastAsia="zh-CN" w:bidi="ar-SA"/>
              </w:rPr>
            </w:pPr>
            <w:r>
              <w:rPr>
                <w:color w:val="auto"/>
                <w:sz w:val="18"/>
                <w:szCs w:val="18"/>
              </w:rPr>
              <w:t>论文评审</w:t>
            </w:r>
          </w:p>
        </w:tc>
        <w:tc>
          <w:tcPr>
            <w:tcW w:w="1081" w:type="dxa"/>
            <w:vAlign w:val="center"/>
          </w:tcPr>
          <w:p w14:paraId="4B171DBF">
            <w:pPr>
              <w:jc w:val="center"/>
              <w:rPr>
                <w:color w:val="auto"/>
                <w:sz w:val="18"/>
                <w:szCs w:val="18"/>
              </w:rPr>
            </w:pPr>
          </w:p>
        </w:tc>
        <w:tc>
          <w:tcPr>
            <w:tcW w:w="709" w:type="dxa"/>
            <w:vAlign w:val="center"/>
          </w:tcPr>
          <w:p w14:paraId="033942F2">
            <w:pPr>
              <w:jc w:val="center"/>
              <w:rPr>
                <w:color w:val="auto"/>
                <w:sz w:val="18"/>
                <w:szCs w:val="18"/>
              </w:rPr>
            </w:pPr>
          </w:p>
        </w:tc>
        <w:tc>
          <w:tcPr>
            <w:tcW w:w="709" w:type="dxa"/>
            <w:shd w:val="clear" w:color="auto" w:fill="auto"/>
            <w:vAlign w:val="center"/>
          </w:tcPr>
          <w:p w14:paraId="533920C6">
            <w:pPr>
              <w:jc w:val="center"/>
              <w:rPr>
                <w:rFonts w:ascii="Times New Roman" w:hAnsi="Times New Roman" w:eastAsia="宋体" w:cs="Times New Roman"/>
                <w:color w:val="auto"/>
                <w:kern w:val="2"/>
                <w:sz w:val="18"/>
                <w:szCs w:val="18"/>
                <w:lang w:val="en-US" w:eastAsia="zh-CN" w:bidi="ar-SA"/>
              </w:rPr>
            </w:pPr>
            <w:r>
              <w:rPr>
                <w:color w:val="auto"/>
                <w:sz w:val="18"/>
                <w:szCs w:val="18"/>
              </w:rPr>
              <w:t>6</w:t>
            </w:r>
          </w:p>
        </w:tc>
        <w:tc>
          <w:tcPr>
            <w:tcW w:w="1045" w:type="dxa"/>
            <w:vMerge w:val="continue"/>
            <w:vAlign w:val="center"/>
          </w:tcPr>
          <w:p w14:paraId="19DAC365">
            <w:pPr>
              <w:jc w:val="center"/>
              <w:rPr>
                <w:color w:val="auto"/>
                <w:sz w:val="18"/>
                <w:szCs w:val="18"/>
              </w:rPr>
            </w:pPr>
          </w:p>
        </w:tc>
      </w:tr>
      <w:tr w14:paraId="79C2FA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180AEDB">
            <w:pPr>
              <w:rPr>
                <w:b/>
                <w:color w:val="auto"/>
                <w:sz w:val="18"/>
                <w:szCs w:val="18"/>
              </w:rPr>
            </w:pPr>
          </w:p>
        </w:tc>
        <w:tc>
          <w:tcPr>
            <w:tcW w:w="1226" w:type="dxa"/>
            <w:vMerge w:val="continue"/>
            <w:vAlign w:val="center"/>
          </w:tcPr>
          <w:p w14:paraId="0F4B4BEE">
            <w:pPr>
              <w:jc w:val="center"/>
              <w:rPr>
                <w:b/>
                <w:color w:val="auto"/>
                <w:sz w:val="18"/>
                <w:szCs w:val="18"/>
              </w:rPr>
            </w:pPr>
          </w:p>
        </w:tc>
        <w:tc>
          <w:tcPr>
            <w:tcW w:w="3516" w:type="dxa"/>
            <w:shd w:val="clear" w:color="auto" w:fill="auto"/>
            <w:vAlign w:val="center"/>
          </w:tcPr>
          <w:p w14:paraId="12ECDA5C">
            <w:pPr>
              <w:rPr>
                <w:rFonts w:ascii="Times New Roman" w:hAnsi="Times New Roman" w:eastAsia="宋体" w:cs="Times New Roman"/>
                <w:color w:val="auto"/>
                <w:kern w:val="2"/>
                <w:sz w:val="18"/>
                <w:szCs w:val="18"/>
                <w:lang w:val="en-US" w:eastAsia="zh-CN" w:bidi="ar-SA"/>
              </w:rPr>
            </w:pPr>
            <w:r>
              <w:rPr>
                <w:color w:val="auto"/>
                <w:sz w:val="18"/>
                <w:szCs w:val="18"/>
              </w:rPr>
              <w:t>论文答辩</w:t>
            </w:r>
          </w:p>
        </w:tc>
        <w:tc>
          <w:tcPr>
            <w:tcW w:w="1081" w:type="dxa"/>
            <w:shd w:val="clear" w:color="auto" w:fill="auto"/>
            <w:vAlign w:val="center"/>
          </w:tcPr>
          <w:p w14:paraId="360A2C01">
            <w:pPr>
              <w:jc w:val="center"/>
              <w:rPr>
                <w:rFonts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3F76D5B9">
            <w:pPr>
              <w:jc w:val="center"/>
              <w:rPr>
                <w:rFonts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08D9D88A">
            <w:pPr>
              <w:jc w:val="center"/>
              <w:rPr>
                <w:rFonts w:ascii="Times New Roman" w:hAnsi="Times New Roman" w:eastAsia="宋体" w:cs="Times New Roman"/>
                <w:color w:val="auto"/>
                <w:kern w:val="2"/>
                <w:sz w:val="18"/>
                <w:szCs w:val="18"/>
                <w:lang w:val="en-US" w:eastAsia="zh-CN" w:bidi="ar-SA"/>
              </w:rPr>
            </w:pPr>
            <w:r>
              <w:rPr>
                <w:color w:val="auto"/>
                <w:sz w:val="18"/>
                <w:szCs w:val="18"/>
              </w:rPr>
              <w:t>6</w:t>
            </w:r>
          </w:p>
        </w:tc>
        <w:tc>
          <w:tcPr>
            <w:tcW w:w="1045" w:type="dxa"/>
            <w:vMerge w:val="continue"/>
            <w:vAlign w:val="center"/>
          </w:tcPr>
          <w:p w14:paraId="572BE253">
            <w:pPr>
              <w:jc w:val="center"/>
              <w:rPr>
                <w:color w:val="auto"/>
                <w:sz w:val="18"/>
                <w:szCs w:val="18"/>
              </w:rPr>
            </w:pPr>
          </w:p>
        </w:tc>
      </w:tr>
    </w:tbl>
    <w:p w14:paraId="23F4B6DF">
      <w:pPr>
        <w:spacing w:line="440" w:lineRule="exact"/>
        <w:ind w:firstLine="480" w:firstLineChars="200"/>
        <w:rPr>
          <w:rFonts w:eastAsiaTheme="minorEastAsia"/>
          <w:bCs/>
          <w:color w:val="auto"/>
          <w:sz w:val="24"/>
        </w:rPr>
      </w:pPr>
    </w:p>
    <w:p w14:paraId="770159C7">
      <w:pPr>
        <w:spacing w:line="440" w:lineRule="exact"/>
        <w:ind w:firstLine="480" w:firstLineChars="200"/>
        <w:rPr>
          <w:rFonts w:eastAsiaTheme="minorEastAsia"/>
          <w:bCs/>
          <w:color w:val="auto"/>
          <w:sz w:val="24"/>
        </w:rPr>
      </w:pPr>
      <w:r>
        <w:rPr>
          <w:rFonts w:eastAsiaTheme="minorEastAsia"/>
          <w:bCs/>
          <w:color w:val="auto"/>
          <w:sz w:val="24"/>
        </w:rPr>
        <w:t>*公共外语课程按入学时的外国语考试科目修读相关语种。</w:t>
      </w:r>
    </w:p>
    <w:p w14:paraId="0A36A2A7">
      <w:pPr>
        <w:spacing w:line="440" w:lineRule="exact"/>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三</w:t>
      </w:r>
      <w:r>
        <w:rPr>
          <w:rFonts w:eastAsia="黑体"/>
          <w:bCs/>
          <w:color w:val="auto"/>
          <w:sz w:val="28"/>
          <w:szCs w:val="28"/>
        </w:rPr>
        <w:t>、其他需要说明事项</w:t>
      </w:r>
    </w:p>
    <w:p w14:paraId="63ED6FEB">
      <w:pPr>
        <w:spacing w:line="440" w:lineRule="exact"/>
        <w:ind w:firstLine="480" w:firstLineChars="200"/>
        <w:rPr>
          <w:rFonts w:eastAsiaTheme="minorEastAsia"/>
          <w:bCs/>
          <w:color w:val="auto"/>
          <w:sz w:val="24"/>
        </w:rPr>
      </w:pPr>
      <w:r>
        <w:rPr>
          <w:rFonts w:eastAsiaTheme="minorEastAsia"/>
          <w:bCs/>
          <w:color w:val="auto"/>
          <w:sz w:val="24"/>
        </w:rPr>
        <w:t>1. 非学位课中的方向选修课模块由各培养单位自行设置，并给出具体选修学分要求。</w:t>
      </w:r>
    </w:p>
    <w:p w14:paraId="2AD324EC">
      <w:pPr>
        <w:spacing w:line="440" w:lineRule="exact"/>
        <w:ind w:firstLine="480" w:firstLineChars="200"/>
        <w:rPr>
          <w:rFonts w:eastAsiaTheme="minorEastAsia"/>
          <w:bCs/>
          <w:color w:val="auto"/>
          <w:sz w:val="24"/>
        </w:rPr>
      </w:pPr>
      <w:r>
        <w:rPr>
          <w:rFonts w:eastAsiaTheme="minorEastAsia"/>
          <w:bCs/>
          <w:color w:val="auto"/>
          <w:sz w:val="24"/>
        </w:rPr>
        <w:t>2. 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p w14:paraId="765C2BFD">
      <w:pPr>
        <w:spacing w:line="440" w:lineRule="exact"/>
        <w:ind w:firstLine="480" w:firstLineChars="200"/>
        <w:rPr>
          <w:rFonts w:eastAsia="黑体"/>
          <w:bCs/>
          <w:color w:val="auto"/>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37CA4C"/>
    <w:multiLevelType w:val="singleLevel"/>
    <w:tmpl w:val="7837CA4C"/>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700DA8"/>
    <w:rsid w:val="08250BD3"/>
    <w:rsid w:val="094B5940"/>
    <w:rsid w:val="099472E7"/>
    <w:rsid w:val="09C1194B"/>
    <w:rsid w:val="0A71587A"/>
    <w:rsid w:val="0CAC0B8B"/>
    <w:rsid w:val="0D096E92"/>
    <w:rsid w:val="0FA50848"/>
    <w:rsid w:val="12B652F8"/>
    <w:rsid w:val="136B45C6"/>
    <w:rsid w:val="13D24B68"/>
    <w:rsid w:val="13F12469"/>
    <w:rsid w:val="146124BC"/>
    <w:rsid w:val="16D70827"/>
    <w:rsid w:val="196F5393"/>
    <w:rsid w:val="19F15949"/>
    <w:rsid w:val="1D956C24"/>
    <w:rsid w:val="1EE869A7"/>
    <w:rsid w:val="1FE96C05"/>
    <w:rsid w:val="22B8779C"/>
    <w:rsid w:val="25166021"/>
    <w:rsid w:val="27693709"/>
    <w:rsid w:val="285D64AA"/>
    <w:rsid w:val="29E650A4"/>
    <w:rsid w:val="3174797A"/>
    <w:rsid w:val="333C5373"/>
    <w:rsid w:val="349B68B5"/>
    <w:rsid w:val="38A9417A"/>
    <w:rsid w:val="3C8B6976"/>
    <w:rsid w:val="3E297411"/>
    <w:rsid w:val="46845435"/>
    <w:rsid w:val="4711714F"/>
    <w:rsid w:val="47451BE0"/>
    <w:rsid w:val="47BE4F54"/>
    <w:rsid w:val="4D814E7A"/>
    <w:rsid w:val="4F3D7AED"/>
    <w:rsid w:val="50762D37"/>
    <w:rsid w:val="50F4065D"/>
    <w:rsid w:val="5385202A"/>
    <w:rsid w:val="56E322E1"/>
    <w:rsid w:val="59787F6C"/>
    <w:rsid w:val="598E5B28"/>
    <w:rsid w:val="60C05441"/>
    <w:rsid w:val="61F024A6"/>
    <w:rsid w:val="64213EFD"/>
    <w:rsid w:val="6842752A"/>
    <w:rsid w:val="685D0CA3"/>
    <w:rsid w:val="68A42935"/>
    <w:rsid w:val="69894F6A"/>
    <w:rsid w:val="6AB778B5"/>
    <w:rsid w:val="6B3623CF"/>
    <w:rsid w:val="6D5E04BB"/>
    <w:rsid w:val="6F8F0E00"/>
    <w:rsid w:val="70BF3967"/>
    <w:rsid w:val="70ED3F27"/>
    <w:rsid w:val="75700F99"/>
    <w:rsid w:val="769766D6"/>
    <w:rsid w:val="77BA7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3741</Words>
  <Characters>4027</Characters>
  <Lines>137</Lines>
  <Paragraphs>38</Paragraphs>
  <TotalTime>5</TotalTime>
  <ScaleCrop>false</ScaleCrop>
  <LinksUpToDate>false</LinksUpToDate>
  <CharactersWithSpaces>4042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送送</cp:lastModifiedBy>
  <cp:lastPrinted>2025-03-14T03:17:00Z</cp:lastPrinted>
  <dcterms:modified xsi:type="dcterms:W3CDTF">2025-07-11T10:33:24Z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C25CEB64C5B4429C8912456FEC17BB35_12</vt:lpwstr>
  </property>
</Properties>
</file>