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E5685">
      <w:pPr>
        <w:ind w:left="321" w:leftChars="153" w:right="227"/>
        <w:jc w:val="center"/>
        <w:rPr>
          <w:rFonts w:eastAsia="黑体"/>
          <w:b/>
          <w:bCs/>
          <w:color w:val="auto"/>
          <w:sz w:val="36"/>
          <w:szCs w:val="36"/>
        </w:rPr>
      </w:pPr>
      <w:bookmarkStart w:id="0" w:name="OLE_LINK6"/>
      <w:bookmarkStart w:id="1" w:name="OLE_LINK7"/>
      <w:r>
        <w:rPr>
          <w:rFonts w:hint="eastAsia" w:eastAsia="黑体"/>
          <w:b/>
          <w:bCs/>
          <w:color w:val="auto"/>
          <w:sz w:val="36"/>
          <w:szCs w:val="36"/>
          <w:lang w:val="en-US" w:eastAsia="zh-CN"/>
        </w:rPr>
        <w:t>英语笔译专业</w:t>
      </w:r>
      <w:r>
        <w:rPr>
          <w:rFonts w:eastAsia="黑体"/>
          <w:b/>
          <w:bCs/>
          <w:color w:val="auto"/>
          <w:sz w:val="36"/>
          <w:szCs w:val="36"/>
        </w:rPr>
        <w:t>全日制专业学位硕士研究生培养方案</w:t>
      </w:r>
    </w:p>
    <w:p w14:paraId="6D5C457D">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lang w:val="en-US" w:eastAsia="zh-CN"/>
        </w:rPr>
        <w:t>外国语</w:t>
      </w:r>
      <w:r>
        <w:rPr>
          <w:rFonts w:eastAsia="黑体"/>
          <w:b/>
          <w:bCs/>
          <w:color w:val="auto"/>
          <w:sz w:val="28"/>
          <w:szCs w:val="28"/>
        </w:rPr>
        <w:t>学院)</w:t>
      </w:r>
    </w:p>
    <w:p w14:paraId="15C20263">
      <w:pPr>
        <w:spacing w:line="360" w:lineRule="auto"/>
        <w:ind w:firstLine="560"/>
        <w:rPr>
          <w:rFonts w:eastAsia="黑体"/>
          <w:b/>
          <w:bCs w:val="0"/>
          <w:color w:val="auto"/>
          <w:sz w:val="28"/>
          <w:szCs w:val="28"/>
        </w:rPr>
      </w:pPr>
      <w:r>
        <w:rPr>
          <w:rFonts w:eastAsia="黑体"/>
          <w:b/>
          <w:bCs w:val="0"/>
          <w:color w:val="auto"/>
          <w:sz w:val="28"/>
          <w:szCs w:val="28"/>
        </w:rPr>
        <w:t>一、专业名称、代码</w:t>
      </w:r>
    </w:p>
    <w:p w14:paraId="7692ACE7">
      <w:pPr>
        <w:keepNext w:val="0"/>
        <w:keepLines w:val="0"/>
        <w:pageBreakBefore w:val="0"/>
        <w:widowControl/>
        <w:kinsoku/>
        <w:wordWrap/>
        <w:overflowPunct/>
        <w:topLinePunct w:val="0"/>
        <w:autoSpaceDE/>
        <w:autoSpaceDN/>
        <w:bidi w:val="0"/>
        <w:adjustRightInd/>
        <w:snapToGrid/>
        <w:spacing w:line="360" w:lineRule="auto"/>
        <w:ind w:firstLine="960" w:firstLineChars="400"/>
        <w:jc w:val="both"/>
        <w:textAlignment w:val="auto"/>
        <w:rPr>
          <w:rFonts w:hint="eastAsia" w:eastAsia="宋体"/>
          <w:color w:val="auto"/>
          <w:kern w:val="0"/>
          <w:sz w:val="24"/>
          <w:szCs w:val="24"/>
          <w:lang w:eastAsia="zh-CN"/>
        </w:rPr>
      </w:pPr>
      <w:r>
        <w:rPr>
          <w:color w:val="auto"/>
          <w:kern w:val="0"/>
          <w:sz w:val="24"/>
          <w:szCs w:val="24"/>
        </w:rPr>
        <w:t>专业名称：</w:t>
      </w:r>
      <w:r>
        <w:rPr>
          <w:rFonts w:hint="eastAsia"/>
          <w:color w:val="auto"/>
          <w:kern w:val="0"/>
          <w:sz w:val="24"/>
          <w:szCs w:val="24"/>
          <w:lang w:val="en-US" w:eastAsia="zh-CN"/>
        </w:rPr>
        <w:t>英语笔译</w:t>
      </w:r>
    </w:p>
    <w:p w14:paraId="39DBED32">
      <w:pPr>
        <w:keepNext w:val="0"/>
        <w:keepLines w:val="0"/>
        <w:pageBreakBefore w:val="0"/>
        <w:widowControl/>
        <w:kinsoku/>
        <w:wordWrap/>
        <w:overflowPunct/>
        <w:topLinePunct w:val="0"/>
        <w:autoSpaceDE/>
        <w:autoSpaceDN/>
        <w:bidi w:val="0"/>
        <w:adjustRightInd/>
        <w:snapToGrid/>
        <w:spacing w:line="360" w:lineRule="auto"/>
        <w:ind w:firstLine="960" w:firstLineChars="400"/>
        <w:jc w:val="both"/>
        <w:textAlignment w:val="auto"/>
        <w:rPr>
          <w:rFonts w:hint="default" w:eastAsia="宋体"/>
          <w:color w:val="auto"/>
          <w:kern w:val="0"/>
          <w:sz w:val="24"/>
          <w:szCs w:val="24"/>
          <w:lang w:val="en-US" w:eastAsia="zh-CN"/>
        </w:rPr>
      </w:pPr>
      <w:r>
        <w:rPr>
          <w:color w:val="auto"/>
          <w:kern w:val="0"/>
          <w:sz w:val="24"/>
          <w:szCs w:val="24"/>
        </w:rPr>
        <w:t>专业代码：</w:t>
      </w:r>
      <w:r>
        <w:rPr>
          <w:rFonts w:hint="eastAsia"/>
          <w:color w:val="auto"/>
          <w:kern w:val="0"/>
          <w:sz w:val="24"/>
          <w:szCs w:val="24"/>
          <w:lang w:val="en-US" w:eastAsia="zh-CN"/>
        </w:rPr>
        <w:t>055101</w:t>
      </w:r>
    </w:p>
    <w:p w14:paraId="786C298B">
      <w:pPr>
        <w:spacing w:line="360" w:lineRule="auto"/>
        <w:ind w:firstLine="562" w:firstLineChars="200"/>
        <w:rPr>
          <w:rFonts w:eastAsia="黑体"/>
          <w:b/>
          <w:bCs w:val="0"/>
          <w:i/>
          <w:color w:val="auto"/>
          <w:sz w:val="28"/>
          <w:szCs w:val="28"/>
        </w:rPr>
      </w:pPr>
      <w:r>
        <w:rPr>
          <w:rFonts w:eastAsia="黑体"/>
          <w:b/>
          <w:bCs w:val="0"/>
          <w:color w:val="auto"/>
          <w:sz w:val="28"/>
          <w:szCs w:val="28"/>
        </w:rPr>
        <w:t>二、专业简介</w:t>
      </w:r>
    </w:p>
    <w:p w14:paraId="0C1322B1">
      <w:pPr>
        <w:spacing w:line="360" w:lineRule="auto"/>
        <w:ind w:firstLine="480" w:firstLineChars="200"/>
        <w:rPr>
          <w:rFonts w:hint="eastAsia" w:eastAsiaTheme="minorEastAsia"/>
          <w:i w:val="0"/>
          <w:iCs/>
          <w:color w:val="auto"/>
          <w:sz w:val="24"/>
        </w:rPr>
      </w:pPr>
      <w:r>
        <w:rPr>
          <w:rFonts w:hint="eastAsia" w:eastAsiaTheme="minorEastAsia"/>
          <w:i w:val="0"/>
          <w:iCs/>
          <w:color w:val="auto"/>
          <w:sz w:val="24"/>
          <w:lang w:val="en-US" w:eastAsia="zh-CN"/>
        </w:rPr>
        <w:t>英语笔译专业锚定</w:t>
      </w:r>
      <w:r>
        <w:rPr>
          <w:rFonts w:hint="eastAsia" w:eastAsiaTheme="minorEastAsia"/>
          <w:i w:val="0"/>
          <w:iCs/>
          <w:color w:val="auto"/>
          <w:sz w:val="24"/>
        </w:rPr>
        <w:t>语言服务市场动态需求，立足大数据时代语言服务行业智能化、多元化、产业化的发展趋势</w:t>
      </w:r>
      <w:r>
        <w:rPr>
          <w:rFonts w:hint="eastAsia" w:eastAsiaTheme="minorEastAsia"/>
          <w:i w:val="0"/>
          <w:iCs/>
          <w:color w:val="auto"/>
          <w:sz w:val="24"/>
          <w:lang w:val="en-US" w:eastAsia="zh-CN"/>
        </w:rPr>
        <w:t>与特点</w:t>
      </w:r>
      <w:r>
        <w:rPr>
          <w:rFonts w:hint="eastAsia" w:eastAsiaTheme="minorEastAsia"/>
          <w:i w:val="0"/>
          <w:iCs/>
          <w:color w:val="auto"/>
          <w:sz w:val="24"/>
        </w:rPr>
        <w:t>，精准对接行业对翻译人才能力的高标准要求</w:t>
      </w:r>
      <w:r>
        <w:rPr>
          <w:rFonts w:hint="eastAsia" w:eastAsiaTheme="minorEastAsia"/>
          <w:i w:val="0"/>
          <w:iCs/>
          <w:color w:val="auto"/>
          <w:sz w:val="24"/>
          <w:lang w:eastAsia="zh-CN"/>
        </w:rPr>
        <w:t>。</w:t>
      </w:r>
      <w:r>
        <w:rPr>
          <w:rFonts w:hint="eastAsia" w:eastAsiaTheme="minorEastAsia"/>
          <w:i w:val="0"/>
          <w:iCs/>
          <w:color w:val="auto"/>
          <w:sz w:val="24"/>
          <w:lang w:val="en-US" w:eastAsia="zh-CN"/>
        </w:rPr>
        <w:t>本专业以</w:t>
      </w:r>
      <w:r>
        <w:rPr>
          <w:rFonts w:hint="eastAsia" w:eastAsiaTheme="minorEastAsia"/>
          <w:i w:val="0"/>
          <w:iCs/>
          <w:color w:val="auto"/>
          <w:sz w:val="24"/>
        </w:rPr>
        <w:t>培养兼具语言素养与实践能力的高层次复合型人才为目标，持续为语言服务行业及多元领域输送优质人才，助力行业实现高质量发展。</w:t>
      </w:r>
    </w:p>
    <w:p w14:paraId="1A5023DE">
      <w:pPr>
        <w:spacing w:line="360" w:lineRule="auto"/>
        <w:ind w:firstLine="480" w:firstLineChars="200"/>
        <w:rPr>
          <w:rFonts w:hint="eastAsia" w:eastAsiaTheme="minorEastAsia"/>
          <w:i w:val="0"/>
          <w:iCs/>
          <w:color w:val="auto"/>
          <w:sz w:val="24"/>
        </w:rPr>
      </w:pPr>
      <w:r>
        <w:rPr>
          <w:rFonts w:hint="eastAsia" w:eastAsiaTheme="minorEastAsia"/>
          <w:i w:val="0"/>
          <w:iCs/>
          <w:color w:val="auto"/>
          <w:sz w:val="24"/>
        </w:rPr>
        <w:t>培养过程中，学生将接受系统性专业训练。通过夯实英语语言基础及跨文化交际能力，掌握词汇选择、句式重构等精细化翻译技巧；依托专项培训，熟练运用搜索引擎与专业数据库整合信息；针对</w:t>
      </w:r>
      <w:r>
        <w:rPr>
          <w:rFonts w:hint="eastAsia" w:eastAsiaTheme="minorEastAsia"/>
          <w:i w:val="0"/>
          <w:iCs/>
          <w:color w:val="auto"/>
          <w:sz w:val="24"/>
          <w:lang w:val="en-US" w:eastAsia="zh-CN"/>
        </w:rPr>
        <w:t>政经</w:t>
      </w:r>
      <w:r>
        <w:rPr>
          <w:rFonts w:hint="eastAsia" w:eastAsiaTheme="minorEastAsia"/>
          <w:i w:val="0"/>
          <w:iCs/>
          <w:color w:val="auto"/>
          <w:sz w:val="24"/>
        </w:rPr>
        <w:t>、新闻、科技等多元领域应用文本开展实践，提升场景化翻译能力。同时，系统学习翻译项目管理、本地化服务及计算机辅助翻译工具，深入理解语言服务产业运作模式。</w:t>
      </w:r>
    </w:p>
    <w:p w14:paraId="290C4B34">
      <w:pPr>
        <w:spacing w:line="360" w:lineRule="auto"/>
        <w:ind w:firstLine="480" w:firstLineChars="200"/>
        <w:rPr>
          <w:rFonts w:hint="eastAsia" w:eastAsiaTheme="minorEastAsia"/>
          <w:i w:val="0"/>
          <w:iCs/>
          <w:color w:val="auto"/>
          <w:sz w:val="24"/>
        </w:rPr>
      </w:pPr>
      <w:r>
        <w:rPr>
          <w:rFonts w:hint="eastAsia" w:eastAsiaTheme="minorEastAsia"/>
          <w:i w:val="0"/>
          <w:iCs/>
          <w:color w:val="auto"/>
          <w:sz w:val="24"/>
        </w:rPr>
        <w:t>学生毕业后，可凭借扎实的语言功底与专业技能，在文化产业、外事、外贸、教育等行业从事口笔译或事务性工作。也可在翻译公司、跨境电商、国际组织等机构，胜任笔译、译审、项目管理等核心岗位，充分发挥技术与管理优势，推动语言服务项目高效落地。</w:t>
      </w:r>
    </w:p>
    <w:p w14:paraId="5AA78845">
      <w:pPr>
        <w:spacing w:line="360" w:lineRule="auto"/>
        <w:ind w:firstLine="562" w:firstLineChars="200"/>
        <w:rPr>
          <w:rFonts w:eastAsia="黑体"/>
          <w:b/>
          <w:bCs w:val="0"/>
          <w:color w:val="auto"/>
          <w:sz w:val="28"/>
          <w:szCs w:val="28"/>
          <w:highlight w:val="none"/>
        </w:rPr>
      </w:pPr>
      <w:r>
        <w:rPr>
          <w:rFonts w:eastAsia="黑体"/>
          <w:b/>
          <w:bCs w:val="0"/>
          <w:color w:val="auto"/>
          <w:sz w:val="28"/>
          <w:szCs w:val="28"/>
          <w:highlight w:val="none"/>
        </w:rPr>
        <w:t>三、研究方向</w:t>
      </w:r>
    </w:p>
    <w:p w14:paraId="7F01B224">
      <w:pPr>
        <w:spacing w:line="360" w:lineRule="auto"/>
        <w:ind w:firstLine="480" w:firstLineChars="200"/>
        <w:rPr>
          <w:rFonts w:hint="eastAsia" w:eastAsiaTheme="minorEastAsia"/>
          <w:i w:val="0"/>
          <w:iCs/>
          <w:color w:val="auto"/>
          <w:sz w:val="24"/>
          <w:lang w:val="en-US" w:eastAsia="zh-CN"/>
        </w:rPr>
      </w:pPr>
      <w:r>
        <w:rPr>
          <w:rFonts w:hint="eastAsia" w:eastAsiaTheme="minorEastAsia"/>
          <w:i w:val="0"/>
          <w:iCs/>
          <w:color w:val="auto"/>
          <w:sz w:val="24"/>
          <w:lang w:val="en-US" w:eastAsia="zh-CN"/>
        </w:rPr>
        <w:t>英语笔译专业紧扣大数据时代语言服务行业发展趋势，为培养适应行业需求的专业人才，教学与实践主要围绕以下三大核心领域展开：在智能化翻译技术应用方面，学生借助大语言模型与计算机辅助翻译工具，提升翻译效率与质量，优化译后编辑；在跨文化翻译传播方面，以文学、典籍翻译为切入点，处理文化差异，促进文化交流；在多领域专业文本翻译方面，针对政经、科技等领域文本，深入挖掘其语言特点，精准掌握术语规范，强化专业翻译技能。通过这些学习，学生能掌握前沿技术、跨文化翻译策略及专业翻译能力，满足行业多元需求，为职业发展赋能。</w:t>
      </w:r>
    </w:p>
    <w:p w14:paraId="7714F28A">
      <w:pPr>
        <w:spacing w:line="360" w:lineRule="auto"/>
        <w:ind w:firstLine="480" w:firstLineChars="200"/>
        <w:rPr>
          <w:rFonts w:hint="default" w:eastAsiaTheme="minorEastAsia"/>
          <w:i w:val="0"/>
          <w:iCs/>
          <w:color w:val="auto"/>
          <w:sz w:val="24"/>
          <w:lang w:val="en-US" w:eastAsia="zh-CN"/>
        </w:rPr>
      </w:pPr>
    </w:p>
    <w:p w14:paraId="336AB644">
      <w:pPr>
        <w:spacing w:line="360" w:lineRule="auto"/>
        <w:ind w:firstLine="562" w:firstLineChars="200"/>
        <w:rPr>
          <w:rFonts w:eastAsia="黑体"/>
          <w:b/>
          <w:bCs w:val="0"/>
          <w:color w:val="auto"/>
          <w:sz w:val="28"/>
          <w:szCs w:val="28"/>
        </w:rPr>
      </w:pPr>
      <w:r>
        <w:rPr>
          <w:rFonts w:eastAsia="黑体"/>
          <w:b/>
          <w:bCs w:val="0"/>
          <w:color w:val="auto"/>
          <w:sz w:val="28"/>
          <w:szCs w:val="28"/>
        </w:rPr>
        <w:t>四、学制及学习年限</w:t>
      </w:r>
    </w:p>
    <w:p w14:paraId="60306133">
      <w:pPr>
        <w:spacing w:line="360" w:lineRule="auto"/>
        <w:ind w:firstLine="480" w:firstLineChars="200"/>
        <w:rPr>
          <w:rFonts w:hint="eastAsia" w:eastAsiaTheme="minorEastAsia"/>
          <w:color w:val="auto"/>
          <w:sz w:val="24"/>
        </w:rPr>
      </w:pPr>
      <w:r>
        <w:rPr>
          <w:rFonts w:hint="eastAsia" w:eastAsiaTheme="minorEastAsia"/>
          <w:color w:val="auto"/>
          <w:sz w:val="24"/>
          <w:lang w:val="en-US" w:eastAsia="zh-CN"/>
        </w:rPr>
        <w:t>本专业</w:t>
      </w:r>
      <w:r>
        <w:rPr>
          <w:rFonts w:hint="eastAsia" w:eastAsiaTheme="minorEastAsia"/>
          <w:color w:val="auto"/>
          <w:sz w:val="24"/>
        </w:rPr>
        <w:t>学制为</w:t>
      </w:r>
      <w:r>
        <w:rPr>
          <w:rFonts w:hint="eastAsia" w:eastAsiaTheme="minorEastAsia"/>
          <w:color w:val="auto"/>
          <w:sz w:val="24"/>
          <w:lang w:val="en-US" w:eastAsia="zh-CN"/>
        </w:rPr>
        <w:t>3</w:t>
      </w:r>
      <w:r>
        <w:rPr>
          <w:rFonts w:hint="eastAsia" w:eastAsiaTheme="minorEastAsia"/>
          <w:color w:val="auto"/>
          <w:sz w:val="24"/>
        </w:rPr>
        <w:t>年，在校最长学习年限（含休学）不超过6年。其中课程学习时间为1</w:t>
      </w:r>
      <w:r>
        <w:rPr>
          <w:rFonts w:hint="eastAsia" w:eastAsiaTheme="minorEastAsia"/>
          <w:color w:val="auto"/>
          <w:sz w:val="24"/>
          <w:lang w:val="en-US" w:eastAsia="zh-CN"/>
        </w:rPr>
        <w:t>.5</w:t>
      </w:r>
      <w:r>
        <w:rPr>
          <w:rFonts w:hint="eastAsia" w:eastAsiaTheme="minorEastAsia"/>
          <w:color w:val="auto"/>
          <w:sz w:val="24"/>
        </w:rPr>
        <w:t>年，专业实践和撰写毕业实践报告时间为1</w:t>
      </w:r>
      <w:r>
        <w:rPr>
          <w:rFonts w:hint="eastAsia" w:eastAsiaTheme="minorEastAsia"/>
          <w:color w:val="auto"/>
          <w:sz w:val="24"/>
          <w:lang w:val="en-US" w:eastAsia="zh-CN"/>
        </w:rPr>
        <w:t>.5</w:t>
      </w:r>
      <w:r>
        <w:rPr>
          <w:rFonts w:hint="eastAsia" w:eastAsiaTheme="minorEastAsia"/>
          <w:color w:val="auto"/>
          <w:sz w:val="24"/>
        </w:rPr>
        <w:t>年</w:t>
      </w:r>
      <w:r>
        <w:rPr>
          <w:rFonts w:hint="eastAsia" w:eastAsiaTheme="minorEastAsia"/>
          <w:color w:val="auto"/>
          <w:sz w:val="24"/>
          <w:lang w:eastAsia="zh-CN"/>
        </w:rPr>
        <w:t>，</w:t>
      </w:r>
      <w:r>
        <w:rPr>
          <w:rFonts w:hint="eastAsia" w:eastAsiaTheme="minorEastAsia"/>
          <w:color w:val="auto"/>
          <w:sz w:val="24"/>
          <w:lang w:val="en-US" w:eastAsia="zh-CN"/>
        </w:rPr>
        <w:t>专业实践时间不少于0.5年</w:t>
      </w:r>
      <w:r>
        <w:rPr>
          <w:rFonts w:hint="eastAsia" w:eastAsiaTheme="minorEastAsia"/>
          <w:color w:val="auto"/>
          <w:sz w:val="24"/>
        </w:rPr>
        <w:t>。</w:t>
      </w:r>
    </w:p>
    <w:p w14:paraId="48E5C32F">
      <w:pPr>
        <w:spacing w:line="360" w:lineRule="auto"/>
        <w:ind w:firstLine="562" w:firstLineChars="200"/>
        <w:rPr>
          <w:rFonts w:eastAsia="黑体"/>
          <w:b/>
          <w:bCs w:val="0"/>
          <w:color w:val="auto"/>
          <w:sz w:val="28"/>
          <w:szCs w:val="28"/>
        </w:rPr>
      </w:pPr>
      <w:r>
        <w:rPr>
          <w:rFonts w:eastAsia="黑体"/>
          <w:b/>
          <w:bCs w:val="0"/>
          <w:color w:val="auto"/>
          <w:sz w:val="28"/>
          <w:szCs w:val="28"/>
        </w:rPr>
        <w:t>五、培养目标</w:t>
      </w:r>
    </w:p>
    <w:p w14:paraId="703498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lang w:eastAsia="zh-CN"/>
        </w:rPr>
      </w:pPr>
      <w:r>
        <w:rPr>
          <w:rFonts w:hint="eastAsia" w:eastAsiaTheme="minorEastAsia"/>
          <w:i w:val="0"/>
          <w:iCs/>
          <w:color w:val="auto"/>
          <w:sz w:val="24"/>
          <w:lang w:val="en-US" w:eastAsia="zh-CN"/>
        </w:rPr>
        <w:t>本专业旨在</w:t>
      </w:r>
      <w:r>
        <w:rPr>
          <w:rFonts w:hint="eastAsia" w:eastAsiaTheme="minorEastAsia"/>
          <w:i w:val="0"/>
          <w:iCs/>
          <w:color w:val="auto"/>
          <w:sz w:val="24"/>
        </w:rPr>
        <w:t>培养热爱祖国，具有严谨求实的科学态度、工作作风和良好职业道德，满足国家经济、文化、社会建设需要的高层次应用型、复合型专门人才。具体目标如下</w:t>
      </w:r>
      <w:r>
        <w:rPr>
          <w:rFonts w:hint="eastAsia" w:eastAsiaTheme="minorEastAsia"/>
          <w:i w:val="0"/>
          <w:iCs/>
          <w:color w:val="auto"/>
          <w:sz w:val="24"/>
          <w:lang w:eastAsia="zh-CN"/>
        </w:rPr>
        <w:t>：</w:t>
      </w:r>
    </w:p>
    <w:p w14:paraId="45E5387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具备深厚的政治理论素养，全面</w:t>
      </w:r>
      <w:r>
        <w:rPr>
          <w:rFonts w:hint="eastAsia" w:eastAsiaTheme="minorEastAsia"/>
          <w:i w:val="0"/>
          <w:iCs/>
          <w:color w:val="auto"/>
          <w:sz w:val="24"/>
          <w:lang w:val="en-US" w:eastAsia="zh-CN"/>
        </w:rPr>
        <w:t>了解</w:t>
      </w:r>
      <w:r>
        <w:rPr>
          <w:rFonts w:hint="eastAsia" w:eastAsiaTheme="minorEastAsia"/>
          <w:i w:val="0"/>
          <w:iCs/>
          <w:color w:val="auto"/>
          <w:sz w:val="24"/>
        </w:rPr>
        <w:t>马列主义、毛泽东思想和邓小平理论，精准领悟习近平新时代中国特色社会主义思想体系与深刻内涵，坚定拥护中国共产党领导，衷心热爱社会主义制度与祖国，严格遵纪守法，真诚热爱人民且品行端正。</w:t>
      </w:r>
    </w:p>
    <w:p w14:paraId="6C4981D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具备扎实的语言专业能力，掌握系统的翻译基础理论，夯实汉语和英语语言基本功，熟悉一个或多个领域专业知识，构建宽广的综合性知识架构，练就卓越的翻译实践能力，提升跨文化交际能力，熟练运用计算机辅助翻译工具开展实践工作。</w:t>
      </w:r>
    </w:p>
    <w:p w14:paraId="3E3DC6C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具备出色的实践工作能力，拥有从事本学科相关领域工作的专业能力，培养有效解决实际问题的能力，胜任各类外事、外语及翻译相关的应用型工作。</w:t>
      </w:r>
    </w:p>
    <w:p w14:paraId="4DAD04C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具备良好的身心素质，保持健康的体魄，塑造积极向上的心理素质。</w:t>
      </w:r>
    </w:p>
    <w:p w14:paraId="1DF2B14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具备全面发展的综合素质，成长为德智体美劳全面发展的社会主义事业接班人。</w:t>
      </w:r>
    </w:p>
    <w:p w14:paraId="7BA98B34">
      <w:pPr>
        <w:spacing w:line="360" w:lineRule="auto"/>
        <w:ind w:firstLine="562" w:firstLineChars="200"/>
        <w:rPr>
          <w:rFonts w:eastAsia="黑体"/>
          <w:b/>
          <w:bCs w:val="0"/>
          <w:color w:val="auto"/>
          <w:sz w:val="28"/>
          <w:szCs w:val="28"/>
          <w:highlight w:val="none"/>
        </w:rPr>
      </w:pPr>
      <w:r>
        <w:rPr>
          <w:rFonts w:eastAsia="黑体"/>
          <w:b/>
          <w:bCs w:val="0"/>
          <w:color w:val="auto"/>
          <w:sz w:val="28"/>
          <w:szCs w:val="28"/>
          <w:highlight w:val="none"/>
        </w:rPr>
        <w:t>六、培养方式</w:t>
      </w:r>
    </w:p>
    <w:p w14:paraId="6E70B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Cs/>
          <w:i w:val="0"/>
          <w:iCs/>
          <w:color w:val="auto"/>
          <w:sz w:val="24"/>
          <w:lang w:eastAsia="zh-CN"/>
        </w:rPr>
      </w:pPr>
      <w:r>
        <w:rPr>
          <w:rFonts w:hint="eastAsia" w:asciiTheme="minorEastAsia" w:hAnsiTheme="minorEastAsia" w:eastAsiaTheme="minorEastAsia"/>
          <w:bCs/>
          <w:i w:val="0"/>
          <w:iCs/>
          <w:color w:val="auto"/>
          <w:sz w:val="24"/>
          <w:lang w:eastAsia="zh-CN"/>
        </w:rPr>
        <w:t>本专业以语言服务行业职业需求为导向，深度调研区域经济发展实际需求，将区域发展特色与教学内容深度融合，构建起具有针对性的人才培养</w:t>
      </w:r>
      <w:r>
        <w:rPr>
          <w:rFonts w:hint="eastAsia" w:asciiTheme="minorEastAsia" w:hAnsiTheme="minorEastAsia" w:eastAsiaTheme="minorEastAsia"/>
          <w:bCs/>
          <w:i w:val="0"/>
          <w:iCs/>
          <w:color w:val="auto"/>
          <w:sz w:val="24"/>
          <w:lang w:val="en-US" w:eastAsia="zh-CN"/>
        </w:rPr>
        <w:t>模式</w:t>
      </w:r>
      <w:r>
        <w:rPr>
          <w:rFonts w:hint="eastAsia" w:asciiTheme="minorEastAsia" w:hAnsiTheme="minorEastAsia" w:eastAsiaTheme="minorEastAsia"/>
          <w:bCs/>
          <w:i w:val="0"/>
          <w:iCs/>
          <w:color w:val="auto"/>
          <w:sz w:val="24"/>
          <w:lang w:eastAsia="zh-CN"/>
        </w:rPr>
        <w:t>。</w:t>
      </w:r>
    </w:p>
    <w:p w14:paraId="4D563C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Cs/>
          <w:i w:val="0"/>
          <w:iCs/>
          <w:color w:val="auto"/>
          <w:sz w:val="24"/>
          <w:lang w:eastAsia="zh-CN"/>
        </w:rPr>
      </w:pPr>
      <w:r>
        <w:rPr>
          <w:rFonts w:hint="eastAsia" w:asciiTheme="minorEastAsia" w:hAnsiTheme="minorEastAsia" w:eastAsiaTheme="minorEastAsia"/>
          <w:bCs/>
          <w:i w:val="0"/>
          <w:iCs/>
          <w:color w:val="auto"/>
          <w:sz w:val="24"/>
          <w:lang w:eastAsia="zh-CN"/>
        </w:rPr>
        <w:t>教学方法上，综合运用讲授式、研讨式、现场模拟式等多元教学模式，通过系统的理论讲解、学术研讨与情景化实践，培养学生契合市场需求的专业化翻译能力。</w:t>
      </w:r>
    </w:p>
    <w:p w14:paraId="6EAB6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Cs/>
          <w:i w:val="0"/>
          <w:iCs/>
          <w:color w:val="auto"/>
          <w:sz w:val="24"/>
          <w:lang w:eastAsia="zh-CN"/>
        </w:rPr>
      </w:pPr>
      <w:r>
        <w:rPr>
          <w:rFonts w:hint="eastAsia" w:asciiTheme="minorEastAsia" w:hAnsiTheme="minorEastAsia" w:eastAsiaTheme="minorEastAsia"/>
          <w:bCs/>
          <w:i w:val="0"/>
          <w:iCs/>
          <w:color w:val="auto"/>
          <w:sz w:val="24"/>
          <w:lang w:eastAsia="zh-CN"/>
        </w:rPr>
        <w:t>实践教学环节，充分发挥地缘优势与综合性大学的学科资源优势，将翻译实践深度融入教学全过程。依托校企合作平台，为学生提供丰富的实践机会，确保学生在真实的翻译场景中积累经验，提升翻译实践能力与职业素养。通过参与各类翻译项目，学生能够接触到新闻、科技、法律、商务等多领域文本，锻炼应对复杂翻译任务的能力。</w:t>
      </w:r>
    </w:p>
    <w:p w14:paraId="7BC7B1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Cs/>
          <w:i w:val="0"/>
          <w:iCs/>
          <w:color w:val="auto"/>
          <w:sz w:val="24"/>
          <w:lang w:eastAsia="zh-CN"/>
        </w:rPr>
      </w:pPr>
      <w:r>
        <w:rPr>
          <w:rFonts w:hint="eastAsia" w:asciiTheme="minorEastAsia" w:hAnsiTheme="minorEastAsia" w:eastAsiaTheme="minorEastAsia"/>
          <w:bCs/>
          <w:i w:val="0"/>
          <w:iCs/>
          <w:color w:val="auto"/>
          <w:sz w:val="24"/>
          <w:lang w:eastAsia="zh-CN"/>
        </w:rPr>
        <w:t>导师指导与学术训练，实行双导师制指导学生学术素养与职业能力提升。校内导师由教学经验丰富、学术造诣深厚的正、副教授组成，负责学生的理论知识传授与学术研究指导；校外导师聘请具有丰富实际工作经验的资深译员、编审以及企业高级翻译人才，为学生提供行业前沿信息、实践技巧指导和职业发展建议。</w:t>
      </w:r>
      <w:r>
        <w:rPr>
          <w:rFonts w:hint="eastAsia" w:asciiTheme="minorEastAsia" w:hAnsiTheme="minorEastAsia" w:eastAsiaTheme="minorEastAsia"/>
          <w:bCs/>
          <w:i w:val="0"/>
          <w:iCs/>
          <w:color w:val="auto"/>
          <w:sz w:val="24"/>
          <w:lang w:val="en-US" w:eastAsia="zh-CN"/>
        </w:rPr>
        <w:t>同时，</w:t>
      </w:r>
      <w:r>
        <w:rPr>
          <w:rFonts w:hint="eastAsia" w:asciiTheme="minorEastAsia" w:hAnsiTheme="minorEastAsia" w:eastAsiaTheme="minorEastAsia"/>
          <w:bCs/>
          <w:i w:val="0"/>
          <w:iCs/>
          <w:color w:val="auto"/>
          <w:sz w:val="24"/>
          <w:lang w:eastAsia="zh-CN"/>
        </w:rPr>
        <w:t>校外导师定期开设翻译课程及系列讲座，分享行业动态与实战经验，实现学术培养与职业发展的有机融合，助力学生成长为适应语言服务行业发展需求的高层次复合型笔译人才。</w:t>
      </w:r>
    </w:p>
    <w:p w14:paraId="125C6253">
      <w:pPr>
        <w:spacing w:line="360" w:lineRule="auto"/>
        <w:ind w:firstLine="562" w:firstLineChars="200"/>
        <w:rPr>
          <w:rFonts w:eastAsia="黑体"/>
          <w:b/>
          <w:bCs w:val="0"/>
          <w:color w:val="auto"/>
          <w:sz w:val="28"/>
          <w:szCs w:val="28"/>
        </w:rPr>
      </w:pPr>
      <w:r>
        <w:rPr>
          <w:rFonts w:hint="eastAsia" w:eastAsia="黑体"/>
          <w:b/>
          <w:bCs w:val="0"/>
          <w:color w:val="auto"/>
          <w:sz w:val="28"/>
          <w:szCs w:val="28"/>
        </w:rPr>
        <w:t>七、</w:t>
      </w:r>
      <w:r>
        <w:rPr>
          <w:rFonts w:eastAsia="黑体"/>
          <w:b/>
          <w:bCs w:val="0"/>
          <w:color w:val="auto"/>
          <w:sz w:val="28"/>
          <w:szCs w:val="28"/>
        </w:rPr>
        <w:t>中期筛选</w:t>
      </w:r>
    </w:p>
    <w:p w14:paraId="02F72FE3">
      <w:pPr>
        <w:spacing w:line="360" w:lineRule="auto"/>
        <w:ind w:firstLine="480" w:firstLineChars="200"/>
        <w:rPr>
          <w:rFonts w:eastAsiaTheme="minorEastAsia"/>
          <w:bCs/>
          <w:color w:val="auto"/>
          <w:sz w:val="24"/>
        </w:rPr>
      </w:pPr>
      <w:r>
        <w:rPr>
          <w:rFonts w:eastAsiaTheme="minorEastAsia"/>
          <w:bCs/>
          <w:color w:val="auto"/>
          <w:sz w:val="24"/>
        </w:rPr>
        <w:t>在完成培养方案规定的课程学习、考核成绩合格、获得规定的学分后，按照《河北大学研究生中期筛选管理办法》（校政字〔2021〕15号）的相关规定，组织开展中期筛选工作。</w:t>
      </w:r>
      <w:r>
        <w:rPr>
          <w:rFonts w:hint="eastAsia" w:eastAsiaTheme="minorEastAsia"/>
          <w:bCs/>
          <w:color w:val="auto"/>
          <w:sz w:val="24"/>
        </w:rPr>
        <w:t>中期筛选通过者，准予开题并按计划进入学位（毕业）论文工作阶段，继续攻读学位</w:t>
      </w:r>
      <w:r>
        <w:rPr>
          <w:rFonts w:hint="eastAsia" w:eastAsiaTheme="minorEastAsia"/>
          <w:bCs/>
          <w:color w:val="auto"/>
          <w:sz w:val="24"/>
          <w:lang w:eastAsia="zh-CN"/>
        </w:rPr>
        <w:t>；</w:t>
      </w:r>
      <w:r>
        <w:rPr>
          <w:rFonts w:hint="eastAsia" w:eastAsiaTheme="minorEastAsia"/>
          <w:bCs/>
          <w:color w:val="auto"/>
          <w:sz w:val="24"/>
        </w:rPr>
        <w:t>中期筛选不通过者，可向学院提出二次考核申请，经导师同意且学院严格审查通过后，可在三个月至半年内择期组织二次考核。参加二次考核仍未通过，不宜继续攻读学位的研究生，应终止其培养工作。</w:t>
      </w:r>
    </w:p>
    <w:p w14:paraId="3B22F076">
      <w:pPr>
        <w:spacing w:line="360" w:lineRule="auto"/>
        <w:ind w:firstLine="562" w:firstLineChars="200"/>
        <w:jc w:val="both"/>
        <w:rPr>
          <w:rFonts w:eastAsia="黑体"/>
          <w:b/>
          <w:bCs w:val="0"/>
          <w:color w:val="auto"/>
          <w:sz w:val="28"/>
          <w:szCs w:val="28"/>
          <w:highlight w:val="none"/>
        </w:rPr>
      </w:pPr>
      <w:r>
        <w:rPr>
          <w:rFonts w:hint="eastAsia" w:eastAsia="黑体"/>
          <w:b/>
          <w:bCs w:val="0"/>
          <w:color w:val="auto"/>
          <w:sz w:val="28"/>
          <w:szCs w:val="28"/>
          <w:highlight w:val="none"/>
        </w:rPr>
        <w:t>八</w:t>
      </w:r>
      <w:r>
        <w:rPr>
          <w:rFonts w:eastAsia="黑体"/>
          <w:b/>
          <w:bCs w:val="0"/>
          <w:color w:val="auto"/>
          <w:sz w:val="28"/>
          <w:szCs w:val="28"/>
          <w:highlight w:val="none"/>
        </w:rPr>
        <w:t>、学位（毕业）论文</w:t>
      </w:r>
    </w:p>
    <w:p w14:paraId="32A57C45">
      <w:pPr>
        <w:widowControl/>
        <w:spacing w:line="360" w:lineRule="auto"/>
        <w:ind w:firstLine="480"/>
        <w:jc w:val="both"/>
        <w:rPr>
          <w:rFonts w:hint="default"/>
          <w:i w:val="0"/>
          <w:iCs w:val="0"/>
          <w:color w:val="auto"/>
          <w:kern w:val="0"/>
          <w:sz w:val="24"/>
          <w:lang w:val="en-US" w:eastAsia="zh-CN"/>
        </w:rPr>
      </w:pPr>
      <w:r>
        <w:rPr>
          <w:bCs/>
          <w:color w:val="auto"/>
          <w:kern w:val="0"/>
          <w:sz w:val="24"/>
        </w:rPr>
        <w:t>1.</w:t>
      </w:r>
      <w:r>
        <w:rPr>
          <w:rFonts w:hint="eastAsia"/>
          <w:bCs/>
          <w:color w:val="auto"/>
          <w:kern w:val="0"/>
          <w:sz w:val="24"/>
          <w:lang w:val="en-US" w:eastAsia="zh-CN"/>
        </w:rPr>
        <w:t xml:space="preserve"> </w:t>
      </w:r>
      <w:r>
        <w:rPr>
          <w:bCs/>
          <w:color w:val="auto"/>
          <w:kern w:val="0"/>
          <w:sz w:val="24"/>
        </w:rPr>
        <w:t>总体要求：</w:t>
      </w:r>
      <w:r>
        <w:rPr>
          <w:color w:val="auto"/>
          <w:kern w:val="0"/>
          <w:sz w:val="24"/>
        </w:rPr>
        <w:t>按照《河北大学关于开展2025版研究生培养方案修订工作的指导意见》（校政字</w:t>
      </w:r>
      <w:r>
        <w:rPr>
          <w:rFonts w:eastAsiaTheme="minorEastAsia"/>
          <w:bCs/>
          <w:color w:val="auto"/>
          <w:sz w:val="24"/>
        </w:rPr>
        <w:t>〔2025〕</w:t>
      </w:r>
      <w:r>
        <w:rPr>
          <w:rFonts w:hint="eastAsia" w:eastAsiaTheme="minorEastAsia"/>
          <w:bCs/>
          <w:color w:val="auto"/>
          <w:sz w:val="24"/>
          <w:lang w:val="en-US" w:eastAsia="zh-CN"/>
        </w:rPr>
        <w:t>9</w:t>
      </w:r>
      <w:r>
        <w:rPr>
          <w:rFonts w:eastAsiaTheme="minorEastAsia"/>
          <w:bCs/>
          <w:color w:val="auto"/>
          <w:sz w:val="24"/>
        </w:rPr>
        <w:t>号</w:t>
      </w:r>
      <w:r>
        <w:rPr>
          <w:color w:val="auto"/>
          <w:kern w:val="0"/>
          <w:sz w:val="24"/>
        </w:rPr>
        <w:t>）规定，硕士研究生论文开题与答辩时间间隔原则上不少于12个月。</w:t>
      </w:r>
      <w:r>
        <w:rPr>
          <w:rFonts w:hint="eastAsia"/>
          <w:color w:val="auto"/>
          <w:kern w:val="0"/>
          <w:sz w:val="24"/>
        </w:rPr>
        <w:t>学位申请人需满足以下要求</w:t>
      </w:r>
      <w:r>
        <w:rPr>
          <w:rFonts w:hint="default"/>
          <w:color w:val="auto"/>
          <w:kern w:val="0"/>
          <w:sz w:val="24"/>
          <w:lang w:eastAsia="zh-CN"/>
        </w:rPr>
        <w:t>：</w:t>
      </w:r>
      <w:r>
        <w:rPr>
          <w:rFonts w:hint="eastAsia"/>
          <w:color w:val="auto"/>
          <w:kern w:val="0"/>
          <w:sz w:val="24"/>
        </w:rPr>
        <w:t>其一，具备独立从事学术研究工作的能力</w:t>
      </w:r>
      <w:r>
        <w:rPr>
          <w:rFonts w:hint="default"/>
          <w:color w:val="auto"/>
          <w:kern w:val="0"/>
          <w:sz w:val="24"/>
          <w:lang w:eastAsia="zh-CN"/>
        </w:rPr>
        <w:t>；</w:t>
      </w:r>
      <w:r>
        <w:rPr>
          <w:rFonts w:hint="eastAsia"/>
          <w:color w:val="auto"/>
          <w:kern w:val="0"/>
          <w:sz w:val="24"/>
        </w:rPr>
        <w:t>其二，按时完成本培养方案规定的任务，包括修满38学分，以及完成各项必修环节，具体涵盖参加入学教育、完成笔译实践15万字及以上、提交开题报告、参加全国翻译专业资格</w:t>
      </w:r>
      <w:r>
        <w:rPr>
          <w:rFonts w:hint="default"/>
          <w:color w:val="auto"/>
          <w:kern w:val="0"/>
          <w:sz w:val="24"/>
          <w:lang w:eastAsia="zh-CN"/>
        </w:rPr>
        <w:t>（</w:t>
      </w:r>
      <w:r>
        <w:rPr>
          <w:rFonts w:hint="eastAsia"/>
          <w:color w:val="auto"/>
          <w:kern w:val="0"/>
          <w:sz w:val="24"/>
        </w:rPr>
        <w:t>水平</w:t>
      </w:r>
      <w:r>
        <w:rPr>
          <w:rFonts w:hint="default"/>
          <w:color w:val="auto"/>
          <w:kern w:val="0"/>
          <w:sz w:val="24"/>
          <w:lang w:eastAsia="zh-CN"/>
        </w:rPr>
        <w:t>）</w:t>
      </w:r>
      <w:r>
        <w:rPr>
          <w:rFonts w:hint="eastAsia"/>
          <w:color w:val="auto"/>
          <w:kern w:val="0"/>
          <w:sz w:val="24"/>
        </w:rPr>
        <w:t>考试二级</w:t>
      </w:r>
      <w:r>
        <w:rPr>
          <w:rFonts w:hint="default"/>
          <w:color w:val="auto"/>
          <w:kern w:val="0"/>
          <w:sz w:val="24"/>
          <w:lang w:eastAsia="zh-CN"/>
        </w:rPr>
        <w:t>；</w:t>
      </w:r>
      <w:r>
        <w:rPr>
          <w:rFonts w:hint="eastAsia"/>
          <w:color w:val="auto"/>
          <w:kern w:val="0"/>
          <w:sz w:val="24"/>
        </w:rPr>
        <w:t>其三，严格遵守学术规范，杜绝侵犯他人著作权，不得发表存在严重科学性错误的文章或著作，不得提交严重歪曲原作的译作。</w:t>
      </w:r>
    </w:p>
    <w:p w14:paraId="263608CC">
      <w:pPr>
        <w:widowControl/>
        <w:spacing w:line="360" w:lineRule="auto"/>
        <w:ind w:firstLine="480"/>
        <w:jc w:val="both"/>
        <w:rPr>
          <w:rFonts w:hint="eastAsia"/>
          <w:i w:val="0"/>
          <w:iCs/>
          <w:color w:val="auto"/>
          <w:kern w:val="0"/>
          <w:sz w:val="24"/>
          <w:lang w:eastAsia="zh-CN"/>
        </w:rPr>
      </w:pPr>
      <w:r>
        <w:rPr>
          <w:rFonts w:hint="eastAsia"/>
          <w:i w:val="0"/>
          <w:iCs/>
          <w:color w:val="auto"/>
          <w:kern w:val="0"/>
          <w:sz w:val="24"/>
          <w:lang w:val="en-US" w:eastAsia="zh-CN"/>
        </w:rPr>
        <w:t>2.</w:t>
      </w:r>
      <w:r>
        <w:rPr>
          <w:rFonts w:hint="eastAsia"/>
          <w:i/>
          <w:color w:val="auto"/>
          <w:kern w:val="0"/>
          <w:sz w:val="24"/>
          <w:lang w:val="en-US" w:eastAsia="zh-CN"/>
        </w:rPr>
        <w:t xml:space="preserve"> </w:t>
      </w:r>
      <w:r>
        <w:rPr>
          <w:bCs/>
          <w:color w:val="auto"/>
          <w:kern w:val="0"/>
          <w:sz w:val="24"/>
        </w:rPr>
        <w:t>开题：</w:t>
      </w:r>
      <w:r>
        <w:rPr>
          <w:rFonts w:hint="eastAsia"/>
          <w:bCs/>
          <w:color w:val="auto"/>
          <w:kern w:val="0"/>
          <w:sz w:val="24"/>
          <w:lang w:val="en-US" w:eastAsia="zh-CN"/>
        </w:rPr>
        <w:t>开题作为研究生培养过程中开展学位（毕业）论文工作的首要环节，是确保论文质量与研究方向科学性的关键起点。</w:t>
      </w:r>
      <w:r>
        <w:rPr>
          <w:i w:val="0"/>
          <w:iCs/>
          <w:color w:val="auto"/>
          <w:kern w:val="0"/>
          <w:sz w:val="24"/>
        </w:rPr>
        <w:t>原则上在入学后第</w:t>
      </w:r>
      <w:r>
        <w:rPr>
          <w:rFonts w:hint="eastAsia"/>
          <w:i w:val="0"/>
          <w:iCs/>
          <w:color w:val="auto"/>
          <w:kern w:val="0"/>
          <w:sz w:val="24"/>
          <w:lang w:val="en-US" w:eastAsia="zh-CN"/>
        </w:rPr>
        <w:t>4</w:t>
      </w:r>
      <w:r>
        <w:rPr>
          <w:i w:val="0"/>
          <w:iCs/>
          <w:color w:val="auto"/>
          <w:kern w:val="0"/>
          <w:sz w:val="24"/>
        </w:rPr>
        <w:t>学期完成开题</w:t>
      </w:r>
      <w:r>
        <w:rPr>
          <w:rFonts w:hint="eastAsia"/>
          <w:i w:val="0"/>
          <w:iCs/>
          <w:color w:val="auto"/>
          <w:kern w:val="0"/>
          <w:sz w:val="24"/>
          <w:lang w:eastAsia="zh-CN"/>
        </w:rPr>
        <w:t>，</w:t>
      </w:r>
      <w:r>
        <w:rPr>
          <w:i w:val="0"/>
          <w:iCs/>
          <w:color w:val="auto"/>
          <w:kern w:val="0"/>
          <w:sz w:val="24"/>
        </w:rPr>
        <w:t>开题由3-</w:t>
      </w:r>
      <w:r>
        <w:rPr>
          <w:rFonts w:hint="eastAsia"/>
          <w:i w:val="0"/>
          <w:iCs/>
          <w:color w:val="auto"/>
          <w:kern w:val="0"/>
          <w:sz w:val="24"/>
          <w:lang w:val="en-US" w:eastAsia="zh-CN"/>
        </w:rPr>
        <w:t>5</w:t>
      </w:r>
      <w:r>
        <w:rPr>
          <w:i w:val="0"/>
          <w:iCs/>
          <w:color w:val="auto"/>
          <w:kern w:val="0"/>
          <w:sz w:val="24"/>
        </w:rPr>
        <w:t>名具有高级专业技术职务人员参加，以学术报告的方式进行</w:t>
      </w:r>
      <w:r>
        <w:rPr>
          <w:rFonts w:hint="eastAsia"/>
          <w:i w:val="0"/>
          <w:iCs/>
          <w:color w:val="auto"/>
          <w:kern w:val="0"/>
          <w:sz w:val="24"/>
          <w:lang w:eastAsia="zh-CN"/>
        </w:rPr>
        <w:t>。</w:t>
      </w:r>
    </w:p>
    <w:p w14:paraId="546C39ED">
      <w:pPr>
        <w:widowControl/>
        <w:spacing w:line="360" w:lineRule="auto"/>
        <w:ind w:firstLine="480"/>
        <w:jc w:val="both"/>
        <w:rPr>
          <w:i w:val="0"/>
          <w:iCs/>
          <w:color w:val="auto"/>
          <w:kern w:val="0"/>
          <w:sz w:val="18"/>
          <w:szCs w:val="18"/>
        </w:rPr>
      </w:pPr>
      <w:r>
        <w:rPr>
          <w:rFonts w:hint="eastAsia"/>
          <w:bCs/>
          <w:color w:val="auto"/>
          <w:kern w:val="0"/>
          <w:sz w:val="24"/>
          <w:lang w:val="en-US" w:eastAsia="zh-CN"/>
        </w:rPr>
        <w:t>翻译硕士学位论文须以实践报告的形式呈现，实践报告开题需遵循以下要求：</w:t>
      </w:r>
      <w:r>
        <w:rPr>
          <w:rFonts w:hint="eastAsia"/>
          <w:bCs/>
          <w:color w:val="auto"/>
          <w:kern w:val="0"/>
          <w:sz w:val="24"/>
          <w:highlight w:val="none"/>
          <w:lang w:val="en-US" w:eastAsia="zh-CN"/>
        </w:rPr>
        <w:t>选题应聚焦文学、典籍、经贸、法律等专业领域</w:t>
      </w:r>
      <w:r>
        <w:rPr>
          <w:rFonts w:hint="eastAsia"/>
          <w:bCs/>
          <w:color w:val="auto"/>
          <w:kern w:val="0"/>
          <w:sz w:val="24"/>
          <w:lang w:val="en-US" w:eastAsia="zh-CN"/>
        </w:rPr>
        <w:t>，选取具有一定翻译难度、原文不少于1万字的专业性文本（以汉字版面字数为准）；开题报告需系统阐述文本选取依据、研究价值及预期成果，科学规划翻译技术路线与时间安排。</w:t>
      </w:r>
    </w:p>
    <w:p w14:paraId="6EAB1EEB">
      <w:pPr>
        <w:widowControl/>
        <w:numPr>
          <w:ilvl w:val="0"/>
          <w:numId w:val="2"/>
        </w:numPr>
        <w:spacing w:line="360" w:lineRule="auto"/>
        <w:ind w:firstLine="480"/>
        <w:jc w:val="both"/>
        <w:rPr>
          <w:i w:val="0"/>
          <w:iCs/>
          <w:color w:val="auto"/>
          <w:kern w:val="0"/>
          <w:sz w:val="24"/>
        </w:rPr>
      </w:pPr>
      <w:r>
        <w:rPr>
          <w:bCs/>
          <w:color w:val="auto"/>
          <w:kern w:val="0"/>
          <w:sz w:val="24"/>
          <w:highlight w:val="none"/>
        </w:rPr>
        <w:t>中期进展报告</w:t>
      </w:r>
      <w:r>
        <w:rPr>
          <w:bCs/>
          <w:color w:val="auto"/>
          <w:kern w:val="0"/>
          <w:sz w:val="24"/>
        </w:rPr>
        <w:t>：</w:t>
      </w:r>
      <w:r>
        <w:rPr>
          <w:i w:val="0"/>
          <w:iCs/>
          <w:color w:val="auto"/>
          <w:kern w:val="0"/>
          <w:sz w:val="24"/>
        </w:rPr>
        <w:t>中期进展报告是检查研究生个人综合能力及学位论文进展、指导研究生把握学位（毕业）论文方向、提高学位（毕业）论文质量的必要环节。中期进展报告原则上应在入学后第</w:t>
      </w:r>
      <w:r>
        <w:rPr>
          <w:rFonts w:hint="eastAsia"/>
          <w:i w:val="0"/>
          <w:iCs/>
          <w:color w:val="auto"/>
          <w:kern w:val="0"/>
          <w:sz w:val="24"/>
          <w:highlight w:val="none"/>
          <w:lang w:val="en-US" w:eastAsia="zh-CN"/>
        </w:rPr>
        <w:t>5</w:t>
      </w:r>
      <w:r>
        <w:rPr>
          <w:i w:val="0"/>
          <w:iCs/>
          <w:color w:val="auto"/>
          <w:kern w:val="0"/>
          <w:sz w:val="24"/>
        </w:rPr>
        <w:t>学期进行；各导师组自行制定中期考核办法并组织考核。</w:t>
      </w:r>
    </w:p>
    <w:p w14:paraId="47562D40">
      <w:pPr>
        <w:widowControl/>
        <w:numPr>
          <w:ilvl w:val="0"/>
          <w:numId w:val="2"/>
        </w:numPr>
        <w:spacing w:line="360" w:lineRule="auto"/>
        <w:ind w:left="0" w:leftChars="0" w:firstLine="480" w:firstLineChars="0"/>
        <w:jc w:val="both"/>
        <w:rPr>
          <w:i w:val="0"/>
          <w:iCs/>
          <w:color w:val="auto"/>
          <w:kern w:val="0"/>
          <w:sz w:val="24"/>
        </w:rPr>
      </w:pPr>
      <w:r>
        <w:rPr>
          <w:bCs/>
          <w:color w:val="auto"/>
          <w:kern w:val="0"/>
          <w:sz w:val="24"/>
        </w:rPr>
        <w:t>学位申请：</w:t>
      </w:r>
      <w:r>
        <w:rPr>
          <w:i w:val="0"/>
          <w:iCs/>
          <w:color w:val="auto"/>
          <w:kern w:val="0"/>
          <w:sz w:val="24"/>
        </w:rPr>
        <w:t>达到学位授予条件的申请人，经导师同意后，应于答辩前三个月，向所属学位评定分委员会提出学位申请，提交学位申请材料。</w:t>
      </w:r>
    </w:p>
    <w:p w14:paraId="696A9E3B">
      <w:pPr>
        <w:widowControl/>
        <w:numPr>
          <w:ilvl w:val="0"/>
          <w:numId w:val="2"/>
        </w:numPr>
        <w:spacing w:line="360" w:lineRule="auto"/>
        <w:ind w:left="0" w:leftChars="0" w:firstLine="480" w:firstLineChars="0"/>
        <w:jc w:val="both"/>
        <w:rPr>
          <w:i w:val="0"/>
          <w:iCs/>
          <w:color w:val="auto"/>
          <w:kern w:val="0"/>
          <w:sz w:val="24"/>
        </w:rPr>
      </w:pPr>
      <w:r>
        <w:rPr>
          <w:bCs/>
          <w:color w:val="auto"/>
          <w:kern w:val="0"/>
          <w:sz w:val="24"/>
        </w:rPr>
        <w:t>预答辩：</w:t>
      </w:r>
      <w:r>
        <w:rPr>
          <w:i w:val="0"/>
          <w:iCs/>
          <w:color w:val="auto"/>
          <w:kern w:val="0"/>
          <w:sz w:val="24"/>
        </w:rPr>
        <w:t>学位申请人须进行学位论文预答辩。预答辩通过者，方可进入学位论文评阅、学位论文答辩等环节。学位（毕业）论文预答辩在正式答辩前3个月进行。</w:t>
      </w:r>
    </w:p>
    <w:p w14:paraId="48D5E27E">
      <w:pPr>
        <w:widowControl/>
        <w:numPr>
          <w:ilvl w:val="0"/>
          <w:numId w:val="2"/>
        </w:numPr>
        <w:spacing w:line="360" w:lineRule="auto"/>
        <w:ind w:left="0" w:leftChars="0" w:firstLine="480" w:firstLineChars="0"/>
        <w:jc w:val="both"/>
        <w:rPr>
          <w:color w:val="auto"/>
          <w:kern w:val="0"/>
          <w:sz w:val="24"/>
        </w:rPr>
      </w:pPr>
      <w:r>
        <w:rPr>
          <w:bCs/>
          <w:color w:val="auto"/>
          <w:kern w:val="0"/>
          <w:sz w:val="24"/>
        </w:rPr>
        <w:t>论文评阅：</w:t>
      </w:r>
      <w:r>
        <w:rPr>
          <w:rFonts w:hint="eastAsia"/>
          <w:i w:val="0"/>
          <w:iCs/>
          <w:color w:val="auto"/>
          <w:kern w:val="0"/>
          <w:sz w:val="24"/>
        </w:rPr>
        <w:t>学位论文（翻译实践报告）采用匿名评审，须经2位校外同行专家评审通过后方能进入答辩程序。</w:t>
      </w:r>
      <w:r>
        <w:rPr>
          <w:color w:val="auto"/>
          <w:kern w:val="0"/>
          <w:sz w:val="24"/>
        </w:rPr>
        <w:t>评阅结果及异议处理按照《河北大学研究生学位论文或者实践成果评审管理办法》（校政字〔2025〕8号）执行。</w:t>
      </w:r>
    </w:p>
    <w:p w14:paraId="3BE22D3A">
      <w:pPr>
        <w:widowControl/>
        <w:numPr>
          <w:ilvl w:val="0"/>
          <w:numId w:val="2"/>
        </w:numPr>
        <w:spacing w:line="360" w:lineRule="auto"/>
        <w:ind w:left="0" w:leftChars="0" w:firstLine="480" w:firstLineChars="0"/>
        <w:jc w:val="both"/>
        <w:rPr>
          <w:rFonts w:eastAsia="宋体"/>
          <w:i/>
          <w:color w:val="auto"/>
          <w:sz w:val="24"/>
        </w:rPr>
      </w:pPr>
      <w:r>
        <w:rPr>
          <w:b w:val="0"/>
          <w:bCs w:val="0"/>
          <w:color w:val="auto"/>
          <w:kern w:val="0"/>
          <w:sz w:val="24"/>
        </w:rPr>
        <w:t>答辩</w:t>
      </w:r>
      <w:r>
        <w:rPr>
          <w:b/>
          <w:bCs/>
          <w:color w:val="auto"/>
          <w:kern w:val="0"/>
          <w:sz w:val="24"/>
        </w:rPr>
        <w:t>：</w:t>
      </w:r>
      <w:r>
        <w:rPr>
          <w:rFonts w:eastAsia="宋体"/>
          <w:bCs/>
          <w:color w:val="auto"/>
          <w:kern w:val="0"/>
          <w:sz w:val="24"/>
        </w:rPr>
        <w:t>学位（毕业）论文答辩按照</w:t>
      </w:r>
      <w:r>
        <w:rPr>
          <w:rFonts w:eastAsia="宋体"/>
          <w:color w:val="auto"/>
          <w:kern w:val="0"/>
          <w:sz w:val="24"/>
        </w:rPr>
        <w:t>《河北大学博士、硕士学位授予工作实施细则》（校政字〔2025〕7号）执行。</w:t>
      </w:r>
      <w:r>
        <w:rPr>
          <w:rFonts w:hint="eastAsia" w:eastAsia="宋体"/>
          <w:color w:val="auto"/>
          <w:kern w:val="0"/>
          <w:sz w:val="24"/>
        </w:rPr>
        <w:t>答辩实行导师回避制</w:t>
      </w:r>
      <w:r>
        <w:rPr>
          <w:rFonts w:hint="eastAsia"/>
          <w:color w:val="auto"/>
          <w:kern w:val="0"/>
          <w:sz w:val="24"/>
          <w:lang w:eastAsia="zh-CN"/>
        </w:rPr>
        <w:t>，</w:t>
      </w:r>
      <w:r>
        <w:rPr>
          <w:rFonts w:hint="eastAsia" w:eastAsia="宋体"/>
          <w:color w:val="auto"/>
          <w:kern w:val="0"/>
          <w:sz w:val="24"/>
        </w:rPr>
        <w:t>答辩委员会由5人组成，委员会成员中须有一位具有丰富的口笔译实践经验且具有高级专业技术职称的专家。</w:t>
      </w:r>
    </w:p>
    <w:p w14:paraId="622F2216">
      <w:pPr>
        <w:spacing w:line="360" w:lineRule="auto"/>
        <w:ind w:firstLine="562" w:firstLineChars="200"/>
        <w:rPr>
          <w:rFonts w:eastAsia="黑体"/>
          <w:b/>
          <w:bCs w:val="0"/>
          <w:color w:val="auto"/>
          <w:sz w:val="28"/>
          <w:szCs w:val="28"/>
        </w:rPr>
      </w:pPr>
      <w:r>
        <w:rPr>
          <w:rFonts w:hint="eastAsia" w:eastAsia="黑体"/>
          <w:b/>
          <w:bCs w:val="0"/>
          <w:color w:val="auto"/>
          <w:sz w:val="28"/>
          <w:szCs w:val="28"/>
        </w:rPr>
        <w:t>九</w:t>
      </w:r>
      <w:r>
        <w:rPr>
          <w:rFonts w:eastAsia="黑体"/>
          <w:b/>
          <w:bCs w:val="0"/>
          <w:color w:val="auto"/>
          <w:sz w:val="28"/>
          <w:szCs w:val="28"/>
        </w:rPr>
        <w:t>、毕业条件</w:t>
      </w:r>
    </w:p>
    <w:p w14:paraId="7FBA3F1F">
      <w:pPr>
        <w:spacing w:line="360" w:lineRule="auto"/>
        <w:ind w:firstLine="480" w:firstLineChars="200"/>
        <w:rPr>
          <w:rFonts w:eastAsiaTheme="minorEastAsia"/>
          <w:bCs/>
          <w:color w:val="auto"/>
          <w:sz w:val="24"/>
        </w:rPr>
      </w:pPr>
      <w:r>
        <w:rPr>
          <w:rFonts w:eastAsiaTheme="minorEastAsia"/>
          <w:bCs/>
          <w:color w:val="auto"/>
          <w:sz w:val="24"/>
        </w:rPr>
        <w:t>1. 课程学习。研究生在规定修业年限内完成培养方案规定的课程学习，考核成绩合格，获得规定的学分。</w:t>
      </w:r>
    </w:p>
    <w:p w14:paraId="4D995554">
      <w:pPr>
        <w:spacing w:line="360" w:lineRule="auto"/>
        <w:ind w:firstLine="480" w:firstLineChars="200"/>
        <w:rPr>
          <w:rFonts w:hint="eastAsia" w:eastAsiaTheme="minorEastAsia"/>
          <w:bCs/>
          <w:color w:val="auto"/>
          <w:sz w:val="24"/>
          <w:lang w:val="en-US" w:eastAsia="zh-CN"/>
        </w:rPr>
      </w:pPr>
      <w:r>
        <w:rPr>
          <w:rFonts w:eastAsiaTheme="minorEastAsia"/>
          <w:bCs/>
          <w:color w:val="auto"/>
          <w:sz w:val="24"/>
        </w:rPr>
        <w:t xml:space="preserve">2. </w:t>
      </w:r>
      <w:r>
        <w:rPr>
          <w:rFonts w:hint="eastAsia" w:ascii="宋体" w:hAnsi="宋体" w:eastAsia="宋体" w:cs="Times New Roman"/>
          <w:bCs/>
          <w:color w:val="auto"/>
          <w:sz w:val="24"/>
          <w:szCs w:val="24"/>
          <w:lang w:val="en-US" w:eastAsia="zh-CN"/>
          <w14:ligatures w14:val="none"/>
        </w:rPr>
        <w:t>学术/</w:t>
      </w:r>
      <w:r>
        <w:rPr>
          <w:rFonts w:ascii="宋体" w:hAnsi="宋体" w:eastAsia="宋体" w:cs="Times New Roman"/>
          <w:bCs/>
          <w:color w:val="auto"/>
          <w:sz w:val="24"/>
          <w:szCs w:val="24"/>
          <w14:ligatures w14:val="none"/>
        </w:rPr>
        <w:t>实践活动</w:t>
      </w:r>
      <w:r>
        <w:rPr>
          <w:rFonts w:hint="eastAsia" w:ascii="宋体" w:hAnsi="宋体" w:eastAsia="宋体" w:cs="Times New Roman"/>
          <w:bCs/>
          <w:color w:val="auto"/>
          <w:sz w:val="24"/>
          <w:szCs w:val="24"/>
          <w:lang w:eastAsia="zh-CN"/>
          <w14:ligatures w14:val="none"/>
        </w:rPr>
        <w:t>。</w:t>
      </w:r>
      <w:r>
        <w:rPr>
          <w:rFonts w:hint="eastAsia" w:ascii="宋体" w:hAnsi="宋体" w:eastAsia="宋体" w:cs="Times New Roman"/>
          <w:bCs/>
          <w:color w:val="auto"/>
          <w:kern w:val="0"/>
          <w:sz w:val="24"/>
          <w:szCs w:val="24"/>
          <w14:ligatures w14:val="none"/>
        </w:rPr>
        <w:t>在</w:t>
      </w:r>
      <w:r>
        <w:rPr>
          <w:rFonts w:hint="eastAsia" w:ascii="宋体" w:hAnsi="宋体" w:eastAsia="宋体" w:cs="Times New Roman"/>
          <w:bCs/>
          <w:color w:val="auto"/>
          <w:kern w:val="0"/>
          <w:sz w:val="24"/>
          <w:szCs w:val="24"/>
          <w:lang w:val="en-US" w:eastAsia="zh-CN"/>
          <w14:ligatures w14:val="none"/>
        </w:rPr>
        <w:t>学期间须完成15万字以上的笔译实践并提供相关证明材料。实践教学形式可为在教师的组织下，在语言实验室、翻译管理平台等场所进行笔译实践；专业实习形式可为时政翻译、文学作品翻译、字幕翻译、商业宣传材料翻译、学术论著翻译等</w:t>
      </w:r>
      <w:r>
        <w:rPr>
          <w:rFonts w:hint="eastAsia" w:ascii="宋体" w:hAnsi="宋体" w:eastAsia="宋体" w:cs="Times New Roman"/>
          <w:bCs/>
          <w:color w:val="auto"/>
          <w:kern w:val="0"/>
          <w:sz w:val="24"/>
          <w:szCs w:val="24"/>
          <w14:ligatures w14:val="none"/>
        </w:rPr>
        <w:t>。</w:t>
      </w:r>
    </w:p>
    <w:p w14:paraId="43D0A141">
      <w:pPr>
        <w:spacing w:line="360" w:lineRule="auto"/>
        <w:ind w:firstLine="480" w:firstLineChars="200"/>
        <w:rPr>
          <w:rFonts w:eastAsiaTheme="minorEastAsia"/>
          <w:bCs/>
          <w:color w:val="auto"/>
          <w:sz w:val="24"/>
        </w:rPr>
      </w:pPr>
      <w:r>
        <w:rPr>
          <w:rFonts w:eastAsiaTheme="minorEastAsia"/>
          <w:color w:val="auto"/>
          <w:sz w:val="24"/>
        </w:rPr>
        <w:t>3. 符合提前毕业条件的研究生，可按照学校相关规定</w:t>
      </w:r>
      <w:r>
        <w:rPr>
          <w:rFonts w:eastAsiaTheme="minorEastAsia"/>
          <w:bCs/>
          <w:color w:val="auto"/>
          <w:sz w:val="24"/>
        </w:rPr>
        <w:t>申请</w:t>
      </w:r>
      <w:r>
        <w:rPr>
          <w:rFonts w:eastAsiaTheme="minorEastAsia"/>
          <w:color w:val="auto"/>
          <w:sz w:val="24"/>
        </w:rPr>
        <w:t>提前毕业。</w:t>
      </w:r>
    </w:p>
    <w:p w14:paraId="358F22E0">
      <w:pPr>
        <w:spacing w:line="360" w:lineRule="auto"/>
        <w:ind w:firstLine="480" w:firstLineChars="200"/>
        <w:rPr>
          <w:rFonts w:eastAsiaTheme="minorEastAsia"/>
          <w:bCs/>
          <w:color w:val="auto"/>
          <w:sz w:val="24"/>
        </w:rPr>
      </w:pPr>
      <w:r>
        <w:rPr>
          <w:rFonts w:eastAsiaTheme="minorEastAsia"/>
          <w:bCs/>
          <w:color w:val="auto"/>
          <w:sz w:val="24"/>
        </w:rPr>
        <w:t>4. 论文答辩。学位（毕业）论文经专家评审合格、通过学位（毕业）答辩，符合毕业资格审查后，准予毕业。</w:t>
      </w:r>
    </w:p>
    <w:p w14:paraId="4C0AF5E7">
      <w:pPr>
        <w:spacing w:line="360" w:lineRule="auto"/>
        <w:ind w:firstLine="562" w:firstLineChars="200"/>
        <w:rPr>
          <w:rFonts w:eastAsia="黑体"/>
          <w:b/>
          <w:bCs w:val="0"/>
          <w:color w:val="auto"/>
          <w:sz w:val="28"/>
          <w:szCs w:val="28"/>
          <w:highlight w:val="none"/>
        </w:rPr>
      </w:pPr>
      <w:r>
        <w:rPr>
          <w:rFonts w:hint="eastAsia" w:eastAsia="黑体"/>
          <w:b/>
          <w:bCs w:val="0"/>
          <w:color w:val="auto"/>
          <w:sz w:val="28"/>
          <w:szCs w:val="28"/>
          <w:highlight w:val="none"/>
        </w:rPr>
        <w:t>十</w:t>
      </w:r>
      <w:r>
        <w:rPr>
          <w:rFonts w:eastAsia="黑体"/>
          <w:b/>
          <w:bCs w:val="0"/>
          <w:color w:val="auto"/>
          <w:sz w:val="28"/>
          <w:szCs w:val="28"/>
          <w:highlight w:val="none"/>
        </w:rPr>
        <w:t>、创新性成果</w:t>
      </w:r>
    </w:p>
    <w:p w14:paraId="35BD3B84">
      <w:pPr>
        <w:spacing w:line="360" w:lineRule="auto"/>
        <w:ind w:firstLine="480" w:firstLineChars="200"/>
        <w:rPr>
          <w:rFonts w:hint="default" w:eastAsiaTheme="minorEastAsia"/>
          <w:i w:val="0"/>
          <w:iCs/>
          <w:color w:val="auto"/>
          <w:sz w:val="24"/>
          <w:lang w:val="en-US" w:eastAsia="zh-CN"/>
        </w:rPr>
      </w:pPr>
      <w:r>
        <w:rPr>
          <w:rFonts w:hint="eastAsia" w:eastAsiaTheme="minorEastAsia"/>
          <w:i w:val="0"/>
          <w:iCs/>
          <w:color w:val="auto"/>
          <w:sz w:val="24"/>
          <w:lang w:val="en-US" w:eastAsia="zh-CN"/>
        </w:rPr>
        <w:t>本专业的创新性成果依据《河北大学外国语学院关于研究生申请学位取得创新性成果的规定》执行。</w:t>
      </w:r>
    </w:p>
    <w:p w14:paraId="7FAC3E5F">
      <w:pPr>
        <w:spacing w:line="360" w:lineRule="auto"/>
        <w:ind w:firstLine="562" w:firstLineChars="200"/>
        <w:rPr>
          <w:rFonts w:eastAsia="黑体"/>
          <w:b/>
          <w:bCs w:val="0"/>
          <w:color w:val="auto"/>
          <w:sz w:val="28"/>
          <w:szCs w:val="28"/>
        </w:rPr>
      </w:pPr>
      <w:r>
        <w:rPr>
          <w:rFonts w:eastAsia="黑体"/>
          <w:b/>
          <w:bCs w:val="0"/>
          <w:color w:val="auto"/>
          <w:sz w:val="28"/>
          <w:szCs w:val="28"/>
        </w:rPr>
        <w:t>十一、学位授予</w:t>
      </w:r>
    </w:p>
    <w:p w14:paraId="732D63CD">
      <w:pPr>
        <w:spacing w:line="360" w:lineRule="auto"/>
        <w:ind w:firstLine="480" w:firstLineChars="200"/>
        <w:rPr>
          <w:rFonts w:eastAsiaTheme="minorEastAsia"/>
          <w:bCs/>
          <w:color w:val="auto"/>
          <w:sz w:val="24"/>
        </w:rPr>
      </w:pPr>
      <w:r>
        <w:rPr>
          <w:rFonts w:eastAsiaTheme="minorEastAsia"/>
          <w:bCs/>
          <w:color w:val="auto"/>
          <w:sz w:val="24"/>
        </w:rPr>
        <w:t>研究生通过毕业资格审查，</w:t>
      </w:r>
      <w:r>
        <w:rPr>
          <w:color w:val="auto"/>
          <w:kern w:val="0"/>
          <w:sz w:val="24"/>
        </w:rPr>
        <w:t>满足本</w:t>
      </w:r>
      <w:r>
        <w:rPr>
          <w:i w:val="0"/>
          <w:iCs/>
          <w:color w:val="auto"/>
          <w:kern w:val="0"/>
          <w:sz w:val="24"/>
        </w:rPr>
        <w:t>学院</w:t>
      </w:r>
      <w:r>
        <w:rPr>
          <w:color w:val="auto"/>
          <w:kern w:val="0"/>
          <w:sz w:val="24"/>
        </w:rPr>
        <w:t>制定的创新性成果要求，</w:t>
      </w:r>
      <w:r>
        <w:rPr>
          <w:rFonts w:eastAsiaTheme="minorEastAsia"/>
          <w:bCs/>
          <w:color w:val="auto"/>
          <w:sz w:val="24"/>
        </w:rPr>
        <w:t>符合</w:t>
      </w:r>
      <w:r>
        <w:rPr>
          <w:color w:val="auto"/>
          <w:kern w:val="0"/>
          <w:sz w:val="24"/>
        </w:rPr>
        <w:t>《河北大学博士、硕士学位授予工作实施细则》（校政字〔2025〕7号）</w:t>
      </w:r>
      <w:r>
        <w:rPr>
          <w:rFonts w:eastAsiaTheme="minorEastAsia"/>
          <w:bCs/>
          <w:color w:val="auto"/>
          <w:sz w:val="24"/>
        </w:rPr>
        <w:t>的有关规定，达到学校学位授予标准，经学校学位评定委员会审议，授予硕士学位。</w:t>
      </w:r>
    </w:p>
    <w:p w14:paraId="0EBAA401">
      <w:pPr>
        <w:spacing w:line="360" w:lineRule="auto"/>
        <w:ind w:firstLine="562" w:firstLineChars="200"/>
        <w:rPr>
          <w:rFonts w:eastAsia="黑体"/>
          <w:b/>
          <w:bCs w:val="0"/>
          <w:color w:val="auto"/>
          <w:sz w:val="28"/>
          <w:szCs w:val="28"/>
        </w:rPr>
      </w:pPr>
      <w:r>
        <w:rPr>
          <w:rFonts w:eastAsia="黑体"/>
          <w:b/>
          <w:bCs w:val="0"/>
          <w:color w:val="auto"/>
          <w:sz w:val="28"/>
          <w:szCs w:val="28"/>
        </w:rPr>
        <w:t>十</w:t>
      </w:r>
      <w:r>
        <w:rPr>
          <w:rFonts w:hint="eastAsia" w:eastAsia="黑体"/>
          <w:b/>
          <w:bCs w:val="0"/>
          <w:color w:val="auto"/>
          <w:sz w:val="28"/>
          <w:szCs w:val="28"/>
        </w:rPr>
        <w:t>二</w:t>
      </w:r>
      <w:r>
        <w:rPr>
          <w:rFonts w:eastAsia="黑体"/>
          <w:b/>
          <w:bCs w:val="0"/>
          <w:color w:val="auto"/>
          <w:sz w:val="28"/>
          <w:szCs w:val="28"/>
        </w:rPr>
        <w:t>、学分及课程设置</w:t>
      </w:r>
    </w:p>
    <w:p w14:paraId="61FA700C">
      <w:pPr>
        <w:spacing w:line="360" w:lineRule="auto"/>
        <w:ind w:firstLine="480" w:firstLineChars="200"/>
        <w:rPr>
          <w:rFonts w:hint="eastAsia" w:ascii="宋体" w:hAnsi="宋体" w:cs="宋体"/>
          <w:color w:val="auto"/>
          <w:sz w:val="24"/>
          <w:highlight w:val="none"/>
        </w:rPr>
      </w:pPr>
      <w:r>
        <w:rPr>
          <w:rFonts w:eastAsiaTheme="minorEastAsia"/>
          <w:color w:val="auto"/>
          <w:sz w:val="24"/>
        </w:rPr>
        <w:t>本专业最低毕业学分为</w:t>
      </w:r>
      <w:r>
        <w:rPr>
          <w:rFonts w:hint="eastAsia" w:eastAsiaTheme="minorEastAsia"/>
          <w:color w:val="auto"/>
          <w:sz w:val="24"/>
          <w:lang w:val="en-US" w:eastAsia="zh-CN"/>
        </w:rPr>
        <w:t>39</w:t>
      </w:r>
      <w:r>
        <w:rPr>
          <w:rFonts w:eastAsiaTheme="minorEastAsia"/>
          <w:color w:val="auto"/>
          <w:sz w:val="24"/>
        </w:rPr>
        <w:t>分，其中学位课</w:t>
      </w:r>
      <w:r>
        <w:rPr>
          <w:rFonts w:hint="eastAsia" w:eastAsiaTheme="minorEastAsia"/>
          <w:color w:val="auto"/>
          <w:sz w:val="24"/>
          <w:lang w:val="en-US" w:eastAsia="zh-CN"/>
        </w:rPr>
        <w:t>28</w:t>
      </w:r>
      <w:r>
        <w:rPr>
          <w:rFonts w:eastAsiaTheme="minorEastAsia"/>
          <w:color w:val="auto"/>
          <w:sz w:val="24"/>
        </w:rPr>
        <w:t>学分，非学位课</w:t>
      </w:r>
      <w:r>
        <w:rPr>
          <w:rFonts w:hint="eastAsia" w:eastAsiaTheme="minorEastAsia"/>
          <w:color w:val="auto"/>
          <w:sz w:val="24"/>
          <w:lang w:val="en-US" w:eastAsia="zh-CN"/>
        </w:rPr>
        <w:t>最低10</w:t>
      </w:r>
      <w:r>
        <w:rPr>
          <w:rFonts w:eastAsiaTheme="minorEastAsia"/>
          <w:color w:val="auto"/>
          <w:sz w:val="24"/>
        </w:rPr>
        <w:t>学分</w:t>
      </w:r>
      <w:r>
        <w:rPr>
          <w:rFonts w:hint="eastAsia" w:eastAsiaTheme="minorEastAsia"/>
          <w:color w:val="auto"/>
          <w:sz w:val="24"/>
          <w:lang w:eastAsia="zh-CN"/>
        </w:rPr>
        <w:t>，</w:t>
      </w:r>
      <w:r>
        <w:rPr>
          <w:rFonts w:ascii="宋体" w:hAnsi="宋体" w:eastAsia="宋体" w:cs="Times New Roman"/>
          <w:bCs/>
          <w:color w:val="auto"/>
          <w:sz w:val="24"/>
          <w:szCs w:val="24"/>
          <w14:ligatures w14:val="none"/>
        </w:rPr>
        <w:t>必修环节</w:t>
      </w:r>
      <w:r>
        <w:rPr>
          <w:rFonts w:hint="eastAsia" w:ascii="宋体" w:hAnsi="宋体" w:eastAsia="宋体" w:cs="Times New Roman"/>
          <w:bCs/>
          <w:color w:val="auto"/>
          <w:sz w:val="24"/>
          <w:szCs w:val="24"/>
          <w:lang w:val="en-US" w:eastAsia="zh-CN"/>
          <w14:ligatures w14:val="none"/>
        </w:rPr>
        <w:t>1学</w:t>
      </w:r>
      <w:r>
        <w:rPr>
          <w:rFonts w:ascii="宋体" w:hAnsi="宋体" w:eastAsia="宋体" w:cs="Times New Roman"/>
          <w:bCs/>
          <w:color w:val="auto"/>
          <w:sz w:val="24"/>
          <w:szCs w:val="24"/>
          <w14:ligatures w14:val="none"/>
        </w:rPr>
        <w:t>分</w:t>
      </w:r>
      <w:r>
        <w:rPr>
          <w:rFonts w:hint="eastAsia" w:ascii="宋体" w:hAnsi="宋体" w:cs="宋体"/>
          <w:color w:val="auto"/>
          <w:sz w:val="24"/>
          <w:highlight w:val="none"/>
          <w:lang w:eastAsia="zh-CN"/>
        </w:rPr>
        <w:t>。</w:t>
      </w:r>
    </w:p>
    <w:p w14:paraId="7FF0ACE6">
      <w:pPr>
        <w:spacing w:line="360" w:lineRule="auto"/>
        <w:ind w:firstLine="480" w:firstLineChars="200"/>
        <w:rPr>
          <w:rFonts w:hint="eastAsia" w:eastAsiaTheme="minorEastAsia"/>
          <w:color w:val="auto"/>
          <w:sz w:val="24"/>
        </w:rPr>
      </w:pPr>
      <w:r>
        <w:rPr>
          <w:rFonts w:hint="eastAsia" w:eastAsiaTheme="minorEastAsia"/>
          <w:color w:val="auto"/>
          <w:sz w:val="24"/>
        </w:rPr>
        <w:t>课程考试可以采用开卷/闭卷笔试或撰写读书报告、学期论文的形式。无论采取何种考试方式，均应能确实考核出学生对所学课程掌握的程度及运用知识的能力，考试成绩均按百分成绩评定。</w:t>
      </w:r>
    </w:p>
    <w:p w14:paraId="18A46382">
      <w:pPr>
        <w:spacing w:line="360" w:lineRule="auto"/>
        <w:ind w:firstLine="480" w:firstLineChars="200"/>
        <w:rPr>
          <w:rFonts w:eastAsiaTheme="minorEastAsia"/>
          <w:color w:val="auto"/>
          <w:sz w:val="24"/>
        </w:rPr>
      </w:pPr>
      <w:r>
        <w:rPr>
          <w:rFonts w:eastAsiaTheme="minorEastAsia"/>
          <w:color w:val="auto"/>
          <w:sz w:val="24"/>
        </w:rPr>
        <w:t>课程考试不设补考环节，考试成绩低于60分的需重修。</w:t>
      </w:r>
    </w:p>
    <w:p w14:paraId="1DABE09F">
      <w:pPr>
        <w:keepNext w:val="0"/>
        <w:keepLines w:val="0"/>
        <w:pageBreakBefore w:val="0"/>
        <w:widowControl w:val="0"/>
        <w:kinsoku/>
        <w:wordWrap/>
        <w:overflowPunct/>
        <w:topLinePunct w:val="0"/>
        <w:autoSpaceDE/>
        <w:autoSpaceDN/>
        <w:bidi w:val="0"/>
        <w:adjustRightInd/>
        <w:snapToGrid/>
        <w:spacing w:after="156" w:afterLines="50" w:line="440" w:lineRule="exact"/>
        <w:ind w:firstLine="0" w:firstLineChars="0"/>
        <w:jc w:val="center"/>
        <w:textAlignment w:val="auto"/>
        <w:rPr>
          <w:rFonts w:eastAsiaTheme="minorEastAsia"/>
          <w:b/>
          <w:bCs/>
          <w:color w:val="auto"/>
          <w:sz w:val="24"/>
        </w:rPr>
      </w:pPr>
      <w:r>
        <w:rPr>
          <w:rFonts w:hint="eastAsia" w:eastAsiaTheme="minorEastAsia"/>
          <w:b/>
          <w:bCs/>
          <w:color w:val="auto"/>
          <w:sz w:val="24"/>
          <w:lang w:val="en-US" w:eastAsia="zh-CN"/>
        </w:rPr>
        <w:t>英语笔译</w:t>
      </w:r>
      <w:r>
        <w:rPr>
          <w:rFonts w:eastAsiaTheme="minorEastAsia"/>
          <w:b/>
          <w:bCs/>
          <w:color w:val="auto"/>
          <w:sz w:val="24"/>
        </w:rPr>
        <w:t>专业全日制专业学位硕士研究生课程及培养环节设置一览表</w:t>
      </w:r>
    </w:p>
    <w:tbl>
      <w:tblPr>
        <w:tblStyle w:val="11"/>
        <w:tblW w:w="1010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59"/>
        <w:gridCol w:w="1986"/>
        <w:gridCol w:w="3912"/>
        <w:gridCol w:w="1081"/>
        <w:gridCol w:w="709"/>
        <w:gridCol w:w="709"/>
        <w:gridCol w:w="1146"/>
      </w:tblGrid>
      <w:tr w14:paraId="5431BA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545" w:type="dxa"/>
            <w:gridSpan w:val="2"/>
            <w:vAlign w:val="center"/>
          </w:tcPr>
          <w:p w14:paraId="7E4EC50C">
            <w:pPr>
              <w:jc w:val="center"/>
              <w:rPr>
                <w:b/>
                <w:color w:val="auto"/>
                <w:szCs w:val="21"/>
              </w:rPr>
            </w:pPr>
            <w:r>
              <w:rPr>
                <w:b/>
                <w:color w:val="auto"/>
                <w:szCs w:val="21"/>
              </w:rPr>
              <w:t>课程类别</w:t>
            </w:r>
          </w:p>
        </w:tc>
        <w:tc>
          <w:tcPr>
            <w:tcW w:w="3912" w:type="dxa"/>
            <w:vAlign w:val="center"/>
          </w:tcPr>
          <w:p w14:paraId="17BC9439">
            <w:pPr>
              <w:jc w:val="center"/>
              <w:rPr>
                <w:b/>
                <w:color w:val="auto"/>
                <w:szCs w:val="21"/>
              </w:rPr>
            </w:pPr>
            <w:r>
              <w:rPr>
                <w:b/>
                <w:color w:val="auto"/>
                <w:szCs w:val="21"/>
              </w:rPr>
              <w:t>课程说明</w:t>
            </w:r>
          </w:p>
        </w:tc>
        <w:tc>
          <w:tcPr>
            <w:tcW w:w="1081" w:type="dxa"/>
            <w:vAlign w:val="center"/>
          </w:tcPr>
          <w:p w14:paraId="07AF9A9B">
            <w:pPr>
              <w:jc w:val="center"/>
              <w:rPr>
                <w:b/>
                <w:color w:val="auto"/>
                <w:szCs w:val="21"/>
              </w:rPr>
            </w:pPr>
            <w:r>
              <w:rPr>
                <w:b/>
                <w:color w:val="auto"/>
                <w:szCs w:val="21"/>
              </w:rPr>
              <w:t>课程号</w:t>
            </w:r>
          </w:p>
        </w:tc>
        <w:tc>
          <w:tcPr>
            <w:tcW w:w="709" w:type="dxa"/>
            <w:vAlign w:val="center"/>
          </w:tcPr>
          <w:p w14:paraId="69B66688">
            <w:pPr>
              <w:jc w:val="center"/>
              <w:rPr>
                <w:b/>
                <w:color w:val="auto"/>
                <w:szCs w:val="21"/>
              </w:rPr>
            </w:pPr>
            <w:r>
              <w:rPr>
                <w:b/>
                <w:color w:val="auto"/>
                <w:szCs w:val="21"/>
              </w:rPr>
              <w:t>学分</w:t>
            </w:r>
          </w:p>
        </w:tc>
        <w:tc>
          <w:tcPr>
            <w:tcW w:w="709" w:type="dxa"/>
            <w:vAlign w:val="center"/>
          </w:tcPr>
          <w:p w14:paraId="405BDBAC">
            <w:pPr>
              <w:jc w:val="center"/>
              <w:rPr>
                <w:b/>
                <w:color w:val="auto"/>
                <w:szCs w:val="21"/>
              </w:rPr>
            </w:pPr>
            <w:r>
              <w:rPr>
                <w:b/>
                <w:color w:val="auto"/>
                <w:szCs w:val="21"/>
              </w:rPr>
              <w:t>学期</w:t>
            </w:r>
          </w:p>
        </w:tc>
        <w:tc>
          <w:tcPr>
            <w:tcW w:w="1146" w:type="dxa"/>
            <w:vAlign w:val="center"/>
          </w:tcPr>
          <w:p w14:paraId="10280D1C">
            <w:pPr>
              <w:jc w:val="center"/>
              <w:rPr>
                <w:b/>
                <w:color w:val="auto"/>
                <w:szCs w:val="21"/>
              </w:rPr>
            </w:pPr>
            <w:r>
              <w:rPr>
                <w:rFonts w:hint="eastAsia"/>
                <w:b/>
                <w:color w:val="auto"/>
                <w:szCs w:val="21"/>
              </w:rPr>
              <w:t>备注</w:t>
            </w:r>
          </w:p>
        </w:tc>
      </w:tr>
      <w:tr w14:paraId="05545F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restart"/>
            <w:vAlign w:val="center"/>
          </w:tcPr>
          <w:p w14:paraId="28FF61C2">
            <w:pPr>
              <w:jc w:val="center"/>
              <w:rPr>
                <w:b/>
                <w:color w:val="auto"/>
                <w:sz w:val="18"/>
                <w:szCs w:val="18"/>
              </w:rPr>
            </w:pPr>
            <w:r>
              <w:rPr>
                <w:b/>
                <w:color w:val="auto"/>
                <w:sz w:val="18"/>
                <w:szCs w:val="18"/>
              </w:rPr>
              <w:t>学位课</w:t>
            </w:r>
          </w:p>
          <w:p w14:paraId="205B8500">
            <w:pPr>
              <w:jc w:val="center"/>
              <w:rPr>
                <w:b/>
                <w:color w:val="auto"/>
                <w:sz w:val="18"/>
                <w:szCs w:val="18"/>
              </w:rPr>
            </w:pPr>
          </w:p>
        </w:tc>
        <w:tc>
          <w:tcPr>
            <w:tcW w:w="1986" w:type="dxa"/>
            <w:vAlign w:val="center"/>
          </w:tcPr>
          <w:p w14:paraId="3B6C5086">
            <w:pPr>
              <w:jc w:val="center"/>
              <w:rPr>
                <w:b/>
                <w:color w:val="auto"/>
                <w:sz w:val="18"/>
                <w:szCs w:val="18"/>
              </w:rPr>
            </w:pPr>
            <w:r>
              <w:rPr>
                <w:b/>
                <w:color w:val="auto"/>
                <w:sz w:val="18"/>
                <w:szCs w:val="18"/>
              </w:rPr>
              <w:t>公共必修课</w:t>
            </w:r>
          </w:p>
          <w:p w14:paraId="3B19300E">
            <w:pPr>
              <w:jc w:val="center"/>
              <w:rPr>
                <w:b/>
                <w:color w:val="auto"/>
                <w:sz w:val="18"/>
                <w:szCs w:val="18"/>
              </w:rPr>
            </w:pPr>
            <w:r>
              <w:rPr>
                <w:b/>
                <w:color w:val="auto"/>
                <w:sz w:val="18"/>
                <w:szCs w:val="18"/>
                <w:highlight w:val="none"/>
              </w:rPr>
              <w:t>（</w:t>
            </w:r>
            <w:r>
              <w:rPr>
                <w:rFonts w:hint="eastAsia"/>
                <w:b/>
                <w:color w:val="auto"/>
                <w:sz w:val="18"/>
                <w:szCs w:val="18"/>
                <w:highlight w:val="none"/>
                <w:lang w:val="en-US" w:eastAsia="zh-CN"/>
              </w:rPr>
              <w:t>2学分</w:t>
            </w:r>
            <w:r>
              <w:rPr>
                <w:b/>
                <w:color w:val="auto"/>
                <w:sz w:val="18"/>
                <w:szCs w:val="18"/>
                <w:highlight w:val="none"/>
              </w:rPr>
              <w:t>）</w:t>
            </w:r>
          </w:p>
        </w:tc>
        <w:tc>
          <w:tcPr>
            <w:tcW w:w="3912" w:type="dxa"/>
            <w:vAlign w:val="center"/>
          </w:tcPr>
          <w:p w14:paraId="591D8AE8">
            <w:pPr>
              <w:rPr>
                <w:color w:val="auto"/>
                <w:sz w:val="18"/>
                <w:szCs w:val="18"/>
              </w:rPr>
            </w:pPr>
            <w:r>
              <w:rPr>
                <w:rFonts w:hint="eastAsia"/>
                <w:color w:val="auto"/>
                <w:sz w:val="18"/>
                <w:szCs w:val="18"/>
              </w:rPr>
              <w:t>新时代</w:t>
            </w:r>
            <w:r>
              <w:rPr>
                <w:color w:val="auto"/>
                <w:sz w:val="18"/>
                <w:szCs w:val="18"/>
              </w:rPr>
              <w:t>中国特色社会主义理论与实践</w:t>
            </w:r>
          </w:p>
        </w:tc>
        <w:tc>
          <w:tcPr>
            <w:tcW w:w="1081" w:type="dxa"/>
            <w:vAlign w:val="center"/>
          </w:tcPr>
          <w:p w14:paraId="5459D832">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0000001</w:t>
            </w:r>
          </w:p>
        </w:tc>
        <w:tc>
          <w:tcPr>
            <w:tcW w:w="709" w:type="dxa"/>
            <w:vAlign w:val="center"/>
          </w:tcPr>
          <w:p w14:paraId="63F1CF21">
            <w:pPr>
              <w:jc w:val="center"/>
              <w:rPr>
                <w:color w:val="auto"/>
                <w:sz w:val="18"/>
                <w:szCs w:val="18"/>
              </w:rPr>
            </w:pPr>
            <w:r>
              <w:rPr>
                <w:color w:val="auto"/>
                <w:sz w:val="18"/>
                <w:szCs w:val="18"/>
              </w:rPr>
              <w:t>2</w:t>
            </w:r>
          </w:p>
        </w:tc>
        <w:tc>
          <w:tcPr>
            <w:tcW w:w="709" w:type="dxa"/>
            <w:vAlign w:val="center"/>
          </w:tcPr>
          <w:p w14:paraId="5EBFE480">
            <w:pPr>
              <w:jc w:val="center"/>
              <w:rPr>
                <w:color w:val="auto"/>
                <w:sz w:val="18"/>
                <w:szCs w:val="18"/>
              </w:rPr>
            </w:pPr>
            <w:r>
              <w:rPr>
                <w:color w:val="auto"/>
                <w:sz w:val="18"/>
                <w:szCs w:val="18"/>
              </w:rPr>
              <w:t>1</w:t>
            </w:r>
          </w:p>
        </w:tc>
        <w:tc>
          <w:tcPr>
            <w:tcW w:w="1146" w:type="dxa"/>
            <w:vAlign w:val="center"/>
          </w:tcPr>
          <w:p w14:paraId="2C8E340C">
            <w:pPr>
              <w:jc w:val="center"/>
              <w:rPr>
                <w:rFonts w:hint="eastAsia" w:eastAsia="宋体"/>
                <w:color w:val="auto"/>
                <w:sz w:val="18"/>
                <w:szCs w:val="18"/>
                <w:lang w:val="en-US" w:eastAsia="zh-CN"/>
              </w:rPr>
            </w:pPr>
            <w:r>
              <w:rPr>
                <w:rFonts w:hint="eastAsia"/>
                <w:color w:val="auto"/>
                <w:sz w:val="18"/>
                <w:szCs w:val="18"/>
                <w:lang w:val="en-US" w:eastAsia="zh-CN"/>
              </w:rPr>
              <w:t>考查</w:t>
            </w:r>
          </w:p>
        </w:tc>
      </w:tr>
      <w:tr w14:paraId="6BB0FD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3A7FEEB9">
            <w:pPr>
              <w:jc w:val="center"/>
              <w:rPr>
                <w:b/>
                <w:color w:val="auto"/>
                <w:sz w:val="18"/>
                <w:szCs w:val="18"/>
              </w:rPr>
            </w:pPr>
          </w:p>
        </w:tc>
        <w:tc>
          <w:tcPr>
            <w:tcW w:w="1986" w:type="dxa"/>
            <w:vMerge w:val="restart"/>
            <w:vAlign w:val="center"/>
          </w:tcPr>
          <w:p w14:paraId="28CFFE36">
            <w:pPr>
              <w:jc w:val="center"/>
              <w:rPr>
                <w:b/>
                <w:color w:val="auto"/>
                <w:sz w:val="18"/>
                <w:szCs w:val="18"/>
                <w:highlight w:val="none"/>
              </w:rPr>
            </w:pPr>
            <w:r>
              <w:rPr>
                <w:rFonts w:hint="eastAsia"/>
                <w:b/>
                <w:color w:val="auto"/>
                <w:sz w:val="18"/>
                <w:szCs w:val="18"/>
                <w:highlight w:val="none"/>
                <w:lang w:val="en-US" w:eastAsia="zh-CN"/>
              </w:rPr>
              <w:t>学科基础</w:t>
            </w:r>
            <w:r>
              <w:rPr>
                <w:b/>
                <w:color w:val="auto"/>
                <w:sz w:val="18"/>
                <w:szCs w:val="18"/>
                <w:highlight w:val="none"/>
              </w:rPr>
              <w:t>课</w:t>
            </w:r>
          </w:p>
          <w:p w14:paraId="30E321D2">
            <w:pPr>
              <w:jc w:val="center"/>
              <w:rPr>
                <w:b/>
                <w:color w:val="auto"/>
                <w:sz w:val="18"/>
                <w:szCs w:val="18"/>
              </w:rPr>
            </w:pPr>
            <w:r>
              <w:rPr>
                <w:b/>
                <w:color w:val="auto"/>
                <w:sz w:val="18"/>
                <w:szCs w:val="18"/>
                <w:highlight w:val="none"/>
              </w:rPr>
              <w:t>（</w:t>
            </w:r>
            <w:r>
              <w:rPr>
                <w:rFonts w:hint="eastAsia"/>
                <w:b/>
                <w:color w:val="auto"/>
                <w:sz w:val="18"/>
                <w:szCs w:val="18"/>
                <w:highlight w:val="none"/>
                <w:lang w:val="en-US" w:eastAsia="zh-CN"/>
              </w:rPr>
              <w:t>12学分</w:t>
            </w:r>
            <w:r>
              <w:rPr>
                <w:b/>
                <w:color w:val="auto"/>
                <w:sz w:val="18"/>
                <w:szCs w:val="18"/>
                <w:highlight w:val="none"/>
              </w:rPr>
              <w:t>）</w:t>
            </w:r>
          </w:p>
        </w:tc>
        <w:tc>
          <w:tcPr>
            <w:tcW w:w="3912" w:type="dxa"/>
            <w:shd w:val="clear" w:color="auto" w:fill="auto"/>
            <w:vAlign w:val="center"/>
          </w:tcPr>
          <w:p w14:paraId="0610EFCE">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学术道德与论文写作</w:t>
            </w:r>
          </w:p>
        </w:tc>
        <w:tc>
          <w:tcPr>
            <w:tcW w:w="1081" w:type="dxa"/>
            <w:shd w:val="clear" w:color="auto" w:fill="auto"/>
            <w:vAlign w:val="center"/>
          </w:tcPr>
          <w:p w14:paraId="3D0345C0">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X</w:t>
            </w:r>
            <w:r>
              <w:rPr>
                <w:rFonts w:hint="eastAsia"/>
                <w:color w:val="auto"/>
                <w:sz w:val="18"/>
                <w:szCs w:val="18"/>
              </w:rPr>
              <w:t>S05</w:t>
            </w:r>
            <w:r>
              <w:rPr>
                <w:rFonts w:hint="eastAsia"/>
                <w:color w:val="auto"/>
                <w:sz w:val="18"/>
                <w:szCs w:val="18"/>
                <w:lang w:val="en-US" w:eastAsia="zh-CN"/>
              </w:rPr>
              <w:t>99001</w:t>
            </w:r>
          </w:p>
        </w:tc>
        <w:tc>
          <w:tcPr>
            <w:tcW w:w="709" w:type="dxa"/>
            <w:shd w:val="clear" w:color="auto" w:fill="auto"/>
            <w:vAlign w:val="center"/>
          </w:tcPr>
          <w:p w14:paraId="33EDA7E4">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709" w:type="dxa"/>
            <w:shd w:val="clear" w:color="auto" w:fill="auto"/>
            <w:vAlign w:val="center"/>
          </w:tcPr>
          <w:p w14:paraId="7FF6E455">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146" w:type="dxa"/>
            <w:shd w:val="clear" w:color="auto" w:fill="auto"/>
            <w:vAlign w:val="center"/>
          </w:tcPr>
          <w:p w14:paraId="05541AD2">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73612E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5316A284">
            <w:pPr>
              <w:jc w:val="center"/>
              <w:rPr>
                <w:b/>
                <w:color w:val="auto"/>
                <w:sz w:val="18"/>
                <w:szCs w:val="18"/>
              </w:rPr>
            </w:pPr>
          </w:p>
        </w:tc>
        <w:tc>
          <w:tcPr>
            <w:tcW w:w="1986" w:type="dxa"/>
            <w:vMerge w:val="continue"/>
            <w:vAlign w:val="center"/>
          </w:tcPr>
          <w:p w14:paraId="0CC7EFE6">
            <w:pPr>
              <w:jc w:val="center"/>
              <w:rPr>
                <w:rFonts w:hint="default"/>
                <w:b/>
                <w:color w:val="auto"/>
                <w:sz w:val="18"/>
                <w:szCs w:val="18"/>
                <w:lang w:val="en-US" w:eastAsia="zh-CN"/>
              </w:rPr>
            </w:pPr>
          </w:p>
        </w:tc>
        <w:tc>
          <w:tcPr>
            <w:tcW w:w="3912" w:type="dxa"/>
            <w:shd w:val="clear" w:color="auto" w:fill="auto"/>
            <w:vAlign w:val="center"/>
          </w:tcPr>
          <w:p w14:paraId="2E85D8F2">
            <w:pP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语言智能前沿问题研究-专</w:t>
            </w:r>
          </w:p>
        </w:tc>
        <w:tc>
          <w:tcPr>
            <w:tcW w:w="1081" w:type="dxa"/>
            <w:shd w:val="clear" w:color="auto" w:fill="auto"/>
            <w:vAlign w:val="center"/>
          </w:tcPr>
          <w:p w14:paraId="50848712">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X</w:t>
            </w:r>
            <w:r>
              <w:rPr>
                <w:rFonts w:hint="eastAsia"/>
                <w:color w:val="auto"/>
                <w:sz w:val="18"/>
                <w:szCs w:val="18"/>
              </w:rPr>
              <w:t>S050</w:t>
            </w:r>
            <w:r>
              <w:rPr>
                <w:rFonts w:hint="eastAsia"/>
                <w:color w:val="auto"/>
                <w:sz w:val="18"/>
                <w:szCs w:val="18"/>
                <w:lang w:val="en-US" w:eastAsia="zh-CN"/>
              </w:rPr>
              <w:t>1</w:t>
            </w:r>
            <w:r>
              <w:rPr>
                <w:rFonts w:hint="eastAsia"/>
                <w:color w:val="auto"/>
                <w:sz w:val="18"/>
                <w:szCs w:val="18"/>
              </w:rPr>
              <w:t>0</w:t>
            </w:r>
            <w:r>
              <w:rPr>
                <w:rFonts w:hint="eastAsia"/>
                <w:color w:val="auto"/>
                <w:sz w:val="18"/>
                <w:szCs w:val="18"/>
                <w:lang w:val="en-US" w:eastAsia="zh-CN"/>
              </w:rPr>
              <w:t>04</w:t>
            </w:r>
          </w:p>
        </w:tc>
        <w:tc>
          <w:tcPr>
            <w:tcW w:w="709" w:type="dxa"/>
            <w:shd w:val="clear" w:color="auto" w:fill="auto"/>
            <w:vAlign w:val="center"/>
          </w:tcPr>
          <w:p w14:paraId="424C883F">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3A80D780">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w:t>
            </w:r>
          </w:p>
        </w:tc>
        <w:tc>
          <w:tcPr>
            <w:tcW w:w="1146" w:type="dxa"/>
            <w:shd w:val="clear" w:color="auto" w:fill="auto"/>
            <w:vAlign w:val="center"/>
          </w:tcPr>
          <w:p w14:paraId="0F35CDEA">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69950A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6A0582F1">
            <w:pPr>
              <w:jc w:val="center"/>
              <w:rPr>
                <w:b/>
                <w:color w:val="auto"/>
                <w:sz w:val="18"/>
                <w:szCs w:val="18"/>
              </w:rPr>
            </w:pPr>
          </w:p>
        </w:tc>
        <w:tc>
          <w:tcPr>
            <w:tcW w:w="1986" w:type="dxa"/>
            <w:vMerge w:val="continue"/>
            <w:vAlign w:val="center"/>
          </w:tcPr>
          <w:p w14:paraId="01E4A9AD">
            <w:pPr>
              <w:jc w:val="center"/>
              <w:rPr>
                <w:b/>
                <w:color w:val="auto"/>
                <w:sz w:val="18"/>
                <w:szCs w:val="18"/>
              </w:rPr>
            </w:pPr>
          </w:p>
        </w:tc>
        <w:tc>
          <w:tcPr>
            <w:tcW w:w="3912" w:type="dxa"/>
            <w:shd w:val="clear" w:color="auto" w:fill="auto"/>
            <w:vAlign w:val="center"/>
          </w:tcPr>
          <w:p w14:paraId="22BF5509">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中国语言文化</w:t>
            </w:r>
          </w:p>
        </w:tc>
        <w:tc>
          <w:tcPr>
            <w:tcW w:w="1081" w:type="dxa"/>
            <w:shd w:val="clear" w:color="auto" w:fill="auto"/>
            <w:vAlign w:val="center"/>
          </w:tcPr>
          <w:p w14:paraId="57715363">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ZS0505001</w:t>
            </w:r>
          </w:p>
        </w:tc>
        <w:tc>
          <w:tcPr>
            <w:tcW w:w="709" w:type="dxa"/>
            <w:shd w:val="clear" w:color="auto" w:fill="auto"/>
            <w:vAlign w:val="center"/>
          </w:tcPr>
          <w:p w14:paraId="11436D6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3</w:t>
            </w:r>
          </w:p>
        </w:tc>
        <w:tc>
          <w:tcPr>
            <w:tcW w:w="709" w:type="dxa"/>
            <w:shd w:val="clear" w:color="auto" w:fill="auto"/>
            <w:vAlign w:val="center"/>
          </w:tcPr>
          <w:p w14:paraId="61E2D24F">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4ABEB7DF">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644E73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2C218895">
            <w:pPr>
              <w:jc w:val="center"/>
              <w:rPr>
                <w:b/>
                <w:color w:val="auto"/>
                <w:sz w:val="18"/>
                <w:szCs w:val="18"/>
              </w:rPr>
            </w:pPr>
          </w:p>
        </w:tc>
        <w:tc>
          <w:tcPr>
            <w:tcW w:w="1986" w:type="dxa"/>
            <w:vMerge w:val="continue"/>
            <w:vAlign w:val="center"/>
          </w:tcPr>
          <w:p w14:paraId="0789AF29">
            <w:pPr>
              <w:jc w:val="center"/>
              <w:rPr>
                <w:b/>
                <w:color w:val="auto"/>
                <w:sz w:val="18"/>
                <w:szCs w:val="18"/>
              </w:rPr>
            </w:pPr>
          </w:p>
        </w:tc>
        <w:tc>
          <w:tcPr>
            <w:tcW w:w="3912" w:type="dxa"/>
            <w:shd w:val="clear" w:color="auto" w:fill="auto"/>
            <w:vAlign w:val="center"/>
          </w:tcPr>
          <w:p w14:paraId="0927335F">
            <w:pPr>
              <w:rPr>
                <w:rFonts w:hint="default" w:ascii="Times New Roman" w:hAnsi="Times New Roman" w:eastAsia="宋体" w:cs="Times New Roman"/>
                <w:color w:val="auto"/>
                <w:kern w:val="2"/>
                <w:sz w:val="18"/>
                <w:szCs w:val="18"/>
                <w:lang w:val="en-US" w:eastAsia="zh-CN" w:bidi="ar-SA"/>
              </w:rPr>
            </w:pPr>
            <w:r>
              <w:rPr>
                <w:color w:val="auto"/>
                <w:sz w:val="18"/>
                <w:szCs w:val="18"/>
              </w:rPr>
              <w:t>翻译概论</w:t>
            </w:r>
          </w:p>
        </w:tc>
        <w:tc>
          <w:tcPr>
            <w:tcW w:w="1081" w:type="dxa"/>
            <w:shd w:val="clear" w:color="auto" w:fill="auto"/>
            <w:vAlign w:val="center"/>
          </w:tcPr>
          <w:p w14:paraId="375C3DD0">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002</w:t>
            </w:r>
          </w:p>
        </w:tc>
        <w:tc>
          <w:tcPr>
            <w:tcW w:w="709" w:type="dxa"/>
            <w:shd w:val="clear" w:color="auto" w:fill="auto"/>
            <w:vAlign w:val="center"/>
          </w:tcPr>
          <w:p w14:paraId="2205B86C">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13AFE459">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4777942F">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5FCED2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3C2FF4E2">
            <w:pPr>
              <w:jc w:val="center"/>
              <w:rPr>
                <w:b/>
                <w:color w:val="auto"/>
                <w:sz w:val="18"/>
                <w:szCs w:val="18"/>
              </w:rPr>
            </w:pPr>
          </w:p>
        </w:tc>
        <w:tc>
          <w:tcPr>
            <w:tcW w:w="1986" w:type="dxa"/>
            <w:vMerge w:val="continue"/>
            <w:vAlign w:val="center"/>
          </w:tcPr>
          <w:p w14:paraId="04BAA78E">
            <w:pPr>
              <w:jc w:val="center"/>
              <w:rPr>
                <w:b/>
                <w:color w:val="auto"/>
                <w:sz w:val="18"/>
                <w:szCs w:val="18"/>
              </w:rPr>
            </w:pPr>
          </w:p>
        </w:tc>
        <w:tc>
          <w:tcPr>
            <w:tcW w:w="3912" w:type="dxa"/>
            <w:vAlign w:val="center"/>
          </w:tcPr>
          <w:p w14:paraId="501F2D3D">
            <w:pPr>
              <w:rPr>
                <w:color w:val="auto"/>
                <w:sz w:val="18"/>
                <w:szCs w:val="18"/>
              </w:rPr>
            </w:pPr>
            <w:r>
              <w:rPr>
                <w:rFonts w:hint="eastAsia"/>
                <w:color w:val="auto"/>
                <w:sz w:val="18"/>
                <w:szCs w:val="18"/>
                <w:highlight w:val="none"/>
              </w:rPr>
              <w:t>大语言模型与智能翻译技术</w:t>
            </w:r>
          </w:p>
        </w:tc>
        <w:tc>
          <w:tcPr>
            <w:tcW w:w="1081" w:type="dxa"/>
            <w:vAlign w:val="center"/>
          </w:tcPr>
          <w:p w14:paraId="1FCB07BD">
            <w:pPr>
              <w:jc w:val="center"/>
              <w:rPr>
                <w:rFonts w:hint="eastAsia" w:eastAsia="宋体"/>
                <w:color w:val="auto"/>
                <w:sz w:val="18"/>
                <w:szCs w:val="18"/>
                <w:lang w:eastAsia="zh-CN"/>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w:t>
            </w:r>
            <w:r>
              <w:rPr>
                <w:rFonts w:hint="eastAsia"/>
                <w:color w:val="auto"/>
                <w:sz w:val="18"/>
                <w:szCs w:val="18"/>
                <w:lang w:val="en-US" w:eastAsia="zh-CN"/>
              </w:rPr>
              <w:t>3</w:t>
            </w:r>
          </w:p>
        </w:tc>
        <w:tc>
          <w:tcPr>
            <w:tcW w:w="709" w:type="dxa"/>
            <w:vAlign w:val="center"/>
          </w:tcPr>
          <w:p w14:paraId="34C2AEBF">
            <w:pPr>
              <w:jc w:val="center"/>
              <w:rPr>
                <w:rFonts w:hint="eastAsia" w:eastAsia="宋体"/>
                <w:color w:val="auto"/>
                <w:sz w:val="18"/>
                <w:szCs w:val="18"/>
                <w:lang w:eastAsia="zh-CN"/>
              </w:rPr>
            </w:pPr>
            <w:r>
              <w:rPr>
                <w:rFonts w:hint="eastAsia"/>
                <w:color w:val="auto"/>
                <w:sz w:val="18"/>
                <w:szCs w:val="18"/>
                <w:lang w:val="en-US" w:eastAsia="zh-CN"/>
              </w:rPr>
              <w:t>2</w:t>
            </w:r>
          </w:p>
        </w:tc>
        <w:tc>
          <w:tcPr>
            <w:tcW w:w="709" w:type="dxa"/>
            <w:vAlign w:val="center"/>
          </w:tcPr>
          <w:p w14:paraId="318350A9">
            <w:pPr>
              <w:jc w:val="center"/>
              <w:rPr>
                <w:color w:val="auto"/>
                <w:sz w:val="18"/>
                <w:szCs w:val="18"/>
                <w:highlight w:val="none"/>
              </w:rPr>
            </w:pPr>
            <w:r>
              <w:rPr>
                <w:rFonts w:hint="eastAsia"/>
                <w:color w:val="auto"/>
                <w:sz w:val="18"/>
                <w:szCs w:val="18"/>
                <w:highlight w:val="none"/>
              </w:rPr>
              <w:t>1</w:t>
            </w:r>
          </w:p>
        </w:tc>
        <w:tc>
          <w:tcPr>
            <w:tcW w:w="1146" w:type="dxa"/>
            <w:vAlign w:val="center"/>
          </w:tcPr>
          <w:p w14:paraId="24216C21">
            <w:pPr>
              <w:jc w:val="center"/>
              <w:rPr>
                <w:color w:val="auto"/>
                <w:sz w:val="18"/>
                <w:szCs w:val="18"/>
              </w:rPr>
            </w:pPr>
            <w:r>
              <w:rPr>
                <w:color w:val="auto"/>
                <w:sz w:val="18"/>
                <w:szCs w:val="18"/>
              </w:rPr>
              <w:t>考查</w:t>
            </w:r>
          </w:p>
        </w:tc>
      </w:tr>
      <w:tr w14:paraId="71FAD7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7813AC41">
            <w:pPr>
              <w:jc w:val="center"/>
              <w:rPr>
                <w:b/>
                <w:color w:val="auto"/>
                <w:sz w:val="18"/>
                <w:szCs w:val="18"/>
              </w:rPr>
            </w:pPr>
          </w:p>
        </w:tc>
        <w:tc>
          <w:tcPr>
            <w:tcW w:w="1986" w:type="dxa"/>
            <w:vMerge w:val="continue"/>
            <w:vAlign w:val="center"/>
          </w:tcPr>
          <w:p w14:paraId="556A5B4D">
            <w:pPr>
              <w:jc w:val="center"/>
              <w:rPr>
                <w:b/>
                <w:color w:val="auto"/>
                <w:sz w:val="18"/>
                <w:szCs w:val="18"/>
              </w:rPr>
            </w:pPr>
          </w:p>
        </w:tc>
        <w:tc>
          <w:tcPr>
            <w:tcW w:w="3912" w:type="dxa"/>
            <w:vAlign w:val="center"/>
          </w:tcPr>
          <w:p w14:paraId="5282B9D1">
            <w:pPr>
              <w:rPr>
                <w:color w:val="auto"/>
                <w:sz w:val="18"/>
                <w:szCs w:val="18"/>
              </w:rPr>
            </w:pPr>
            <w:r>
              <w:rPr>
                <w:color w:val="auto"/>
                <w:sz w:val="18"/>
                <w:szCs w:val="18"/>
              </w:rPr>
              <w:t>中外翻译简史</w:t>
            </w:r>
          </w:p>
        </w:tc>
        <w:tc>
          <w:tcPr>
            <w:tcW w:w="1081" w:type="dxa"/>
            <w:vAlign w:val="center"/>
          </w:tcPr>
          <w:p w14:paraId="22A905E9">
            <w:pPr>
              <w:jc w:val="center"/>
              <w:rPr>
                <w:rFonts w:hint="eastAsia" w:eastAsia="宋体"/>
                <w:color w:val="auto"/>
                <w:sz w:val="18"/>
                <w:szCs w:val="18"/>
                <w:lang w:eastAsia="zh-CN"/>
              </w:rPr>
            </w:pPr>
            <w:r>
              <w:rPr>
                <w:rFonts w:hint="eastAsia"/>
                <w:color w:val="auto"/>
                <w:sz w:val="18"/>
                <w:szCs w:val="18"/>
              </w:rPr>
              <w:t>ZS050500</w:t>
            </w:r>
            <w:r>
              <w:rPr>
                <w:rFonts w:hint="eastAsia"/>
                <w:color w:val="auto"/>
                <w:sz w:val="18"/>
                <w:szCs w:val="18"/>
                <w:lang w:val="en-US" w:eastAsia="zh-CN"/>
              </w:rPr>
              <w:t>6</w:t>
            </w:r>
          </w:p>
        </w:tc>
        <w:tc>
          <w:tcPr>
            <w:tcW w:w="709" w:type="dxa"/>
            <w:vAlign w:val="center"/>
          </w:tcPr>
          <w:p w14:paraId="627207A3">
            <w:pPr>
              <w:jc w:val="center"/>
              <w:rPr>
                <w:color w:val="auto"/>
                <w:sz w:val="18"/>
                <w:szCs w:val="18"/>
              </w:rPr>
            </w:pPr>
            <w:r>
              <w:rPr>
                <w:rFonts w:hint="eastAsia"/>
                <w:color w:val="auto"/>
                <w:sz w:val="18"/>
                <w:szCs w:val="18"/>
              </w:rPr>
              <w:t>2</w:t>
            </w:r>
          </w:p>
        </w:tc>
        <w:tc>
          <w:tcPr>
            <w:tcW w:w="709" w:type="dxa"/>
            <w:vAlign w:val="center"/>
          </w:tcPr>
          <w:p w14:paraId="01CEDDCF">
            <w:pPr>
              <w:jc w:val="center"/>
              <w:rPr>
                <w:color w:val="auto"/>
                <w:sz w:val="18"/>
                <w:szCs w:val="18"/>
              </w:rPr>
            </w:pPr>
            <w:r>
              <w:rPr>
                <w:rFonts w:hint="eastAsia"/>
                <w:color w:val="auto"/>
                <w:sz w:val="18"/>
                <w:szCs w:val="18"/>
              </w:rPr>
              <w:t>2</w:t>
            </w:r>
          </w:p>
        </w:tc>
        <w:tc>
          <w:tcPr>
            <w:tcW w:w="1146" w:type="dxa"/>
            <w:vAlign w:val="center"/>
          </w:tcPr>
          <w:p w14:paraId="4F1CBC05">
            <w:pPr>
              <w:jc w:val="center"/>
              <w:rPr>
                <w:color w:val="auto"/>
                <w:sz w:val="18"/>
                <w:szCs w:val="18"/>
              </w:rPr>
            </w:pPr>
            <w:r>
              <w:rPr>
                <w:color w:val="auto"/>
                <w:sz w:val="18"/>
                <w:szCs w:val="18"/>
              </w:rPr>
              <w:t>考查</w:t>
            </w:r>
          </w:p>
        </w:tc>
      </w:tr>
      <w:tr w14:paraId="5E103A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68F3ADD9">
            <w:pPr>
              <w:jc w:val="center"/>
              <w:rPr>
                <w:b/>
                <w:color w:val="auto"/>
                <w:sz w:val="18"/>
                <w:szCs w:val="18"/>
              </w:rPr>
            </w:pPr>
          </w:p>
        </w:tc>
        <w:tc>
          <w:tcPr>
            <w:tcW w:w="1986" w:type="dxa"/>
            <w:vMerge w:val="restart"/>
            <w:vAlign w:val="center"/>
          </w:tcPr>
          <w:p w14:paraId="262F2815">
            <w:pPr>
              <w:jc w:val="center"/>
              <w:rPr>
                <w:rFonts w:hint="eastAsia"/>
                <w:b/>
                <w:color w:val="auto"/>
                <w:sz w:val="18"/>
                <w:szCs w:val="18"/>
                <w:highlight w:val="none"/>
                <w:lang w:val="en-US" w:eastAsia="zh-CN"/>
              </w:rPr>
            </w:pPr>
            <w:r>
              <w:rPr>
                <w:rFonts w:hint="eastAsia"/>
                <w:b/>
                <w:color w:val="auto"/>
                <w:sz w:val="18"/>
                <w:szCs w:val="18"/>
                <w:highlight w:val="none"/>
                <w:lang w:val="en-US" w:eastAsia="zh-CN"/>
              </w:rPr>
              <w:t>专业必修课</w:t>
            </w:r>
          </w:p>
          <w:p w14:paraId="61FC2E79">
            <w:pPr>
              <w:jc w:val="center"/>
              <w:rPr>
                <w:b/>
                <w:color w:val="auto"/>
                <w:sz w:val="18"/>
                <w:szCs w:val="18"/>
              </w:rPr>
            </w:pPr>
            <w:r>
              <w:rPr>
                <w:rFonts w:hint="eastAsia"/>
                <w:b/>
                <w:color w:val="auto"/>
                <w:sz w:val="18"/>
                <w:szCs w:val="18"/>
                <w:highlight w:val="none"/>
                <w:lang w:val="en-US" w:eastAsia="zh-CN"/>
              </w:rPr>
              <w:t>（14学分）</w:t>
            </w:r>
          </w:p>
        </w:tc>
        <w:tc>
          <w:tcPr>
            <w:tcW w:w="3912" w:type="dxa"/>
            <w:shd w:val="clear" w:color="auto" w:fill="auto"/>
            <w:vAlign w:val="center"/>
          </w:tcPr>
          <w:p w14:paraId="3899080E">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英语</w:t>
            </w:r>
            <w:r>
              <w:rPr>
                <w:color w:val="auto"/>
                <w:sz w:val="18"/>
                <w:szCs w:val="18"/>
              </w:rPr>
              <w:t>笔译理论与技巧</w:t>
            </w:r>
          </w:p>
        </w:tc>
        <w:tc>
          <w:tcPr>
            <w:tcW w:w="1081" w:type="dxa"/>
            <w:shd w:val="clear" w:color="auto" w:fill="auto"/>
            <w:vAlign w:val="center"/>
          </w:tcPr>
          <w:p w14:paraId="1A55529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w:t>
            </w:r>
            <w:r>
              <w:rPr>
                <w:rFonts w:hint="eastAsia"/>
                <w:color w:val="auto"/>
                <w:sz w:val="18"/>
                <w:szCs w:val="18"/>
                <w:lang w:val="en-US" w:eastAsia="zh-CN"/>
              </w:rPr>
              <w:t>5</w:t>
            </w:r>
          </w:p>
        </w:tc>
        <w:tc>
          <w:tcPr>
            <w:tcW w:w="709" w:type="dxa"/>
            <w:shd w:val="clear" w:color="auto" w:fill="auto"/>
            <w:vAlign w:val="center"/>
          </w:tcPr>
          <w:p w14:paraId="1B27DF95">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CCFE8B6">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02BA6125">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11CB81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59" w:type="dxa"/>
            <w:vMerge w:val="continue"/>
            <w:vAlign w:val="center"/>
          </w:tcPr>
          <w:p w14:paraId="4DD9A5B4">
            <w:pPr>
              <w:jc w:val="center"/>
              <w:rPr>
                <w:b/>
                <w:color w:val="auto"/>
                <w:sz w:val="18"/>
                <w:szCs w:val="18"/>
              </w:rPr>
            </w:pPr>
          </w:p>
        </w:tc>
        <w:tc>
          <w:tcPr>
            <w:tcW w:w="1986" w:type="dxa"/>
            <w:vMerge w:val="continue"/>
            <w:vAlign w:val="center"/>
          </w:tcPr>
          <w:p w14:paraId="25D76602">
            <w:pPr>
              <w:jc w:val="center"/>
              <w:rPr>
                <w:b/>
                <w:color w:val="auto"/>
                <w:sz w:val="18"/>
                <w:szCs w:val="18"/>
              </w:rPr>
            </w:pPr>
          </w:p>
        </w:tc>
        <w:tc>
          <w:tcPr>
            <w:tcW w:w="3912" w:type="dxa"/>
            <w:shd w:val="clear" w:color="auto" w:fill="auto"/>
            <w:vAlign w:val="center"/>
          </w:tcPr>
          <w:p w14:paraId="0AAAC6FA">
            <w:pPr>
              <w:rPr>
                <w:rFonts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英语</w:t>
            </w:r>
            <w:r>
              <w:rPr>
                <w:color w:val="auto"/>
                <w:sz w:val="18"/>
                <w:szCs w:val="18"/>
              </w:rPr>
              <w:t>口译理论与技巧</w:t>
            </w:r>
          </w:p>
        </w:tc>
        <w:tc>
          <w:tcPr>
            <w:tcW w:w="1081" w:type="dxa"/>
            <w:shd w:val="clear" w:color="auto" w:fill="auto"/>
            <w:vAlign w:val="center"/>
          </w:tcPr>
          <w:p w14:paraId="3E6FED2D">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w:t>
            </w:r>
            <w:r>
              <w:rPr>
                <w:rFonts w:hint="eastAsia"/>
                <w:color w:val="auto"/>
                <w:sz w:val="18"/>
                <w:szCs w:val="18"/>
                <w:lang w:val="en-US" w:eastAsia="zh-CN"/>
              </w:rPr>
              <w:t>6</w:t>
            </w:r>
          </w:p>
        </w:tc>
        <w:tc>
          <w:tcPr>
            <w:tcW w:w="709" w:type="dxa"/>
            <w:shd w:val="clear" w:color="auto" w:fill="auto"/>
            <w:vAlign w:val="center"/>
          </w:tcPr>
          <w:p w14:paraId="2A1B58DC">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CBBBD72">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54A23F94">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0DB523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40AEA73C">
            <w:pPr>
              <w:jc w:val="center"/>
              <w:rPr>
                <w:b/>
                <w:color w:val="auto"/>
                <w:sz w:val="18"/>
                <w:szCs w:val="18"/>
              </w:rPr>
            </w:pPr>
          </w:p>
        </w:tc>
        <w:tc>
          <w:tcPr>
            <w:tcW w:w="1986" w:type="dxa"/>
            <w:vMerge w:val="continue"/>
            <w:vAlign w:val="center"/>
          </w:tcPr>
          <w:p w14:paraId="5668D99E">
            <w:pPr>
              <w:jc w:val="center"/>
              <w:rPr>
                <w:b/>
                <w:color w:val="auto"/>
                <w:sz w:val="18"/>
                <w:szCs w:val="18"/>
              </w:rPr>
            </w:pPr>
          </w:p>
        </w:tc>
        <w:tc>
          <w:tcPr>
            <w:tcW w:w="3912" w:type="dxa"/>
            <w:shd w:val="clear" w:color="auto" w:fill="auto"/>
            <w:vAlign w:val="center"/>
          </w:tcPr>
          <w:p w14:paraId="6A15654A">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高级</w:t>
            </w:r>
            <w:r>
              <w:rPr>
                <w:rFonts w:hint="eastAsia"/>
                <w:color w:val="auto"/>
                <w:sz w:val="18"/>
                <w:szCs w:val="18"/>
                <w:lang w:val="en-US" w:eastAsia="zh-CN"/>
              </w:rPr>
              <w:t>汉英</w:t>
            </w:r>
            <w:r>
              <w:rPr>
                <w:rFonts w:hint="eastAsia"/>
                <w:color w:val="auto"/>
                <w:sz w:val="18"/>
                <w:szCs w:val="18"/>
              </w:rPr>
              <w:t>翻译</w:t>
            </w:r>
          </w:p>
        </w:tc>
        <w:tc>
          <w:tcPr>
            <w:tcW w:w="1081" w:type="dxa"/>
            <w:shd w:val="clear" w:color="auto" w:fill="auto"/>
            <w:vAlign w:val="center"/>
          </w:tcPr>
          <w:p w14:paraId="6E4C3D2D">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w:t>
            </w:r>
            <w:r>
              <w:rPr>
                <w:rFonts w:hint="eastAsia"/>
                <w:color w:val="auto"/>
                <w:sz w:val="18"/>
                <w:szCs w:val="18"/>
                <w:lang w:val="en-US" w:eastAsia="zh-CN"/>
              </w:rPr>
              <w:t>07</w:t>
            </w:r>
          </w:p>
        </w:tc>
        <w:tc>
          <w:tcPr>
            <w:tcW w:w="709" w:type="dxa"/>
            <w:shd w:val="clear" w:color="auto" w:fill="auto"/>
            <w:vAlign w:val="center"/>
          </w:tcPr>
          <w:p w14:paraId="05A5BF05">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2</w:t>
            </w:r>
          </w:p>
        </w:tc>
        <w:tc>
          <w:tcPr>
            <w:tcW w:w="709" w:type="dxa"/>
            <w:shd w:val="clear" w:color="auto" w:fill="auto"/>
            <w:vAlign w:val="center"/>
          </w:tcPr>
          <w:p w14:paraId="18B598CF">
            <w:pPr>
              <w:jc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2</w:t>
            </w:r>
          </w:p>
        </w:tc>
        <w:tc>
          <w:tcPr>
            <w:tcW w:w="1146" w:type="dxa"/>
            <w:shd w:val="clear" w:color="auto" w:fill="auto"/>
            <w:vAlign w:val="center"/>
          </w:tcPr>
          <w:p w14:paraId="0B6B470C">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00DE3B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0D20CB63">
            <w:pPr>
              <w:jc w:val="center"/>
              <w:rPr>
                <w:b/>
                <w:color w:val="auto"/>
                <w:sz w:val="18"/>
                <w:szCs w:val="18"/>
              </w:rPr>
            </w:pPr>
          </w:p>
        </w:tc>
        <w:tc>
          <w:tcPr>
            <w:tcW w:w="1986" w:type="dxa"/>
            <w:vMerge w:val="continue"/>
            <w:vAlign w:val="center"/>
          </w:tcPr>
          <w:p w14:paraId="0D6702AC">
            <w:pPr>
              <w:jc w:val="center"/>
              <w:rPr>
                <w:b/>
                <w:color w:val="auto"/>
                <w:sz w:val="18"/>
                <w:szCs w:val="18"/>
              </w:rPr>
            </w:pPr>
          </w:p>
        </w:tc>
        <w:tc>
          <w:tcPr>
            <w:tcW w:w="3912" w:type="dxa"/>
            <w:shd w:val="clear" w:color="auto" w:fill="auto"/>
            <w:vAlign w:val="center"/>
          </w:tcPr>
          <w:p w14:paraId="417F3BE8">
            <w:pPr>
              <w:rPr>
                <w:rFonts w:ascii="Times New Roman" w:hAnsi="Times New Roman" w:eastAsia="宋体" w:cs="Times New Roman"/>
                <w:color w:val="auto"/>
                <w:kern w:val="2"/>
                <w:sz w:val="18"/>
                <w:szCs w:val="18"/>
                <w:lang w:val="en-US" w:eastAsia="zh-CN" w:bidi="ar-SA"/>
              </w:rPr>
            </w:pPr>
            <w:r>
              <w:rPr>
                <w:rFonts w:hint="eastAsia"/>
                <w:color w:val="auto"/>
                <w:sz w:val="18"/>
                <w:szCs w:val="18"/>
              </w:rPr>
              <w:t>英语文学</w:t>
            </w:r>
            <w:r>
              <w:rPr>
                <w:color w:val="auto"/>
                <w:sz w:val="18"/>
                <w:szCs w:val="18"/>
              </w:rPr>
              <w:t>翻译</w:t>
            </w:r>
          </w:p>
        </w:tc>
        <w:tc>
          <w:tcPr>
            <w:tcW w:w="1081" w:type="dxa"/>
            <w:shd w:val="clear" w:color="auto" w:fill="auto"/>
            <w:vAlign w:val="center"/>
          </w:tcPr>
          <w:p w14:paraId="36D64E0B">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w:t>
            </w:r>
            <w:r>
              <w:rPr>
                <w:rFonts w:hint="eastAsia"/>
                <w:color w:val="auto"/>
                <w:sz w:val="18"/>
                <w:szCs w:val="18"/>
                <w:lang w:val="en-US" w:eastAsia="zh-CN"/>
              </w:rPr>
              <w:t>05010</w:t>
            </w:r>
          </w:p>
        </w:tc>
        <w:tc>
          <w:tcPr>
            <w:tcW w:w="709" w:type="dxa"/>
            <w:shd w:val="clear" w:color="auto" w:fill="auto"/>
            <w:vAlign w:val="center"/>
          </w:tcPr>
          <w:p w14:paraId="4945956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493841CB">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1146" w:type="dxa"/>
            <w:shd w:val="clear" w:color="auto" w:fill="auto"/>
            <w:vAlign w:val="center"/>
          </w:tcPr>
          <w:p w14:paraId="7BE068D3">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72B65C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56D46BD1">
            <w:pPr>
              <w:jc w:val="center"/>
              <w:rPr>
                <w:b/>
                <w:color w:val="auto"/>
                <w:sz w:val="18"/>
                <w:szCs w:val="18"/>
              </w:rPr>
            </w:pPr>
          </w:p>
        </w:tc>
        <w:tc>
          <w:tcPr>
            <w:tcW w:w="1986" w:type="dxa"/>
            <w:vMerge w:val="continue"/>
            <w:vAlign w:val="center"/>
          </w:tcPr>
          <w:p w14:paraId="3957B372">
            <w:pPr>
              <w:jc w:val="center"/>
              <w:rPr>
                <w:b/>
                <w:color w:val="auto"/>
                <w:sz w:val="18"/>
                <w:szCs w:val="18"/>
              </w:rPr>
            </w:pPr>
          </w:p>
        </w:tc>
        <w:tc>
          <w:tcPr>
            <w:tcW w:w="3912" w:type="dxa"/>
            <w:shd w:val="clear" w:color="auto" w:fill="auto"/>
            <w:vAlign w:val="center"/>
          </w:tcPr>
          <w:p w14:paraId="7DEAF72E">
            <w:pPr>
              <w:rPr>
                <w:rFonts w:ascii="Times New Roman" w:hAnsi="Times New Roman" w:eastAsia="宋体" w:cs="Times New Roman"/>
                <w:color w:val="auto"/>
                <w:kern w:val="2"/>
                <w:sz w:val="18"/>
                <w:szCs w:val="18"/>
                <w:lang w:val="en-US" w:eastAsia="zh-CN" w:bidi="ar-SA"/>
              </w:rPr>
            </w:pPr>
            <w:r>
              <w:rPr>
                <w:rFonts w:hint="eastAsia"/>
                <w:color w:val="auto"/>
                <w:sz w:val="18"/>
                <w:szCs w:val="18"/>
              </w:rPr>
              <w:t>英语</w:t>
            </w:r>
            <w:r>
              <w:rPr>
                <w:color w:val="auto"/>
                <w:sz w:val="18"/>
                <w:szCs w:val="18"/>
              </w:rPr>
              <w:t>非文学翻译</w:t>
            </w:r>
          </w:p>
        </w:tc>
        <w:tc>
          <w:tcPr>
            <w:tcW w:w="1081" w:type="dxa"/>
            <w:shd w:val="clear" w:color="auto" w:fill="auto"/>
            <w:vAlign w:val="center"/>
          </w:tcPr>
          <w:p w14:paraId="7E706051">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ZS0505</w:t>
            </w:r>
            <w:r>
              <w:rPr>
                <w:rFonts w:hint="eastAsia"/>
                <w:color w:val="auto"/>
                <w:sz w:val="18"/>
                <w:szCs w:val="18"/>
                <w:lang w:val="en-US" w:eastAsia="zh-CN"/>
              </w:rPr>
              <w:t>020</w:t>
            </w:r>
          </w:p>
        </w:tc>
        <w:tc>
          <w:tcPr>
            <w:tcW w:w="709" w:type="dxa"/>
            <w:shd w:val="clear" w:color="auto" w:fill="auto"/>
            <w:vAlign w:val="center"/>
          </w:tcPr>
          <w:p w14:paraId="62BAE4DD">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B6C892D">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1146" w:type="dxa"/>
            <w:shd w:val="clear" w:color="auto" w:fill="auto"/>
            <w:vAlign w:val="center"/>
          </w:tcPr>
          <w:p w14:paraId="3B95E05D">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54F06C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1B464092">
            <w:pPr>
              <w:jc w:val="center"/>
              <w:rPr>
                <w:b/>
                <w:color w:val="auto"/>
                <w:sz w:val="18"/>
                <w:szCs w:val="18"/>
              </w:rPr>
            </w:pPr>
          </w:p>
        </w:tc>
        <w:tc>
          <w:tcPr>
            <w:tcW w:w="1986" w:type="dxa"/>
            <w:vMerge w:val="continue"/>
            <w:vAlign w:val="center"/>
          </w:tcPr>
          <w:p w14:paraId="3EB0BC39">
            <w:pPr>
              <w:jc w:val="center"/>
              <w:rPr>
                <w:b/>
                <w:color w:val="auto"/>
                <w:sz w:val="18"/>
                <w:szCs w:val="18"/>
              </w:rPr>
            </w:pPr>
          </w:p>
        </w:tc>
        <w:tc>
          <w:tcPr>
            <w:tcW w:w="3912" w:type="dxa"/>
            <w:shd w:val="clear" w:color="auto" w:fill="auto"/>
            <w:vAlign w:val="center"/>
          </w:tcPr>
          <w:p w14:paraId="3ACC6981">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英语</w:t>
            </w:r>
            <w:r>
              <w:rPr>
                <w:color w:val="auto"/>
                <w:sz w:val="18"/>
                <w:szCs w:val="18"/>
              </w:rPr>
              <w:t>交替传译</w:t>
            </w:r>
          </w:p>
        </w:tc>
        <w:tc>
          <w:tcPr>
            <w:tcW w:w="1081" w:type="dxa"/>
            <w:shd w:val="clear" w:color="auto" w:fill="auto"/>
            <w:vAlign w:val="center"/>
          </w:tcPr>
          <w:p w14:paraId="6FD19A56">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ZS0505</w:t>
            </w:r>
            <w:r>
              <w:rPr>
                <w:rFonts w:hint="eastAsia"/>
                <w:color w:val="auto"/>
                <w:sz w:val="18"/>
                <w:szCs w:val="18"/>
                <w:lang w:val="en-US" w:eastAsia="zh-CN"/>
              </w:rPr>
              <w:t>030</w:t>
            </w:r>
          </w:p>
        </w:tc>
        <w:tc>
          <w:tcPr>
            <w:tcW w:w="709" w:type="dxa"/>
            <w:shd w:val="clear" w:color="auto" w:fill="auto"/>
            <w:vAlign w:val="center"/>
          </w:tcPr>
          <w:p w14:paraId="610CEF44">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55938591">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1146" w:type="dxa"/>
            <w:shd w:val="clear" w:color="auto" w:fill="auto"/>
            <w:vAlign w:val="center"/>
          </w:tcPr>
          <w:p w14:paraId="33745D7B">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1C8DFD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345A1F4D">
            <w:pPr>
              <w:jc w:val="center"/>
              <w:rPr>
                <w:b/>
                <w:color w:val="auto"/>
                <w:sz w:val="18"/>
                <w:szCs w:val="18"/>
              </w:rPr>
            </w:pPr>
          </w:p>
        </w:tc>
        <w:tc>
          <w:tcPr>
            <w:tcW w:w="1986" w:type="dxa"/>
            <w:vMerge w:val="continue"/>
            <w:vAlign w:val="center"/>
          </w:tcPr>
          <w:p w14:paraId="04EA91D9">
            <w:pPr>
              <w:jc w:val="center"/>
              <w:rPr>
                <w:b/>
                <w:color w:val="auto"/>
                <w:sz w:val="18"/>
                <w:szCs w:val="18"/>
              </w:rPr>
            </w:pPr>
          </w:p>
        </w:tc>
        <w:tc>
          <w:tcPr>
            <w:tcW w:w="3912" w:type="dxa"/>
            <w:shd w:val="clear" w:color="auto" w:fill="auto"/>
            <w:vAlign w:val="center"/>
          </w:tcPr>
          <w:p w14:paraId="5CFCC2A9">
            <w:pP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英语口译工作坊</w:t>
            </w:r>
          </w:p>
        </w:tc>
        <w:tc>
          <w:tcPr>
            <w:tcW w:w="1081" w:type="dxa"/>
            <w:shd w:val="clear" w:color="auto" w:fill="auto"/>
            <w:vAlign w:val="center"/>
          </w:tcPr>
          <w:p w14:paraId="69C38ED8">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ZS0505</w:t>
            </w:r>
            <w:r>
              <w:rPr>
                <w:rFonts w:hint="eastAsia"/>
                <w:color w:val="auto"/>
                <w:sz w:val="18"/>
                <w:szCs w:val="18"/>
                <w:lang w:val="en-US" w:eastAsia="zh-CN"/>
              </w:rPr>
              <w:t>108</w:t>
            </w:r>
          </w:p>
        </w:tc>
        <w:tc>
          <w:tcPr>
            <w:tcW w:w="709" w:type="dxa"/>
            <w:shd w:val="clear" w:color="auto" w:fill="auto"/>
            <w:vAlign w:val="center"/>
          </w:tcPr>
          <w:p w14:paraId="2B00E74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7BDDB73F">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3</w:t>
            </w:r>
          </w:p>
        </w:tc>
        <w:tc>
          <w:tcPr>
            <w:tcW w:w="1146" w:type="dxa"/>
            <w:shd w:val="clear" w:color="auto" w:fill="auto"/>
            <w:vAlign w:val="center"/>
          </w:tcPr>
          <w:p w14:paraId="25B52074">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07C674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restart"/>
            <w:vAlign w:val="center"/>
          </w:tcPr>
          <w:p w14:paraId="21B5D224">
            <w:pPr>
              <w:jc w:val="center"/>
              <w:rPr>
                <w:b/>
                <w:color w:val="auto"/>
                <w:sz w:val="18"/>
                <w:szCs w:val="18"/>
              </w:rPr>
            </w:pPr>
            <w:r>
              <w:rPr>
                <w:b/>
                <w:color w:val="auto"/>
                <w:sz w:val="18"/>
                <w:szCs w:val="18"/>
              </w:rPr>
              <w:t>非学位课</w:t>
            </w:r>
          </w:p>
          <w:p w14:paraId="0D08431E">
            <w:pPr>
              <w:jc w:val="center"/>
              <w:rPr>
                <w:b/>
                <w:color w:val="auto"/>
                <w:sz w:val="18"/>
                <w:szCs w:val="18"/>
              </w:rPr>
            </w:pPr>
          </w:p>
        </w:tc>
        <w:tc>
          <w:tcPr>
            <w:tcW w:w="1986" w:type="dxa"/>
            <w:vMerge w:val="restart"/>
            <w:vAlign w:val="center"/>
          </w:tcPr>
          <w:p w14:paraId="3E9CDEA6">
            <w:pPr>
              <w:jc w:val="center"/>
              <w:rPr>
                <w:b/>
                <w:color w:val="auto"/>
                <w:sz w:val="18"/>
                <w:szCs w:val="18"/>
              </w:rPr>
            </w:pPr>
            <w:r>
              <w:rPr>
                <w:b/>
                <w:color w:val="auto"/>
                <w:sz w:val="18"/>
                <w:szCs w:val="18"/>
              </w:rPr>
              <w:t>公共</w:t>
            </w:r>
            <w:r>
              <w:rPr>
                <w:rFonts w:hint="eastAsia"/>
                <w:b/>
                <w:color w:val="auto"/>
                <w:sz w:val="18"/>
                <w:szCs w:val="18"/>
              </w:rPr>
              <w:t>通识</w:t>
            </w:r>
            <w:r>
              <w:rPr>
                <w:b/>
                <w:color w:val="auto"/>
                <w:sz w:val="18"/>
                <w:szCs w:val="18"/>
              </w:rPr>
              <w:t>课</w:t>
            </w:r>
          </w:p>
          <w:p w14:paraId="234A36A0">
            <w:pPr>
              <w:jc w:val="center"/>
              <w:rPr>
                <w:rFonts w:hint="default" w:eastAsia="宋体"/>
                <w:b/>
                <w:color w:val="auto"/>
                <w:sz w:val="18"/>
                <w:szCs w:val="18"/>
                <w:lang w:val="en-US" w:eastAsia="zh-CN"/>
              </w:rPr>
            </w:pPr>
            <w:r>
              <w:rPr>
                <w:rFonts w:hint="eastAsia"/>
                <w:b/>
                <w:color w:val="auto"/>
                <w:sz w:val="18"/>
                <w:szCs w:val="18"/>
                <w:lang w:eastAsia="zh-CN"/>
              </w:rPr>
              <w:t>（</w:t>
            </w:r>
            <w:r>
              <w:rPr>
                <w:rFonts w:hint="eastAsia"/>
                <w:b/>
                <w:color w:val="auto"/>
                <w:sz w:val="18"/>
                <w:szCs w:val="18"/>
                <w:lang w:val="en-US" w:eastAsia="zh-CN"/>
              </w:rPr>
              <w:t>2学分）</w:t>
            </w:r>
          </w:p>
        </w:tc>
        <w:tc>
          <w:tcPr>
            <w:tcW w:w="3912" w:type="dxa"/>
            <w:vAlign w:val="center"/>
          </w:tcPr>
          <w:p w14:paraId="0FB73663">
            <w:pPr>
              <w:rPr>
                <w:color w:val="auto"/>
                <w:sz w:val="18"/>
                <w:szCs w:val="18"/>
              </w:rPr>
            </w:pPr>
            <w:r>
              <w:rPr>
                <w:color w:val="auto"/>
                <w:sz w:val="18"/>
                <w:szCs w:val="18"/>
              </w:rPr>
              <w:t>《习近平谈治国理政》研读</w:t>
            </w:r>
          </w:p>
        </w:tc>
        <w:tc>
          <w:tcPr>
            <w:tcW w:w="1081" w:type="dxa"/>
            <w:vAlign w:val="center"/>
          </w:tcPr>
          <w:p w14:paraId="4E357AF0">
            <w:pPr>
              <w:jc w:val="center"/>
              <w:rPr>
                <w:color w:val="auto"/>
                <w:sz w:val="18"/>
                <w:szCs w:val="18"/>
              </w:rPr>
            </w:pPr>
            <w:r>
              <w:rPr>
                <w:color w:val="auto"/>
                <w:sz w:val="18"/>
                <w:szCs w:val="18"/>
              </w:rPr>
              <w:t>T</w:t>
            </w:r>
            <w:r>
              <w:rPr>
                <w:rFonts w:hint="eastAsia"/>
                <w:color w:val="auto"/>
                <w:sz w:val="18"/>
                <w:szCs w:val="18"/>
              </w:rPr>
              <w:t>T</w:t>
            </w:r>
            <w:r>
              <w:rPr>
                <w:color w:val="auto"/>
                <w:sz w:val="18"/>
                <w:szCs w:val="18"/>
              </w:rPr>
              <w:t>0000</w:t>
            </w:r>
            <w:r>
              <w:rPr>
                <w:rFonts w:hint="eastAsia"/>
                <w:color w:val="auto"/>
                <w:sz w:val="18"/>
                <w:szCs w:val="18"/>
              </w:rPr>
              <w:t>10</w:t>
            </w:r>
            <w:r>
              <w:rPr>
                <w:color w:val="auto"/>
                <w:sz w:val="18"/>
                <w:szCs w:val="18"/>
              </w:rPr>
              <w:t>1</w:t>
            </w:r>
          </w:p>
        </w:tc>
        <w:tc>
          <w:tcPr>
            <w:tcW w:w="709" w:type="dxa"/>
            <w:vAlign w:val="center"/>
          </w:tcPr>
          <w:p w14:paraId="49FC2E71">
            <w:pPr>
              <w:jc w:val="center"/>
              <w:rPr>
                <w:color w:val="auto"/>
                <w:sz w:val="18"/>
                <w:szCs w:val="18"/>
              </w:rPr>
            </w:pPr>
            <w:r>
              <w:rPr>
                <w:color w:val="auto"/>
                <w:sz w:val="18"/>
                <w:szCs w:val="18"/>
              </w:rPr>
              <w:t>1</w:t>
            </w:r>
          </w:p>
        </w:tc>
        <w:tc>
          <w:tcPr>
            <w:tcW w:w="709" w:type="dxa"/>
            <w:vAlign w:val="center"/>
          </w:tcPr>
          <w:p w14:paraId="729076FD">
            <w:pPr>
              <w:jc w:val="center"/>
              <w:rPr>
                <w:color w:val="auto"/>
                <w:sz w:val="18"/>
                <w:szCs w:val="18"/>
              </w:rPr>
            </w:pPr>
            <w:r>
              <w:rPr>
                <w:color w:val="auto"/>
                <w:sz w:val="18"/>
                <w:szCs w:val="18"/>
              </w:rPr>
              <w:t>2</w:t>
            </w:r>
          </w:p>
        </w:tc>
        <w:tc>
          <w:tcPr>
            <w:tcW w:w="1146" w:type="dxa"/>
            <w:vAlign w:val="center"/>
          </w:tcPr>
          <w:p w14:paraId="4CDBBDED">
            <w:pPr>
              <w:jc w:val="center"/>
              <w:rPr>
                <w:color w:val="auto"/>
                <w:sz w:val="18"/>
                <w:szCs w:val="18"/>
              </w:rPr>
            </w:pPr>
            <w:r>
              <w:rPr>
                <w:rFonts w:hint="eastAsia"/>
                <w:color w:val="auto"/>
                <w:sz w:val="18"/>
                <w:szCs w:val="18"/>
              </w:rPr>
              <w:t>通修/考查</w:t>
            </w:r>
          </w:p>
        </w:tc>
      </w:tr>
      <w:tr w14:paraId="61869E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65A4F917">
            <w:pPr>
              <w:jc w:val="center"/>
              <w:rPr>
                <w:b/>
                <w:color w:val="auto"/>
                <w:sz w:val="18"/>
                <w:szCs w:val="18"/>
              </w:rPr>
            </w:pPr>
          </w:p>
        </w:tc>
        <w:tc>
          <w:tcPr>
            <w:tcW w:w="1986" w:type="dxa"/>
            <w:vMerge w:val="continue"/>
            <w:vAlign w:val="center"/>
          </w:tcPr>
          <w:p w14:paraId="64AE04CC">
            <w:pPr>
              <w:jc w:val="center"/>
              <w:rPr>
                <w:b/>
                <w:color w:val="auto"/>
                <w:sz w:val="18"/>
                <w:szCs w:val="18"/>
              </w:rPr>
            </w:pPr>
          </w:p>
        </w:tc>
        <w:tc>
          <w:tcPr>
            <w:tcW w:w="3912" w:type="dxa"/>
            <w:vAlign w:val="center"/>
          </w:tcPr>
          <w:p w14:paraId="128F4A62">
            <w:pPr>
              <w:rPr>
                <w:color w:val="auto"/>
                <w:sz w:val="18"/>
                <w:szCs w:val="18"/>
              </w:rPr>
            </w:pPr>
            <w:r>
              <w:rPr>
                <w:color w:val="auto"/>
                <w:sz w:val="18"/>
                <w:szCs w:val="18"/>
              </w:rPr>
              <w:t>马克思主义与社会科学方法论</w:t>
            </w:r>
          </w:p>
        </w:tc>
        <w:tc>
          <w:tcPr>
            <w:tcW w:w="1081" w:type="dxa"/>
            <w:vAlign w:val="center"/>
          </w:tcPr>
          <w:p w14:paraId="2299CF6F">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w:t>
            </w:r>
            <w:r>
              <w:rPr>
                <w:rFonts w:hint="eastAsia"/>
                <w:color w:val="auto"/>
                <w:sz w:val="18"/>
                <w:szCs w:val="18"/>
              </w:rPr>
              <w:t>0101</w:t>
            </w:r>
          </w:p>
        </w:tc>
        <w:tc>
          <w:tcPr>
            <w:tcW w:w="709" w:type="dxa"/>
            <w:vAlign w:val="center"/>
          </w:tcPr>
          <w:p w14:paraId="1CA2CE5B">
            <w:pPr>
              <w:jc w:val="center"/>
              <w:rPr>
                <w:color w:val="auto"/>
                <w:sz w:val="18"/>
                <w:szCs w:val="18"/>
              </w:rPr>
            </w:pPr>
            <w:r>
              <w:rPr>
                <w:color w:val="auto"/>
                <w:sz w:val="18"/>
                <w:szCs w:val="18"/>
              </w:rPr>
              <w:t>1</w:t>
            </w:r>
          </w:p>
        </w:tc>
        <w:tc>
          <w:tcPr>
            <w:tcW w:w="709" w:type="dxa"/>
            <w:vAlign w:val="center"/>
          </w:tcPr>
          <w:p w14:paraId="248E9328">
            <w:pPr>
              <w:jc w:val="center"/>
              <w:rPr>
                <w:color w:val="auto"/>
                <w:sz w:val="18"/>
                <w:szCs w:val="18"/>
              </w:rPr>
            </w:pPr>
            <w:r>
              <w:rPr>
                <w:color w:val="auto"/>
                <w:sz w:val="18"/>
                <w:szCs w:val="18"/>
              </w:rPr>
              <w:t>2</w:t>
            </w:r>
          </w:p>
        </w:tc>
        <w:tc>
          <w:tcPr>
            <w:tcW w:w="1146" w:type="dxa"/>
            <w:vAlign w:val="center"/>
          </w:tcPr>
          <w:p w14:paraId="4B0BFF4B">
            <w:pPr>
              <w:jc w:val="center"/>
              <w:rPr>
                <w:color w:val="auto"/>
                <w:sz w:val="18"/>
                <w:szCs w:val="18"/>
              </w:rPr>
            </w:pPr>
            <w:r>
              <w:rPr>
                <w:rFonts w:hint="eastAsia"/>
                <w:color w:val="auto"/>
                <w:sz w:val="18"/>
                <w:szCs w:val="18"/>
              </w:rPr>
              <w:t>通修/考查</w:t>
            </w:r>
          </w:p>
        </w:tc>
      </w:tr>
      <w:tr w14:paraId="07A314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04FCB3EA">
            <w:pPr>
              <w:jc w:val="center"/>
              <w:rPr>
                <w:b/>
                <w:color w:val="auto"/>
                <w:sz w:val="18"/>
                <w:szCs w:val="18"/>
              </w:rPr>
            </w:pPr>
          </w:p>
        </w:tc>
        <w:tc>
          <w:tcPr>
            <w:tcW w:w="1986" w:type="dxa"/>
            <w:vMerge w:val="continue"/>
            <w:vAlign w:val="center"/>
          </w:tcPr>
          <w:p w14:paraId="46DA1F70">
            <w:pPr>
              <w:adjustRightInd w:val="0"/>
              <w:jc w:val="center"/>
              <w:rPr>
                <w:b/>
                <w:color w:val="auto"/>
                <w:sz w:val="18"/>
                <w:szCs w:val="18"/>
              </w:rPr>
            </w:pPr>
          </w:p>
        </w:tc>
        <w:tc>
          <w:tcPr>
            <w:tcW w:w="3912" w:type="dxa"/>
            <w:vAlign w:val="center"/>
          </w:tcPr>
          <w:p w14:paraId="779E0236">
            <w:pPr>
              <w:rPr>
                <w:color w:val="auto"/>
                <w:sz w:val="18"/>
                <w:szCs w:val="18"/>
              </w:rPr>
            </w:pPr>
            <w:r>
              <w:rPr>
                <w:rFonts w:hint="eastAsia"/>
                <w:color w:val="auto"/>
                <w:sz w:val="18"/>
                <w:szCs w:val="18"/>
              </w:rPr>
              <w:t>体育</w:t>
            </w:r>
          </w:p>
        </w:tc>
        <w:tc>
          <w:tcPr>
            <w:tcW w:w="1081" w:type="dxa"/>
            <w:vAlign w:val="center"/>
          </w:tcPr>
          <w:p w14:paraId="378E2D4A">
            <w:pPr>
              <w:jc w:val="center"/>
              <w:rPr>
                <w:color w:val="auto"/>
                <w:sz w:val="18"/>
                <w:szCs w:val="18"/>
              </w:rPr>
            </w:pPr>
            <w:r>
              <w:rPr>
                <w:rFonts w:hint="eastAsia"/>
                <w:color w:val="auto"/>
                <w:sz w:val="18"/>
                <w:szCs w:val="18"/>
              </w:rPr>
              <w:t>TT0000102</w:t>
            </w:r>
          </w:p>
        </w:tc>
        <w:tc>
          <w:tcPr>
            <w:tcW w:w="709" w:type="dxa"/>
            <w:vAlign w:val="center"/>
          </w:tcPr>
          <w:p w14:paraId="612B52A2">
            <w:pPr>
              <w:jc w:val="center"/>
              <w:rPr>
                <w:color w:val="auto"/>
                <w:sz w:val="18"/>
                <w:szCs w:val="18"/>
              </w:rPr>
            </w:pPr>
            <w:r>
              <w:rPr>
                <w:rFonts w:hint="eastAsia"/>
                <w:color w:val="auto"/>
                <w:sz w:val="18"/>
                <w:szCs w:val="18"/>
              </w:rPr>
              <w:t>1</w:t>
            </w:r>
          </w:p>
        </w:tc>
        <w:tc>
          <w:tcPr>
            <w:tcW w:w="709" w:type="dxa"/>
            <w:vAlign w:val="center"/>
          </w:tcPr>
          <w:p w14:paraId="7B296496">
            <w:pPr>
              <w:jc w:val="center"/>
              <w:rPr>
                <w:color w:val="auto"/>
                <w:sz w:val="18"/>
                <w:szCs w:val="18"/>
              </w:rPr>
            </w:pPr>
            <w:r>
              <w:rPr>
                <w:rFonts w:hint="eastAsia"/>
                <w:color w:val="auto"/>
                <w:sz w:val="18"/>
                <w:szCs w:val="18"/>
              </w:rPr>
              <w:t>1</w:t>
            </w:r>
          </w:p>
        </w:tc>
        <w:tc>
          <w:tcPr>
            <w:tcW w:w="1146" w:type="dxa"/>
            <w:vAlign w:val="center"/>
          </w:tcPr>
          <w:p w14:paraId="2ED69802">
            <w:pPr>
              <w:jc w:val="center"/>
              <w:rPr>
                <w:color w:val="auto"/>
                <w:sz w:val="18"/>
                <w:szCs w:val="18"/>
              </w:rPr>
            </w:pPr>
            <w:r>
              <w:rPr>
                <w:rFonts w:hint="eastAsia"/>
                <w:color w:val="auto"/>
                <w:sz w:val="18"/>
                <w:szCs w:val="18"/>
              </w:rPr>
              <w:t>选修/考查</w:t>
            </w:r>
          </w:p>
        </w:tc>
      </w:tr>
      <w:tr w14:paraId="3616DE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4F4EA9EF">
            <w:pPr>
              <w:jc w:val="center"/>
              <w:rPr>
                <w:b/>
                <w:color w:val="auto"/>
                <w:sz w:val="18"/>
                <w:szCs w:val="18"/>
              </w:rPr>
            </w:pPr>
          </w:p>
        </w:tc>
        <w:tc>
          <w:tcPr>
            <w:tcW w:w="1986" w:type="dxa"/>
            <w:vMerge w:val="continue"/>
            <w:vAlign w:val="center"/>
          </w:tcPr>
          <w:p w14:paraId="0863A0DB">
            <w:pPr>
              <w:jc w:val="center"/>
              <w:rPr>
                <w:b/>
                <w:color w:val="auto"/>
                <w:sz w:val="18"/>
                <w:szCs w:val="18"/>
              </w:rPr>
            </w:pPr>
          </w:p>
        </w:tc>
        <w:tc>
          <w:tcPr>
            <w:tcW w:w="3912" w:type="dxa"/>
            <w:vAlign w:val="center"/>
          </w:tcPr>
          <w:p w14:paraId="603CE088">
            <w:pPr>
              <w:rPr>
                <w:color w:val="auto"/>
                <w:sz w:val="18"/>
                <w:szCs w:val="18"/>
              </w:rPr>
            </w:pPr>
            <w:r>
              <w:rPr>
                <w:rFonts w:hint="eastAsia"/>
                <w:color w:val="auto"/>
                <w:sz w:val="18"/>
                <w:szCs w:val="18"/>
              </w:rPr>
              <w:t>美育</w:t>
            </w:r>
          </w:p>
        </w:tc>
        <w:tc>
          <w:tcPr>
            <w:tcW w:w="1081" w:type="dxa"/>
            <w:vAlign w:val="center"/>
          </w:tcPr>
          <w:p w14:paraId="27C99276">
            <w:pPr>
              <w:jc w:val="center"/>
              <w:rPr>
                <w:color w:val="auto"/>
                <w:sz w:val="18"/>
                <w:szCs w:val="18"/>
              </w:rPr>
            </w:pPr>
            <w:r>
              <w:rPr>
                <w:rFonts w:hint="eastAsia"/>
                <w:color w:val="auto"/>
                <w:sz w:val="18"/>
                <w:szCs w:val="18"/>
              </w:rPr>
              <w:t>TT0000103</w:t>
            </w:r>
          </w:p>
        </w:tc>
        <w:tc>
          <w:tcPr>
            <w:tcW w:w="709" w:type="dxa"/>
            <w:vAlign w:val="center"/>
          </w:tcPr>
          <w:p w14:paraId="05F8544E">
            <w:pPr>
              <w:jc w:val="center"/>
              <w:rPr>
                <w:color w:val="auto"/>
                <w:sz w:val="18"/>
                <w:szCs w:val="18"/>
              </w:rPr>
            </w:pPr>
            <w:r>
              <w:rPr>
                <w:rFonts w:hint="eastAsia"/>
                <w:color w:val="auto"/>
                <w:sz w:val="18"/>
                <w:szCs w:val="18"/>
              </w:rPr>
              <w:t>1</w:t>
            </w:r>
          </w:p>
        </w:tc>
        <w:tc>
          <w:tcPr>
            <w:tcW w:w="709" w:type="dxa"/>
            <w:vAlign w:val="center"/>
          </w:tcPr>
          <w:p w14:paraId="1E1A4F62">
            <w:pPr>
              <w:jc w:val="center"/>
              <w:rPr>
                <w:color w:val="auto"/>
                <w:sz w:val="18"/>
                <w:szCs w:val="18"/>
              </w:rPr>
            </w:pPr>
            <w:r>
              <w:rPr>
                <w:rFonts w:hint="eastAsia"/>
                <w:color w:val="auto"/>
                <w:sz w:val="18"/>
                <w:szCs w:val="18"/>
              </w:rPr>
              <w:t>1</w:t>
            </w:r>
          </w:p>
        </w:tc>
        <w:tc>
          <w:tcPr>
            <w:tcW w:w="1146" w:type="dxa"/>
            <w:vAlign w:val="center"/>
          </w:tcPr>
          <w:p w14:paraId="6D558B4D">
            <w:pPr>
              <w:jc w:val="center"/>
              <w:rPr>
                <w:color w:val="auto"/>
                <w:sz w:val="18"/>
                <w:szCs w:val="18"/>
              </w:rPr>
            </w:pPr>
            <w:r>
              <w:rPr>
                <w:rFonts w:hint="eastAsia"/>
                <w:color w:val="auto"/>
                <w:sz w:val="18"/>
                <w:szCs w:val="18"/>
              </w:rPr>
              <w:t>选修/考查</w:t>
            </w:r>
          </w:p>
        </w:tc>
      </w:tr>
      <w:tr w14:paraId="17E3AE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38E10B3F">
            <w:pPr>
              <w:jc w:val="center"/>
              <w:rPr>
                <w:b/>
                <w:color w:val="auto"/>
                <w:sz w:val="18"/>
                <w:szCs w:val="18"/>
              </w:rPr>
            </w:pPr>
          </w:p>
        </w:tc>
        <w:tc>
          <w:tcPr>
            <w:tcW w:w="1986" w:type="dxa"/>
            <w:vMerge w:val="restart"/>
            <w:vAlign w:val="center"/>
          </w:tcPr>
          <w:p w14:paraId="5E441769">
            <w:pPr>
              <w:adjustRightInd w:val="0"/>
              <w:snapToGrid w:val="0"/>
              <w:jc w:val="center"/>
              <w:rPr>
                <w:b/>
                <w:color w:val="auto"/>
                <w:sz w:val="18"/>
                <w:szCs w:val="18"/>
              </w:rPr>
            </w:pPr>
            <w:r>
              <w:rPr>
                <w:rFonts w:hint="eastAsia"/>
                <w:b/>
                <w:color w:val="auto"/>
                <w:sz w:val="18"/>
                <w:szCs w:val="18"/>
              </w:rPr>
              <w:t>英语笔译</w:t>
            </w:r>
          </w:p>
          <w:p w14:paraId="2B1DC6A5">
            <w:pPr>
              <w:adjustRightInd w:val="0"/>
              <w:snapToGrid w:val="0"/>
              <w:jc w:val="center"/>
              <w:rPr>
                <w:rFonts w:hint="eastAsia"/>
                <w:b/>
                <w:color w:val="auto"/>
                <w:sz w:val="18"/>
                <w:szCs w:val="18"/>
                <w:lang w:val="en-US" w:eastAsia="zh-CN"/>
              </w:rPr>
            </w:pPr>
            <w:r>
              <w:rPr>
                <w:rFonts w:hint="eastAsia"/>
                <w:b/>
                <w:color w:val="auto"/>
                <w:sz w:val="18"/>
                <w:szCs w:val="18"/>
              </w:rPr>
              <w:t>方向</w:t>
            </w:r>
            <w:r>
              <w:rPr>
                <w:rFonts w:hint="eastAsia"/>
                <w:b/>
                <w:color w:val="auto"/>
                <w:sz w:val="18"/>
                <w:szCs w:val="18"/>
                <w:lang w:val="en-US" w:eastAsia="zh-CN"/>
              </w:rPr>
              <w:t>选修课</w:t>
            </w:r>
          </w:p>
          <w:p w14:paraId="67F2ECAE">
            <w:pPr>
              <w:adjustRightInd w:val="0"/>
              <w:snapToGrid w:val="0"/>
              <w:jc w:val="center"/>
              <w:rPr>
                <w:rFonts w:hint="eastAsia"/>
                <w:b/>
                <w:color w:val="auto"/>
                <w:sz w:val="18"/>
                <w:szCs w:val="18"/>
                <w:lang w:val="en-US" w:eastAsia="zh-CN"/>
              </w:rPr>
            </w:pPr>
            <w:r>
              <w:rPr>
                <w:rFonts w:hint="eastAsia"/>
                <w:b/>
                <w:color w:val="auto"/>
                <w:sz w:val="18"/>
                <w:szCs w:val="18"/>
                <w:lang w:val="en-US" w:eastAsia="zh-CN"/>
              </w:rPr>
              <w:t>（</w:t>
            </w:r>
            <w:r>
              <w:rPr>
                <w:rFonts w:hint="eastAsia"/>
                <w:b/>
                <w:color w:val="auto"/>
                <w:sz w:val="18"/>
                <w:szCs w:val="18"/>
                <w:highlight w:val="none"/>
                <w:lang w:val="en-US" w:eastAsia="zh-CN"/>
              </w:rPr>
              <w:t>≥8</w:t>
            </w:r>
            <w:r>
              <w:rPr>
                <w:b/>
                <w:color w:val="auto"/>
                <w:sz w:val="18"/>
                <w:szCs w:val="18"/>
              </w:rPr>
              <w:t>学分</w:t>
            </w:r>
            <w:r>
              <w:rPr>
                <w:rFonts w:hint="eastAsia"/>
                <w:b/>
                <w:color w:val="auto"/>
                <w:sz w:val="18"/>
                <w:szCs w:val="18"/>
                <w:lang w:val="en-US" w:eastAsia="zh-CN"/>
              </w:rPr>
              <w:t>）</w:t>
            </w:r>
          </w:p>
        </w:tc>
        <w:tc>
          <w:tcPr>
            <w:tcW w:w="3912" w:type="dxa"/>
            <w:vAlign w:val="center"/>
          </w:tcPr>
          <w:p w14:paraId="7412DFFC">
            <w:pPr>
              <w:rPr>
                <w:color w:val="auto"/>
                <w:sz w:val="18"/>
                <w:szCs w:val="18"/>
              </w:rPr>
            </w:pPr>
            <w:r>
              <w:rPr>
                <w:rFonts w:hint="eastAsia"/>
                <w:color w:val="auto"/>
                <w:sz w:val="18"/>
                <w:szCs w:val="18"/>
                <w:lang w:val="en-US" w:eastAsia="zh-CN"/>
              </w:rPr>
              <w:t>时政英语</w:t>
            </w:r>
            <w:r>
              <w:rPr>
                <w:rFonts w:hint="eastAsia"/>
                <w:color w:val="auto"/>
                <w:sz w:val="18"/>
                <w:szCs w:val="18"/>
              </w:rPr>
              <w:t>翻译</w:t>
            </w:r>
          </w:p>
        </w:tc>
        <w:tc>
          <w:tcPr>
            <w:tcW w:w="1081" w:type="dxa"/>
            <w:vAlign w:val="center"/>
          </w:tcPr>
          <w:p w14:paraId="705753C6">
            <w:pPr>
              <w:jc w:val="center"/>
              <w:rPr>
                <w:color w:val="auto"/>
                <w:sz w:val="18"/>
                <w:szCs w:val="18"/>
              </w:rPr>
            </w:pPr>
            <w:r>
              <w:rPr>
                <w:rFonts w:hint="eastAsia"/>
                <w:color w:val="auto"/>
                <w:sz w:val="18"/>
                <w:szCs w:val="18"/>
              </w:rPr>
              <w:t>ZS05</w:t>
            </w:r>
            <w:r>
              <w:rPr>
                <w:rFonts w:hint="eastAsia"/>
                <w:color w:val="auto"/>
                <w:sz w:val="18"/>
                <w:szCs w:val="18"/>
                <w:lang w:val="en-US" w:eastAsia="zh-CN"/>
              </w:rPr>
              <w:t>99</w:t>
            </w:r>
            <w:r>
              <w:rPr>
                <w:rFonts w:hint="eastAsia"/>
                <w:color w:val="auto"/>
                <w:sz w:val="18"/>
                <w:szCs w:val="18"/>
              </w:rPr>
              <w:t>101</w:t>
            </w:r>
          </w:p>
        </w:tc>
        <w:tc>
          <w:tcPr>
            <w:tcW w:w="709" w:type="dxa"/>
            <w:vAlign w:val="center"/>
          </w:tcPr>
          <w:p w14:paraId="6EE67206">
            <w:pPr>
              <w:adjustRightInd w:val="0"/>
              <w:snapToGrid w:val="0"/>
              <w:jc w:val="center"/>
              <w:rPr>
                <w:color w:val="auto"/>
                <w:sz w:val="18"/>
                <w:szCs w:val="18"/>
              </w:rPr>
            </w:pPr>
            <w:r>
              <w:rPr>
                <w:rFonts w:hint="eastAsia"/>
                <w:color w:val="auto"/>
                <w:sz w:val="18"/>
                <w:szCs w:val="18"/>
              </w:rPr>
              <w:t>2</w:t>
            </w:r>
          </w:p>
        </w:tc>
        <w:tc>
          <w:tcPr>
            <w:tcW w:w="709" w:type="dxa"/>
            <w:vAlign w:val="center"/>
          </w:tcPr>
          <w:p w14:paraId="716FF359">
            <w:pPr>
              <w:adjustRightInd w:val="0"/>
              <w:snapToGrid w:val="0"/>
              <w:jc w:val="center"/>
              <w:rPr>
                <w:color w:val="auto"/>
                <w:sz w:val="18"/>
                <w:szCs w:val="18"/>
              </w:rPr>
            </w:pPr>
            <w:r>
              <w:rPr>
                <w:rFonts w:hint="eastAsia"/>
                <w:color w:val="auto"/>
                <w:sz w:val="18"/>
                <w:szCs w:val="18"/>
              </w:rPr>
              <w:t>2</w:t>
            </w:r>
          </w:p>
        </w:tc>
        <w:tc>
          <w:tcPr>
            <w:tcW w:w="1146" w:type="dxa"/>
            <w:vMerge w:val="restart"/>
            <w:vAlign w:val="center"/>
          </w:tcPr>
          <w:p w14:paraId="68C791BE">
            <w:pPr>
              <w:jc w:val="center"/>
              <w:rPr>
                <w:rFonts w:hint="eastAsia"/>
                <w:color w:val="auto"/>
                <w:sz w:val="18"/>
                <w:szCs w:val="18"/>
              </w:rPr>
            </w:pPr>
            <w:r>
              <w:rPr>
                <w:rFonts w:hint="eastAsia"/>
                <w:color w:val="auto"/>
                <w:sz w:val="18"/>
                <w:szCs w:val="18"/>
                <w:lang w:val="en-US" w:eastAsia="zh-CN"/>
              </w:rPr>
              <w:t>本方向研究生至少选修8学分</w:t>
            </w:r>
          </w:p>
        </w:tc>
      </w:tr>
      <w:tr w14:paraId="718456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054C0B11">
            <w:pPr>
              <w:jc w:val="center"/>
              <w:rPr>
                <w:b/>
                <w:color w:val="auto"/>
                <w:sz w:val="18"/>
                <w:szCs w:val="18"/>
              </w:rPr>
            </w:pPr>
          </w:p>
        </w:tc>
        <w:tc>
          <w:tcPr>
            <w:tcW w:w="1986" w:type="dxa"/>
            <w:vMerge w:val="continue"/>
            <w:vAlign w:val="center"/>
          </w:tcPr>
          <w:p w14:paraId="5DC24117">
            <w:pPr>
              <w:jc w:val="center"/>
              <w:rPr>
                <w:b/>
                <w:color w:val="auto"/>
                <w:sz w:val="18"/>
                <w:szCs w:val="18"/>
              </w:rPr>
            </w:pPr>
          </w:p>
        </w:tc>
        <w:tc>
          <w:tcPr>
            <w:tcW w:w="3912" w:type="dxa"/>
            <w:vAlign w:val="center"/>
          </w:tcPr>
          <w:p w14:paraId="5F0C3E32">
            <w:pPr>
              <w:rPr>
                <w:color w:val="auto"/>
                <w:sz w:val="18"/>
                <w:szCs w:val="18"/>
              </w:rPr>
            </w:pPr>
            <w:r>
              <w:rPr>
                <w:rFonts w:hint="eastAsia"/>
                <w:color w:val="auto"/>
                <w:sz w:val="18"/>
                <w:szCs w:val="18"/>
              </w:rPr>
              <w:t>英语翻译与搜商</w:t>
            </w:r>
          </w:p>
        </w:tc>
        <w:tc>
          <w:tcPr>
            <w:tcW w:w="1081" w:type="dxa"/>
            <w:vAlign w:val="center"/>
          </w:tcPr>
          <w:p w14:paraId="3123C269">
            <w:pPr>
              <w:jc w:val="center"/>
              <w:rPr>
                <w:color w:val="auto"/>
                <w:sz w:val="18"/>
                <w:szCs w:val="18"/>
              </w:rPr>
            </w:pPr>
            <w:r>
              <w:rPr>
                <w:rFonts w:hint="eastAsia"/>
                <w:color w:val="auto"/>
                <w:sz w:val="18"/>
                <w:szCs w:val="18"/>
              </w:rPr>
              <w:t>ZS0505102</w:t>
            </w:r>
          </w:p>
        </w:tc>
        <w:tc>
          <w:tcPr>
            <w:tcW w:w="709" w:type="dxa"/>
            <w:vAlign w:val="center"/>
          </w:tcPr>
          <w:p w14:paraId="7618E00C">
            <w:pPr>
              <w:adjustRightInd w:val="0"/>
              <w:snapToGrid w:val="0"/>
              <w:jc w:val="center"/>
              <w:rPr>
                <w:color w:val="auto"/>
                <w:sz w:val="18"/>
                <w:szCs w:val="18"/>
              </w:rPr>
            </w:pPr>
            <w:r>
              <w:rPr>
                <w:rFonts w:hint="eastAsia"/>
                <w:color w:val="auto"/>
                <w:sz w:val="18"/>
                <w:szCs w:val="18"/>
              </w:rPr>
              <w:t>2</w:t>
            </w:r>
          </w:p>
        </w:tc>
        <w:tc>
          <w:tcPr>
            <w:tcW w:w="709" w:type="dxa"/>
            <w:vAlign w:val="center"/>
          </w:tcPr>
          <w:p w14:paraId="23B4134B">
            <w:pPr>
              <w:adjustRightInd w:val="0"/>
              <w:snapToGrid w:val="0"/>
              <w:jc w:val="center"/>
              <w:rPr>
                <w:color w:val="auto"/>
                <w:sz w:val="18"/>
                <w:szCs w:val="18"/>
              </w:rPr>
            </w:pPr>
            <w:r>
              <w:rPr>
                <w:rFonts w:hint="eastAsia"/>
                <w:color w:val="auto"/>
                <w:sz w:val="18"/>
                <w:szCs w:val="18"/>
              </w:rPr>
              <w:t>2</w:t>
            </w:r>
          </w:p>
        </w:tc>
        <w:tc>
          <w:tcPr>
            <w:tcW w:w="1146" w:type="dxa"/>
            <w:vMerge w:val="continue"/>
            <w:vAlign w:val="center"/>
          </w:tcPr>
          <w:p w14:paraId="6004C961">
            <w:pPr>
              <w:jc w:val="center"/>
              <w:rPr>
                <w:color w:val="auto"/>
                <w:sz w:val="18"/>
                <w:szCs w:val="18"/>
              </w:rPr>
            </w:pPr>
          </w:p>
        </w:tc>
      </w:tr>
      <w:tr w14:paraId="7B2495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571AD52D">
            <w:pPr>
              <w:jc w:val="center"/>
              <w:rPr>
                <w:b/>
                <w:color w:val="auto"/>
                <w:sz w:val="18"/>
                <w:szCs w:val="18"/>
              </w:rPr>
            </w:pPr>
          </w:p>
        </w:tc>
        <w:tc>
          <w:tcPr>
            <w:tcW w:w="1986" w:type="dxa"/>
            <w:vMerge w:val="continue"/>
            <w:vAlign w:val="center"/>
          </w:tcPr>
          <w:p w14:paraId="3F3F0DDF">
            <w:pPr>
              <w:jc w:val="center"/>
              <w:rPr>
                <w:b/>
                <w:color w:val="auto"/>
                <w:sz w:val="18"/>
                <w:szCs w:val="18"/>
              </w:rPr>
            </w:pPr>
          </w:p>
        </w:tc>
        <w:tc>
          <w:tcPr>
            <w:tcW w:w="3912" w:type="dxa"/>
            <w:vAlign w:val="center"/>
          </w:tcPr>
          <w:p w14:paraId="1D161F14">
            <w:pPr>
              <w:rPr>
                <w:rFonts w:hint="default" w:eastAsia="宋体"/>
                <w:color w:val="auto"/>
                <w:sz w:val="18"/>
                <w:szCs w:val="18"/>
                <w:lang w:val="en-US" w:eastAsia="zh-CN"/>
              </w:rPr>
            </w:pPr>
            <w:r>
              <w:rPr>
                <w:rFonts w:hint="eastAsia"/>
                <w:color w:val="auto"/>
                <w:sz w:val="18"/>
                <w:szCs w:val="18"/>
              </w:rPr>
              <w:t>翻译项目管理与翻译</w:t>
            </w:r>
            <w:r>
              <w:rPr>
                <w:rFonts w:hint="eastAsia"/>
                <w:color w:val="auto"/>
                <w:sz w:val="18"/>
                <w:szCs w:val="18"/>
                <w:lang w:val="en-US" w:eastAsia="zh-CN"/>
              </w:rPr>
              <w:t>伦理</w:t>
            </w:r>
            <w:r>
              <w:rPr>
                <w:rFonts w:hint="eastAsia"/>
                <w:color w:val="auto"/>
                <w:sz w:val="18"/>
                <w:szCs w:val="18"/>
              </w:rPr>
              <w:t>专题</w:t>
            </w:r>
          </w:p>
        </w:tc>
        <w:tc>
          <w:tcPr>
            <w:tcW w:w="1081" w:type="dxa"/>
            <w:vAlign w:val="center"/>
          </w:tcPr>
          <w:p w14:paraId="0FEC3592">
            <w:pPr>
              <w:jc w:val="center"/>
              <w:rPr>
                <w:rFonts w:hint="default" w:eastAsia="宋体"/>
                <w:color w:val="auto"/>
                <w:sz w:val="18"/>
                <w:szCs w:val="18"/>
                <w:lang w:val="en-US" w:eastAsia="zh-CN"/>
              </w:rPr>
            </w:pPr>
            <w:r>
              <w:rPr>
                <w:rFonts w:hint="eastAsia"/>
                <w:color w:val="auto"/>
                <w:sz w:val="18"/>
                <w:szCs w:val="18"/>
              </w:rPr>
              <w:t>ZS0505</w:t>
            </w:r>
            <w:r>
              <w:rPr>
                <w:rFonts w:hint="eastAsia"/>
                <w:color w:val="auto"/>
                <w:sz w:val="18"/>
                <w:szCs w:val="18"/>
                <w:lang w:val="en-US" w:eastAsia="zh-CN"/>
              </w:rPr>
              <w:t>007</w:t>
            </w:r>
          </w:p>
        </w:tc>
        <w:tc>
          <w:tcPr>
            <w:tcW w:w="709" w:type="dxa"/>
            <w:vAlign w:val="center"/>
          </w:tcPr>
          <w:p w14:paraId="5808D1A9">
            <w:pPr>
              <w:adjustRightInd w:val="0"/>
              <w:snapToGrid w:val="0"/>
              <w:jc w:val="center"/>
              <w:rPr>
                <w:color w:val="auto"/>
                <w:sz w:val="18"/>
                <w:szCs w:val="18"/>
              </w:rPr>
            </w:pPr>
            <w:r>
              <w:rPr>
                <w:rFonts w:hint="eastAsia"/>
                <w:color w:val="auto"/>
                <w:sz w:val="18"/>
                <w:szCs w:val="18"/>
              </w:rPr>
              <w:t>2</w:t>
            </w:r>
          </w:p>
        </w:tc>
        <w:tc>
          <w:tcPr>
            <w:tcW w:w="709" w:type="dxa"/>
            <w:vAlign w:val="center"/>
          </w:tcPr>
          <w:p w14:paraId="57091002">
            <w:pPr>
              <w:adjustRightInd w:val="0"/>
              <w:snapToGrid w:val="0"/>
              <w:jc w:val="center"/>
              <w:rPr>
                <w:color w:val="auto"/>
                <w:sz w:val="18"/>
                <w:szCs w:val="18"/>
              </w:rPr>
            </w:pPr>
            <w:r>
              <w:rPr>
                <w:rFonts w:hint="eastAsia"/>
                <w:color w:val="auto"/>
                <w:sz w:val="18"/>
                <w:szCs w:val="18"/>
              </w:rPr>
              <w:t>2</w:t>
            </w:r>
          </w:p>
        </w:tc>
        <w:tc>
          <w:tcPr>
            <w:tcW w:w="1146" w:type="dxa"/>
            <w:vMerge w:val="continue"/>
            <w:vAlign w:val="center"/>
          </w:tcPr>
          <w:p w14:paraId="47F38DED">
            <w:pPr>
              <w:jc w:val="center"/>
              <w:rPr>
                <w:color w:val="auto"/>
                <w:sz w:val="18"/>
                <w:szCs w:val="18"/>
              </w:rPr>
            </w:pPr>
          </w:p>
        </w:tc>
      </w:tr>
      <w:tr w14:paraId="5B37AB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4518582A">
            <w:pPr>
              <w:jc w:val="center"/>
              <w:rPr>
                <w:b/>
                <w:color w:val="auto"/>
                <w:sz w:val="18"/>
                <w:szCs w:val="18"/>
              </w:rPr>
            </w:pPr>
          </w:p>
        </w:tc>
        <w:tc>
          <w:tcPr>
            <w:tcW w:w="1986" w:type="dxa"/>
            <w:vMerge w:val="continue"/>
            <w:vAlign w:val="center"/>
          </w:tcPr>
          <w:p w14:paraId="65418231">
            <w:pPr>
              <w:jc w:val="center"/>
              <w:rPr>
                <w:b/>
                <w:color w:val="auto"/>
                <w:sz w:val="18"/>
                <w:szCs w:val="18"/>
              </w:rPr>
            </w:pPr>
          </w:p>
        </w:tc>
        <w:tc>
          <w:tcPr>
            <w:tcW w:w="3912" w:type="dxa"/>
            <w:vAlign w:val="center"/>
          </w:tcPr>
          <w:p w14:paraId="5D7C2786">
            <w:pPr>
              <w:rPr>
                <w:color w:val="auto"/>
                <w:sz w:val="18"/>
                <w:szCs w:val="18"/>
              </w:rPr>
            </w:pPr>
            <w:r>
              <w:rPr>
                <w:rFonts w:hint="eastAsia"/>
                <w:color w:val="auto"/>
                <w:sz w:val="18"/>
                <w:szCs w:val="18"/>
              </w:rPr>
              <w:t>英语科技翻译</w:t>
            </w:r>
          </w:p>
        </w:tc>
        <w:tc>
          <w:tcPr>
            <w:tcW w:w="1081" w:type="dxa"/>
            <w:vAlign w:val="center"/>
          </w:tcPr>
          <w:p w14:paraId="12199827">
            <w:pPr>
              <w:jc w:val="center"/>
              <w:rPr>
                <w:color w:val="auto"/>
                <w:sz w:val="18"/>
                <w:szCs w:val="18"/>
              </w:rPr>
            </w:pPr>
            <w:r>
              <w:rPr>
                <w:rFonts w:hint="eastAsia"/>
                <w:color w:val="auto"/>
                <w:sz w:val="18"/>
                <w:szCs w:val="18"/>
              </w:rPr>
              <w:t>ZS0505104</w:t>
            </w:r>
          </w:p>
        </w:tc>
        <w:tc>
          <w:tcPr>
            <w:tcW w:w="709" w:type="dxa"/>
            <w:vAlign w:val="center"/>
          </w:tcPr>
          <w:p w14:paraId="0D997256">
            <w:pPr>
              <w:adjustRightInd w:val="0"/>
              <w:snapToGrid w:val="0"/>
              <w:jc w:val="center"/>
              <w:rPr>
                <w:color w:val="auto"/>
                <w:sz w:val="18"/>
                <w:szCs w:val="18"/>
              </w:rPr>
            </w:pPr>
            <w:r>
              <w:rPr>
                <w:rFonts w:hint="eastAsia"/>
                <w:color w:val="auto"/>
                <w:sz w:val="18"/>
                <w:szCs w:val="18"/>
              </w:rPr>
              <w:t>2</w:t>
            </w:r>
          </w:p>
        </w:tc>
        <w:tc>
          <w:tcPr>
            <w:tcW w:w="709" w:type="dxa"/>
            <w:vAlign w:val="center"/>
          </w:tcPr>
          <w:p w14:paraId="51DA69E4">
            <w:pPr>
              <w:adjustRightInd w:val="0"/>
              <w:snapToGrid w:val="0"/>
              <w:jc w:val="center"/>
              <w:rPr>
                <w:color w:val="auto"/>
                <w:sz w:val="18"/>
                <w:szCs w:val="18"/>
              </w:rPr>
            </w:pPr>
            <w:r>
              <w:rPr>
                <w:rFonts w:hint="eastAsia"/>
                <w:color w:val="auto"/>
                <w:sz w:val="18"/>
                <w:szCs w:val="18"/>
              </w:rPr>
              <w:t>2</w:t>
            </w:r>
          </w:p>
        </w:tc>
        <w:tc>
          <w:tcPr>
            <w:tcW w:w="1146" w:type="dxa"/>
            <w:vMerge w:val="continue"/>
            <w:vAlign w:val="center"/>
          </w:tcPr>
          <w:p w14:paraId="33F1063E">
            <w:pPr>
              <w:jc w:val="center"/>
              <w:rPr>
                <w:color w:val="auto"/>
                <w:sz w:val="18"/>
                <w:szCs w:val="18"/>
              </w:rPr>
            </w:pPr>
          </w:p>
        </w:tc>
      </w:tr>
      <w:tr w14:paraId="2F764C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54096BAA">
            <w:pPr>
              <w:jc w:val="center"/>
              <w:rPr>
                <w:b/>
                <w:color w:val="auto"/>
                <w:sz w:val="18"/>
                <w:szCs w:val="18"/>
              </w:rPr>
            </w:pPr>
          </w:p>
        </w:tc>
        <w:tc>
          <w:tcPr>
            <w:tcW w:w="1986" w:type="dxa"/>
            <w:vMerge w:val="continue"/>
            <w:vAlign w:val="center"/>
          </w:tcPr>
          <w:p w14:paraId="0CA77D85">
            <w:pPr>
              <w:jc w:val="center"/>
              <w:rPr>
                <w:b/>
                <w:color w:val="auto"/>
                <w:sz w:val="18"/>
                <w:szCs w:val="18"/>
              </w:rPr>
            </w:pPr>
          </w:p>
        </w:tc>
        <w:tc>
          <w:tcPr>
            <w:tcW w:w="3912" w:type="dxa"/>
            <w:shd w:val="clear" w:color="auto" w:fill="auto"/>
            <w:vAlign w:val="center"/>
          </w:tcPr>
          <w:p w14:paraId="70476B2C">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人工智能与译后编辑</w:t>
            </w:r>
          </w:p>
        </w:tc>
        <w:tc>
          <w:tcPr>
            <w:tcW w:w="1081" w:type="dxa"/>
            <w:shd w:val="clear" w:color="auto" w:fill="auto"/>
            <w:vAlign w:val="center"/>
          </w:tcPr>
          <w:p w14:paraId="19FEB8EF">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ZS0505</w:t>
            </w:r>
            <w:r>
              <w:rPr>
                <w:rFonts w:hint="eastAsia"/>
                <w:color w:val="auto"/>
                <w:sz w:val="18"/>
                <w:szCs w:val="18"/>
                <w:lang w:val="en-US" w:eastAsia="zh-CN"/>
              </w:rPr>
              <w:t>103</w:t>
            </w:r>
          </w:p>
        </w:tc>
        <w:tc>
          <w:tcPr>
            <w:tcW w:w="709" w:type="dxa"/>
            <w:shd w:val="clear" w:color="auto" w:fill="auto"/>
            <w:vAlign w:val="center"/>
          </w:tcPr>
          <w:p w14:paraId="52CF2F09">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6BD99B5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3</w:t>
            </w:r>
          </w:p>
        </w:tc>
        <w:tc>
          <w:tcPr>
            <w:tcW w:w="1146" w:type="dxa"/>
            <w:vMerge w:val="continue"/>
            <w:shd w:val="clear" w:color="auto" w:fill="auto"/>
            <w:vAlign w:val="center"/>
          </w:tcPr>
          <w:p w14:paraId="46ABA6D2">
            <w:pPr>
              <w:jc w:val="center"/>
              <w:rPr>
                <w:rFonts w:hint="eastAsia" w:ascii="Times New Roman" w:hAnsi="Times New Roman" w:eastAsia="宋体" w:cs="Times New Roman"/>
                <w:color w:val="auto"/>
                <w:kern w:val="2"/>
                <w:sz w:val="18"/>
                <w:szCs w:val="18"/>
                <w:lang w:val="en-US" w:eastAsia="zh-CN" w:bidi="ar-SA"/>
              </w:rPr>
            </w:pPr>
          </w:p>
        </w:tc>
      </w:tr>
      <w:tr w14:paraId="4370A9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03AB24C8">
            <w:pPr>
              <w:jc w:val="center"/>
              <w:rPr>
                <w:b/>
                <w:color w:val="auto"/>
                <w:sz w:val="18"/>
                <w:szCs w:val="18"/>
              </w:rPr>
            </w:pPr>
          </w:p>
        </w:tc>
        <w:tc>
          <w:tcPr>
            <w:tcW w:w="1986" w:type="dxa"/>
            <w:vMerge w:val="continue"/>
            <w:vAlign w:val="center"/>
          </w:tcPr>
          <w:p w14:paraId="0691BEE0">
            <w:pPr>
              <w:jc w:val="center"/>
              <w:rPr>
                <w:b/>
                <w:color w:val="auto"/>
                <w:sz w:val="18"/>
                <w:szCs w:val="18"/>
              </w:rPr>
            </w:pPr>
          </w:p>
        </w:tc>
        <w:tc>
          <w:tcPr>
            <w:tcW w:w="3912" w:type="dxa"/>
            <w:vAlign w:val="center"/>
          </w:tcPr>
          <w:p w14:paraId="3832FB2B">
            <w:pPr>
              <w:rPr>
                <w:rFonts w:hint="eastAsia"/>
                <w:color w:val="auto"/>
                <w:sz w:val="18"/>
                <w:szCs w:val="18"/>
              </w:rPr>
            </w:pPr>
            <w:r>
              <w:rPr>
                <w:rFonts w:hint="eastAsia"/>
                <w:color w:val="auto"/>
                <w:sz w:val="18"/>
                <w:szCs w:val="18"/>
                <w:lang w:eastAsia="zh-CN"/>
              </w:rPr>
              <w:t>燕赵文化资本与国际传播</w:t>
            </w:r>
          </w:p>
        </w:tc>
        <w:tc>
          <w:tcPr>
            <w:tcW w:w="1081" w:type="dxa"/>
            <w:vAlign w:val="center"/>
          </w:tcPr>
          <w:p w14:paraId="4EDDCCCC">
            <w:pPr>
              <w:jc w:val="center"/>
              <w:rPr>
                <w:rFonts w:hint="default" w:eastAsia="宋体"/>
                <w:color w:val="auto"/>
                <w:sz w:val="18"/>
                <w:szCs w:val="18"/>
                <w:lang w:val="en-US" w:eastAsia="zh-CN"/>
              </w:rPr>
            </w:pPr>
            <w:r>
              <w:rPr>
                <w:rFonts w:hint="eastAsia"/>
                <w:color w:val="auto"/>
                <w:sz w:val="18"/>
                <w:szCs w:val="18"/>
                <w:lang w:val="en-US" w:eastAsia="zh-CN"/>
              </w:rPr>
              <w:t>X</w:t>
            </w:r>
            <w:r>
              <w:rPr>
                <w:rFonts w:hint="eastAsia"/>
                <w:color w:val="auto"/>
                <w:sz w:val="18"/>
                <w:szCs w:val="18"/>
              </w:rPr>
              <w:t>S05</w:t>
            </w:r>
            <w:r>
              <w:rPr>
                <w:rFonts w:hint="eastAsia"/>
                <w:color w:val="auto"/>
                <w:sz w:val="18"/>
                <w:szCs w:val="18"/>
                <w:lang w:val="en-US" w:eastAsia="zh-CN"/>
              </w:rPr>
              <w:t>99</w:t>
            </w:r>
            <w:bookmarkStart w:id="2" w:name="_GoBack"/>
            <w:bookmarkEnd w:id="2"/>
            <w:r>
              <w:rPr>
                <w:rFonts w:hint="eastAsia"/>
                <w:color w:val="auto"/>
                <w:sz w:val="18"/>
                <w:szCs w:val="18"/>
                <w:lang w:val="en-US" w:eastAsia="zh-CN"/>
              </w:rPr>
              <w:t>204</w:t>
            </w:r>
          </w:p>
        </w:tc>
        <w:tc>
          <w:tcPr>
            <w:tcW w:w="709" w:type="dxa"/>
            <w:vAlign w:val="center"/>
          </w:tcPr>
          <w:p w14:paraId="56D6F69E">
            <w:pPr>
              <w:adjustRightInd w:val="0"/>
              <w:snapToGrid w:val="0"/>
              <w:jc w:val="center"/>
              <w:rPr>
                <w:rFonts w:hint="eastAsia" w:eastAsia="宋体"/>
                <w:color w:val="auto"/>
                <w:sz w:val="18"/>
                <w:szCs w:val="18"/>
                <w:lang w:val="en-US" w:eastAsia="zh-CN"/>
              </w:rPr>
            </w:pPr>
            <w:r>
              <w:rPr>
                <w:rFonts w:hint="eastAsia"/>
                <w:color w:val="auto"/>
                <w:sz w:val="18"/>
                <w:szCs w:val="18"/>
                <w:lang w:val="en-US" w:eastAsia="zh-CN"/>
              </w:rPr>
              <w:t>2</w:t>
            </w:r>
          </w:p>
        </w:tc>
        <w:tc>
          <w:tcPr>
            <w:tcW w:w="709" w:type="dxa"/>
            <w:vAlign w:val="center"/>
          </w:tcPr>
          <w:p w14:paraId="571BA423">
            <w:pPr>
              <w:adjustRightInd w:val="0"/>
              <w:snapToGrid w:val="0"/>
              <w:jc w:val="center"/>
              <w:rPr>
                <w:rFonts w:hint="eastAsia" w:eastAsia="宋体"/>
                <w:color w:val="auto"/>
                <w:sz w:val="18"/>
                <w:szCs w:val="18"/>
                <w:lang w:val="en-US" w:eastAsia="zh-CN"/>
              </w:rPr>
            </w:pPr>
            <w:r>
              <w:rPr>
                <w:rFonts w:hint="eastAsia"/>
                <w:color w:val="auto"/>
                <w:sz w:val="18"/>
                <w:szCs w:val="18"/>
                <w:lang w:val="en-US" w:eastAsia="zh-CN"/>
              </w:rPr>
              <w:t>2</w:t>
            </w:r>
          </w:p>
        </w:tc>
        <w:tc>
          <w:tcPr>
            <w:tcW w:w="1146" w:type="dxa"/>
            <w:vMerge w:val="continue"/>
            <w:vAlign w:val="center"/>
          </w:tcPr>
          <w:p w14:paraId="1E9300D8">
            <w:pPr>
              <w:jc w:val="center"/>
              <w:rPr>
                <w:rFonts w:hint="eastAsia"/>
                <w:color w:val="auto"/>
                <w:sz w:val="18"/>
                <w:szCs w:val="18"/>
              </w:rPr>
            </w:pPr>
          </w:p>
        </w:tc>
      </w:tr>
      <w:tr w14:paraId="002F4B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restart"/>
            <w:vAlign w:val="center"/>
          </w:tcPr>
          <w:p w14:paraId="0882D1DF">
            <w:pPr>
              <w:jc w:val="center"/>
              <w:rPr>
                <w:b/>
                <w:color w:val="auto"/>
                <w:sz w:val="18"/>
                <w:szCs w:val="18"/>
              </w:rPr>
            </w:pPr>
            <w:r>
              <w:rPr>
                <w:b/>
                <w:color w:val="auto"/>
                <w:sz w:val="18"/>
                <w:szCs w:val="18"/>
              </w:rPr>
              <w:t>必修环节</w:t>
            </w:r>
          </w:p>
          <w:p w14:paraId="6290F8A6">
            <w:pPr>
              <w:jc w:val="center"/>
              <w:rPr>
                <w:rFonts w:hint="default" w:eastAsia="宋体"/>
                <w:b/>
                <w:color w:val="auto"/>
                <w:sz w:val="18"/>
                <w:szCs w:val="18"/>
                <w:lang w:val="en-US" w:eastAsia="zh-CN"/>
              </w:rPr>
            </w:pPr>
          </w:p>
        </w:tc>
        <w:tc>
          <w:tcPr>
            <w:tcW w:w="1986" w:type="dxa"/>
            <w:vMerge w:val="restart"/>
            <w:vAlign w:val="center"/>
          </w:tcPr>
          <w:p w14:paraId="4B9C4673">
            <w:pPr>
              <w:jc w:val="center"/>
              <w:rPr>
                <w:rFonts w:hint="eastAsia"/>
                <w:b/>
                <w:color w:val="auto"/>
                <w:sz w:val="18"/>
                <w:szCs w:val="18"/>
                <w:lang w:val="en-US" w:eastAsia="zh-CN"/>
              </w:rPr>
            </w:pPr>
            <w:r>
              <w:rPr>
                <w:rFonts w:hint="eastAsia"/>
                <w:b/>
                <w:color w:val="auto"/>
                <w:sz w:val="18"/>
                <w:szCs w:val="18"/>
                <w:lang w:val="en-US" w:eastAsia="zh-CN"/>
              </w:rPr>
              <w:t>素质拓展</w:t>
            </w:r>
          </w:p>
          <w:p w14:paraId="13E5B272">
            <w:pPr>
              <w:jc w:val="center"/>
              <w:rPr>
                <w:rFonts w:hint="eastAsia"/>
                <w:b/>
                <w:color w:val="auto"/>
                <w:sz w:val="18"/>
                <w:szCs w:val="18"/>
                <w:lang w:val="en-US" w:eastAsia="zh-CN"/>
              </w:rPr>
            </w:pPr>
            <w:r>
              <w:rPr>
                <w:rFonts w:hint="eastAsia"/>
                <w:b/>
                <w:color w:val="auto"/>
                <w:sz w:val="18"/>
                <w:szCs w:val="18"/>
                <w:lang w:eastAsia="zh-CN"/>
              </w:rPr>
              <w:t>（</w:t>
            </w:r>
            <w:r>
              <w:rPr>
                <w:rFonts w:hint="eastAsia"/>
                <w:b/>
                <w:bCs w:val="0"/>
                <w:color w:val="auto"/>
                <w:sz w:val="18"/>
                <w:szCs w:val="18"/>
                <w:lang w:val="en-US" w:eastAsia="zh-CN"/>
              </w:rPr>
              <w:t>1学分</w:t>
            </w:r>
            <w:r>
              <w:rPr>
                <w:rFonts w:hint="eastAsia"/>
                <w:b/>
                <w:color w:val="auto"/>
                <w:sz w:val="18"/>
                <w:szCs w:val="18"/>
                <w:lang w:eastAsia="zh-CN"/>
              </w:rPr>
              <w:t>）</w:t>
            </w:r>
          </w:p>
        </w:tc>
        <w:tc>
          <w:tcPr>
            <w:tcW w:w="3912" w:type="dxa"/>
            <w:shd w:val="clear" w:color="auto" w:fill="auto"/>
            <w:vAlign w:val="center"/>
          </w:tcPr>
          <w:p w14:paraId="7B932423">
            <w:pPr>
              <w:rPr>
                <w:rFonts w:ascii="Times New Roman" w:hAnsi="Times New Roman" w:eastAsia="宋体" w:cs="Times New Roman"/>
                <w:color w:val="auto"/>
                <w:kern w:val="2"/>
                <w:sz w:val="18"/>
                <w:szCs w:val="18"/>
                <w:lang w:val="en-US" w:eastAsia="zh-CN" w:bidi="ar-SA"/>
              </w:rPr>
            </w:pPr>
            <w:r>
              <w:rPr>
                <w:color w:val="auto"/>
                <w:sz w:val="18"/>
                <w:szCs w:val="18"/>
              </w:rPr>
              <w:t>入学教育</w:t>
            </w:r>
          </w:p>
        </w:tc>
        <w:tc>
          <w:tcPr>
            <w:tcW w:w="1081" w:type="dxa"/>
            <w:shd w:val="clear" w:color="auto" w:fill="auto"/>
            <w:vAlign w:val="center"/>
          </w:tcPr>
          <w:p w14:paraId="1988F45F">
            <w:pPr>
              <w:jc w:val="center"/>
              <w:rPr>
                <w:rFonts w:hint="default"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4D5C90F1">
            <w:pPr>
              <w:jc w:val="center"/>
              <w:rPr>
                <w:rFonts w:hint="eastAsia"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28B7DD4F">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146" w:type="dxa"/>
            <w:vMerge w:val="restart"/>
            <w:shd w:val="clear" w:color="auto" w:fill="auto"/>
            <w:vAlign w:val="center"/>
          </w:tcPr>
          <w:p w14:paraId="7D42F7FF">
            <w:pPr>
              <w:jc w:val="center"/>
              <w:rPr>
                <w:rFonts w:ascii="Times New Roman" w:hAnsi="Times New Roman" w:eastAsia="宋体" w:cs="Times New Roman"/>
                <w:color w:val="auto"/>
                <w:kern w:val="2"/>
                <w:sz w:val="18"/>
                <w:szCs w:val="18"/>
                <w:lang w:val="en-US" w:eastAsia="zh-CN" w:bidi="ar-SA"/>
              </w:rPr>
            </w:pPr>
          </w:p>
        </w:tc>
      </w:tr>
      <w:tr w14:paraId="5B13D5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7F5ED977">
            <w:pPr>
              <w:jc w:val="center"/>
              <w:rPr>
                <w:rFonts w:hint="eastAsia"/>
                <w:b/>
                <w:color w:val="auto"/>
                <w:sz w:val="18"/>
                <w:szCs w:val="18"/>
                <w:lang w:eastAsia="zh-CN"/>
              </w:rPr>
            </w:pPr>
          </w:p>
        </w:tc>
        <w:tc>
          <w:tcPr>
            <w:tcW w:w="1986" w:type="dxa"/>
            <w:vMerge w:val="continue"/>
            <w:vAlign w:val="center"/>
          </w:tcPr>
          <w:p w14:paraId="0418FEE5">
            <w:pPr>
              <w:jc w:val="center"/>
              <w:rPr>
                <w:rFonts w:hint="eastAsia"/>
                <w:b/>
                <w:color w:val="auto"/>
                <w:sz w:val="18"/>
                <w:szCs w:val="18"/>
                <w:lang w:val="en-US" w:eastAsia="zh-CN"/>
              </w:rPr>
            </w:pPr>
          </w:p>
        </w:tc>
        <w:tc>
          <w:tcPr>
            <w:tcW w:w="3912" w:type="dxa"/>
            <w:shd w:val="clear" w:color="auto" w:fill="auto"/>
            <w:vAlign w:val="center"/>
          </w:tcPr>
          <w:p w14:paraId="60462F35">
            <w:pPr>
              <w:rPr>
                <w:rFonts w:hint="default" w:eastAsia="宋体"/>
                <w:color w:val="auto"/>
                <w:sz w:val="18"/>
                <w:szCs w:val="18"/>
                <w:lang w:val="en-US" w:eastAsia="zh-CN"/>
              </w:rPr>
            </w:pPr>
            <w:r>
              <w:rPr>
                <w:rFonts w:hint="eastAsia"/>
                <w:color w:val="auto"/>
                <w:sz w:val="18"/>
                <w:szCs w:val="18"/>
                <w:lang w:val="en-US" w:eastAsia="zh-CN"/>
              </w:rPr>
              <w:t>学术/实践活动</w:t>
            </w:r>
          </w:p>
        </w:tc>
        <w:tc>
          <w:tcPr>
            <w:tcW w:w="1081" w:type="dxa"/>
            <w:shd w:val="clear" w:color="auto" w:fill="auto"/>
            <w:vAlign w:val="center"/>
          </w:tcPr>
          <w:p w14:paraId="549B7A05">
            <w:pPr>
              <w:jc w:val="center"/>
              <w:rPr>
                <w:rFonts w:hint="default"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5A68DA7C">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1</w:t>
            </w:r>
          </w:p>
        </w:tc>
        <w:tc>
          <w:tcPr>
            <w:tcW w:w="709" w:type="dxa"/>
            <w:shd w:val="clear" w:color="auto" w:fill="auto"/>
            <w:vAlign w:val="center"/>
          </w:tcPr>
          <w:p w14:paraId="12F40AB2">
            <w:pPr>
              <w:jc w:val="center"/>
              <w:rPr>
                <w:rFonts w:hint="default" w:eastAsia="宋体"/>
                <w:color w:val="auto"/>
                <w:sz w:val="18"/>
                <w:szCs w:val="18"/>
                <w:lang w:val="en-US" w:eastAsia="zh-CN"/>
              </w:rPr>
            </w:pPr>
            <w:r>
              <w:rPr>
                <w:rFonts w:hint="eastAsia"/>
                <w:color w:val="auto"/>
                <w:sz w:val="18"/>
                <w:szCs w:val="18"/>
                <w:lang w:val="en-US" w:eastAsia="zh-CN"/>
              </w:rPr>
              <w:t>4</w:t>
            </w:r>
          </w:p>
        </w:tc>
        <w:tc>
          <w:tcPr>
            <w:tcW w:w="1146" w:type="dxa"/>
            <w:vMerge w:val="continue"/>
            <w:shd w:val="clear" w:color="auto" w:fill="auto"/>
            <w:vAlign w:val="center"/>
          </w:tcPr>
          <w:p w14:paraId="661C492B">
            <w:pPr>
              <w:jc w:val="center"/>
              <w:rPr>
                <w:rFonts w:ascii="Times New Roman" w:hAnsi="Times New Roman" w:eastAsia="宋体" w:cs="Times New Roman"/>
                <w:color w:val="auto"/>
                <w:kern w:val="2"/>
                <w:sz w:val="18"/>
                <w:szCs w:val="18"/>
                <w:lang w:val="en-US" w:eastAsia="zh-CN" w:bidi="ar-SA"/>
              </w:rPr>
            </w:pPr>
          </w:p>
        </w:tc>
      </w:tr>
      <w:tr w14:paraId="7CB747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420DF874">
            <w:pPr>
              <w:jc w:val="center"/>
              <w:rPr>
                <w:b/>
                <w:color w:val="auto"/>
                <w:sz w:val="18"/>
                <w:szCs w:val="18"/>
              </w:rPr>
            </w:pPr>
          </w:p>
        </w:tc>
        <w:tc>
          <w:tcPr>
            <w:tcW w:w="1986" w:type="dxa"/>
            <w:vMerge w:val="restart"/>
            <w:vAlign w:val="center"/>
          </w:tcPr>
          <w:p w14:paraId="374F026A">
            <w:pPr>
              <w:jc w:val="center"/>
              <w:rPr>
                <w:rFonts w:hint="eastAsia" w:eastAsia="宋体"/>
                <w:b/>
                <w:color w:val="auto"/>
                <w:sz w:val="18"/>
                <w:szCs w:val="18"/>
                <w:lang w:eastAsia="zh-CN"/>
              </w:rPr>
            </w:pPr>
            <w:r>
              <w:rPr>
                <w:rFonts w:hint="eastAsia"/>
                <w:b/>
                <w:color w:val="auto"/>
                <w:sz w:val="18"/>
                <w:szCs w:val="18"/>
                <w:lang w:val="en-US" w:eastAsia="zh-CN"/>
              </w:rPr>
              <w:t>学术训练</w:t>
            </w:r>
          </w:p>
        </w:tc>
        <w:tc>
          <w:tcPr>
            <w:tcW w:w="3912" w:type="dxa"/>
            <w:vAlign w:val="center"/>
          </w:tcPr>
          <w:p w14:paraId="31017050">
            <w:pPr>
              <w:rPr>
                <w:rFonts w:hint="eastAsia" w:eastAsia="宋体"/>
                <w:color w:val="auto"/>
                <w:sz w:val="18"/>
                <w:szCs w:val="18"/>
                <w:lang w:val="en-US" w:eastAsia="zh-CN"/>
              </w:rPr>
            </w:pPr>
            <w:r>
              <w:rPr>
                <w:rFonts w:hint="eastAsia"/>
                <w:color w:val="auto"/>
                <w:sz w:val="18"/>
                <w:szCs w:val="18"/>
                <w:lang w:val="en-US" w:eastAsia="zh-CN"/>
              </w:rPr>
              <w:t>中期筛选</w:t>
            </w:r>
          </w:p>
        </w:tc>
        <w:tc>
          <w:tcPr>
            <w:tcW w:w="1081" w:type="dxa"/>
            <w:vAlign w:val="center"/>
          </w:tcPr>
          <w:p w14:paraId="70FC6A1D">
            <w:pPr>
              <w:jc w:val="center"/>
              <w:rPr>
                <w:color w:val="auto"/>
                <w:sz w:val="18"/>
                <w:szCs w:val="18"/>
              </w:rPr>
            </w:pPr>
          </w:p>
        </w:tc>
        <w:tc>
          <w:tcPr>
            <w:tcW w:w="709" w:type="dxa"/>
            <w:vAlign w:val="center"/>
          </w:tcPr>
          <w:p w14:paraId="32E1952F">
            <w:pPr>
              <w:jc w:val="center"/>
              <w:rPr>
                <w:color w:val="auto"/>
                <w:sz w:val="18"/>
                <w:szCs w:val="18"/>
              </w:rPr>
            </w:pPr>
          </w:p>
        </w:tc>
        <w:tc>
          <w:tcPr>
            <w:tcW w:w="709" w:type="dxa"/>
            <w:vAlign w:val="center"/>
          </w:tcPr>
          <w:p w14:paraId="4777271D">
            <w:pPr>
              <w:jc w:val="center"/>
              <w:rPr>
                <w:rFonts w:hint="default"/>
                <w:color w:val="auto"/>
                <w:sz w:val="18"/>
                <w:szCs w:val="18"/>
                <w:lang w:val="en-US" w:eastAsia="zh-CN"/>
              </w:rPr>
            </w:pPr>
            <w:r>
              <w:rPr>
                <w:rFonts w:hint="eastAsia"/>
                <w:color w:val="auto"/>
                <w:sz w:val="18"/>
                <w:szCs w:val="18"/>
                <w:lang w:val="en-US" w:eastAsia="zh-CN"/>
              </w:rPr>
              <w:t>3</w:t>
            </w:r>
          </w:p>
        </w:tc>
        <w:tc>
          <w:tcPr>
            <w:tcW w:w="1146" w:type="dxa"/>
            <w:vMerge w:val="restart"/>
            <w:vAlign w:val="center"/>
          </w:tcPr>
          <w:p w14:paraId="48B3822D">
            <w:pPr>
              <w:jc w:val="center"/>
              <w:rPr>
                <w:color w:val="auto"/>
                <w:sz w:val="18"/>
                <w:szCs w:val="18"/>
              </w:rPr>
            </w:pPr>
            <w:r>
              <w:rPr>
                <w:color w:val="auto"/>
                <w:sz w:val="18"/>
                <w:szCs w:val="18"/>
              </w:rPr>
              <w:t>过程管理</w:t>
            </w:r>
          </w:p>
          <w:p w14:paraId="38E1E834">
            <w:pPr>
              <w:jc w:val="center"/>
              <w:rPr>
                <w:color w:val="auto"/>
                <w:sz w:val="18"/>
                <w:szCs w:val="18"/>
              </w:rPr>
            </w:pPr>
            <w:r>
              <w:rPr>
                <w:color w:val="auto"/>
                <w:sz w:val="18"/>
                <w:szCs w:val="18"/>
              </w:rPr>
              <w:t>无学分</w:t>
            </w:r>
          </w:p>
        </w:tc>
      </w:tr>
      <w:tr w14:paraId="6026DE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231735AC">
            <w:pPr>
              <w:jc w:val="center"/>
              <w:rPr>
                <w:b/>
                <w:color w:val="auto"/>
                <w:sz w:val="18"/>
                <w:szCs w:val="18"/>
              </w:rPr>
            </w:pPr>
          </w:p>
        </w:tc>
        <w:tc>
          <w:tcPr>
            <w:tcW w:w="1986" w:type="dxa"/>
            <w:vMerge w:val="continue"/>
            <w:vAlign w:val="center"/>
          </w:tcPr>
          <w:p w14:paraId="4D6CF2B5">
            <w:pPr>
              <w:jc w:val="center"/>
              <w:rPr>
                <w:rFonts w:hint="eastAsia" w:eastAsia="宋体"/>
                <w:b/>
                <w:color w:val="auto"/>
                <w:sz w:val="18"/>
                <w:szCs w:val="18"/>
                <w:lang w:eastAsia="zh-CN"/>
              </w:rPr>
            </w:pPr>
          </w:p>
        </w:tc>
        <w:tc>
          <w:tcPr>
            <w:tcW w:w="3912" w:type="dxa"/>
            <w:vAlign w:val="center"/>
          </w:tcPr>
          <w:p w14:paraId="2B56D6CE">
            <w:pPr>
              <w:rPr>
                <w:color w:val="auto"/>
                <w:sz w:val="18"/>
                <w:szCs w:val="18"/>
              </w:rPr>
            </w:pPr>
            <w:r>
              <w:rPr>
                <w:color w:val="auto"/>
                <w:sz w:val="18"/>
                <w:szCs w:val="18"/>
              </w:rPr>
              <w:t>论文开题</w:t>
            </w:r>
          </w:p>
        </w:tc>
        <w:tc>
          <w:tcPr>
            <w:tcW w:w="1081" w:type="dxa"/>
            <w:vAlign w:val="center"/>
          </w:tcPr>
          <w:p w14:paraId="18C935B9">
            <w:pPr>
              <w:jc w:val="center"/>
              <w:rPr>
                <w:color w:val="auto"/>
                <w:sz w:val="18"/>
                <w:szCs w:val="18"/>
              </w:rPr>
            </w:pPr>
          </w:p>
        </w:tc>
        <w:tc>
          <w:tcPr>
            <w:tcW w:w="709" w:type="dxa"/>
            <w:vAlign w:val="center"/>
          </w:tcPr>
          <w:p w14:paraId="6DB4A071">
            <w:pPr>
              <w:jc w:val="center"/>
              <w:rPr>
                <w:color w:val="auto"/>
                <w:sz w:val="18"/>
                <w:szCs w:val="18"/>
              </w:rPr>
            </w:pPr>
          </w:p>
        </w:tc>
        <w:tc>
          <w:tcPr>
            <w:tcW w:w="709" w:type="dxa"/>
            <w:vAlign w:val="center"/>
          </w:tcPr>
          <w:p w14:paraId="0CA99DB1">
            <w:pPr>
              <w:jc w:val="center"/>
              <w:rPr>
                <w:rFonts w:hint="eastAsia" w:eastAsia="宋体"/>
                <w:color w:val="auto"/>
                <w:sz w:val="18"/>
                <w:szCs w:val="18"/>
                <w:lang w:eastAsia="zh-CN"/>
              </w:rPr>
            </w:pPr>
            <w:r>
              <w:rPr>
                <w:rFonts w:hint="eastAsia"/>
                <w:color w:val="auto"/>
                <w:sz w:val="18"/>
                <w:szCs w:val="18"/>
                <w:lang w:val="en-US" w:eastAsia="zh-CN"/>
              </w:rPr>
              <w:t>4</w:t>
            </w:r>
          </w:p>
        </w:tc>
        <w:tc>
          <w:tcPr>
            <w:tcW w:w="1146" w:type="dxa"/>
            <w:vMerge w:val="continue"/>
            <w:vAlign w:val="center"/>
          </w:tcPr>
          <w:p w14:paraId="406980F6">
            <w:pPr>
              <w:jc w:val="center"/>
              <w:rPr>
                <w:color w:val="auto"/>
                <w:sz w:val="18"/>
                <w:szCs w:val="18"/>
              </w:rPr>
            </w:pPr>
          </w:p>
        </w:tc>
      </w:tr>
      <w:tr w14:paraId="27F6E7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50E1A7CD">
            <w:pPr>
              <w:jc w:val="center"/>
              <w:rPr>
                <w:b/>
                <w:color w:val="auto"/>
                <w:sz w:val="18"/>
                <w:szCs w:val="18"/>
              </w:rPr>
            </w:pPr>
          </w:p>
        </w:tc>
        <w:tc>
          <w:tcPr>
            <w:tcW w:w="1986" w:type="dxa"/>
            <w:vMerge w:val="continue"/>
            <w:vAlign w:val="center"/>
          </w:tcPr>
          <w:p w14:paraId="2CCFC2D6">
            <w:pPr>
              <w:jc w:val="center"/>
              <w:rPr>
                <w:rFonts w:hint="eastAsia"/>
                <w:b/>
                <w:color w:val="auto"/>
                <w:sz w:val="18"/>
                <w:szCs w:val="18"/>
                <w:lang w:val="en-US" w:eastAsia="zh-CN"/>
              </w:rPr>
            </w:pPr>
          </w:p>
        </w:tc>
        <w:tc>
          <w:tcPr>
            <w:tcW w:w="3912" w:type="dxa"/>
            <w:vAlign w:val="center"/>
          </w:tcPr>
          <w:p w14:paraId="27D63F5A">
            <w:pPr>
              <w:rPr>
                <w:rFonts w:hint="default" w:eastAsia="宋体"/>
                <w:color w:val="auto"/>
                <w:sz w:val="18"/>
                <w:szCs w:val="18"/>
                <w:lang w:val="en-US" w:eastAsia="zh-CN"/>
              </w:rPr>
            </w:pPr>
            <w:r>
              <w:rPr>
                <w:rFonts w:hint="eastAsia"/>
                <w:color w:val="auto"/>
                <w:sz w:val="18"/>
                <w:szCs w:val="18"/>
                <w:lang w:val="en-US" w:eastAsia="zh-CN"/>
              </w:rPr>
              <w:t>论文中期进展报告</w:t>
            </w:r>
          </w:p>
        </w:tc>
        <w:tc>
          <w:tcPr>
            <w:tcW w:w="1081" w:type="dxa"/>
            <w:vAlign w:val="center"/>
          </w:tcPr>
          <w:p w14:paraId="35908969">
            <w:pPr>
              <w:jc w:val="center"/>
              <w:rPr>
                <w:color w:val="auto"/>
                <w:sz w:val="18"/>
                <w:szCs w:val="18"/>
              </w:rPr>
            </w:pPr>
          </w:p>
        </w:tc>
        <w:tc>
          <w:tcPr>
            <w:tcW w:w="709" w:type="dxa"/>
            <w:vAlign w:val="center"/>
          </w:tcPr>
          <w:p w14:paraId="305B51FA">
            <w:pPr>
              <w:jc w:val="center"/>
              <w:rPr>
                <w:color w:val="auto"/>
                <w:sz w:val="18"/>
                <w:szCs w:val="18"/>
              </w:rPr>
            </w:pPr>
          </w:p>
        </w:tc>
        <w:tc>
          <w:tcPr>
            <w:tcW w:w="709" w:type="dxa"/>
            <w:vAlign w:val="center"/>
          </w:tcPr>
          <w:p w14:paraId="2ACBEA2B">
            <w:pPr>
              <w:jc w:val="center"/>
              <w:rPr>
                <w:rFonts w:hint="default"/>
                <w:color w:val="auto"/>
                <w:sz w:val="18"/>
                <w:szCs w:val="18"/>
                <w:lang w:val="en-US" w:eastAsia="zh-CN"/>
              </w:rPr>
            </w:pPr>
            <w:r>
              <w:rPr>
                <w:rFonts w:hint="eastAsia"/>
                <w:color w:val="auto"/>
                <w:sz w:val="18"/>
                <w:szCs w:val="18"/>
                <w:lang w:val="en-US" w:eastAsia="zh-CN"/>
              </w:rPr>
              <w:t>5</w:t>
            </w:r>
          </w:p>
        </w:tc>
        <w:tc>
          <w:tcPr>
            <w:tcW w:w="1146" w:type="dxa"/>
            <w:vMerge w:val="continue"/>
            <w:vAlign w:val="center"/>
          </w:tcPr>
          <w:p w14:paraId="5FB4F18D">
            <w:pPr>
              <w:jc w:val="center"/>
              <w:rPr>
                <w:color w:val="auto"/>
                <w:sz w:val="18"/>
                <w:szCs w:val="18"/>
              </w:rPr>
            </w:pPr>
          </w:p>
        </w:tc>
      </w:tr>
      <w:tr w14:paraId="1D2B54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7F005D99">
            <w:pPr>
              <w:rPr>
                <w:b/>
                <w:color w:val="auto"/>
                <w:sz w:val="18"/>
                <w:szCs w:val="18"/>
              </w:rPr>
            </w:pPr>
          </w:p>
        </w:tc>
        <w:tc>
          <w:tcPr>
            <w:tcW w:w="1986" w:type="dxa"/>
            <w:vMerge w:val="continue"/>
            <w:vAlign w:val="center"/>
          </w:tcPr>
          <w:p w14:paraId="1C2C9C4D">
            <w:pPr>
              <w:jc w:val="center"/>
              <w:rPr>
                <w:b/>
                <w:color w:val="auto"/>
                <w:sz w:val="18"/>
                <w:szCs w:val="18"/>
              </w:rPr>
            </w:pPr>
          </w:p>
        </w:tc>
        <w:tc>
          <w:tcPr>
            <w:tcW w:w="3912" w:type="dxa"/>
            <w:vAlign w:val="center"/>
          </w:tcPr>
          <w:p w14:paraId="52A29417">
            <w:pPr>
              <w:rPr>
                <w:color w:val="auto"/>
                <w:sz w:val="18"/>
                <w:szCs w:val="18"/>
              </w:rPr>
            </w:pPr>
            <w:r>
              <w:rPr>
                <w:rFonts w:hint="eastAsia"/>
                <w:color w:val="auto"/>
                <w:sz w:val="18"/>
                <w:szCs w:val="18"/>
              </w:rPr>
              <w:t>论文</w:t>
            </w:r>
            <w:r>
              <w:rPr>
                <w:color w:val="auto"/>
                <w:sz w:val="18"/>
                <w:szCs w:val="18"/>
              </w:rPr>
              <w:t>预答辩</w:t>
            </w:r>
          </w:p>
        </w:tc>
        <w:tc>
          <w:tcPr>
            <w:tcW w:w="1081" w:type="dxa"/>
            <w:vAlign w:val="center"/>
          </w:tcPr>
          <w:p w14:paraId="46B0F971">
            <w:pPr>
              <w:jc w:val="center"/>
              <w:rPr>
                <w:color w:val="auto"/>
                <w:sz w:val="18"/>
                <w:szCs w:val="18"/>
              </w:rPr>
            </w:pPr>
          </w:p>
        </w:tc>
        <w:tc>
          <w:tcPr>
            <w:tcW w:w="709" w:type="dxa"/>
            <w:vAlign w:val="center"/>
          </w:tcPr>
          <w:p w14:paraId="1DDC3A7B">
            <w:pPr>
              <w:jc w:val="center"/>
              <w:rPr>
                <w:color w:val="auto"/>
                <w:sz w:val="18"/>
                <w:szCs w:val="18"/>
              </w:rPr>
            </w:pPr>
          </w:p>
        </w:tc>
        <w:tc>
          <w:tcPr>
            <w:tcW w:w="709" w:type="dxa"/>
            <w:vAlign w:val="center"/>
          </w:tcPr>
          <w:p w14:paraId="0E548540">
            <w:pPr>
              <w:jc w:val="center"/>
              <w:rPr>
                <w:rFonts w:hint="eastAsia" w:eastAsia="宋体"/>
                <w:color w:val="auto"/>
                <w:sz w:val="18"/>
                <w:szCs w:val="18"/>
                <w:lang w:eastAsia="zh-CN"/>
              </w:rPr>
            </w:pPr>
            <w:r>
              <w:rPr>
                <w:rFonts w:hint="eastAsia"/>
                <w:color w:val="auto"/>
                <w:sz w:val="18"/>
                <w:szCs w:val="18"/>
                <w:lang w:val="en-US" w:eastAsia="zh-CN"/>
              </w:rPr>
              <w:t>6</w:t>
            </w:r>
          </w:p>
        </w:tc>
        <w:tc>
          <w:tcPr>
            <w:tcW w:w="1146" w:type="dxa"/>
            <w:vMerge w:val="continue"/>
          </w:tcPr>
          <w:p w14:paraId="056FDC4A">
            <w:pPr>
              <w:jc w:val="center"/>
              <w:rPr>
                <w:color w:val="auto"/>
                <w:sz w:val="18"/>
                <w:szCs w:val="18"/>
              </w:rPr>
            </w:pPr>
          </w:p>
        </w:tc>
      </w:tr>
      <w:tr w14:paraId="64BAD6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1C260372">
            <w:pPr>
              <w:rPr>
                <w:color w:val="auto"/>
                <w:sz w:val="18"/>
                <w:szCs w:val="18"/>
              </w:rPr>
            </w:pPr>
          </w:p>
        </w:tc>
        <w:tc>
          <w:tcPr>
            <w:tcW w:w="1986" w:type="dxa"/>
            <w:vMerge w:val="continue"/>
          </w:tcPr>
          <w:p w14:paraId="6BC052CB">
            <w:pPr>
              <w:jc w:val="center"/>
              <w:rPr>
                <w:color w:val="auto"/>
                <w:sz w:val="18"/>
                <w:szCs w:val="18"/>
              </w:rPr>
            </w:pPr>
          </w:p>
        </w:tc>
        <w:tc>
          <w:tcPr>
            <w:tcW w:w="3912" w:type="dxa"/>
            <w:vAlign w:val="center"/>
          </w:tcPr>
          <w:p w14:paraId="2F390A66">
            <w:pPr>
              <w:rPr>
                <w:color w:val="auto"/>
                <w:sz w:val="18"/>
                <w:szCs w:val="18"/>
              </w:rPr>
            </w:pPr>
            <w:r>
              <w:rPr>
                <w:rFonts w:hint="eastAsia"/>
                <w:color w:val="auto"/>
                <w:sz w:val="18"/>
                <w:szCs w:val="18"/>
              </w:rPr>
              <w:t>论文</w:t>
            </w:r>
            <w:r>
              <w:rPr>
                <w:color w:val="auto"/>
                <w:sz w:val="18"/>
                <w:szCs w:val="18"/>
              </w:rPr>
              <w:t>评审</w:t>
            </w:r>
          </w:p>
        </w:tc>
        <w:tc>
          <w:tcPr>
            <w:tcW w:w="1081" w:type="dxa"/>
            <w:vAlign w:val="center"/>
          </w:tcPr>
          <w:p w14:paraId="77D348F6">
            <w:pPr>
              <w:jc w:val="center"/>
              <w:rPr>
                <w:color w:val="auto"/>
                <w:sz w:val="18"/>
                <w:szCs w:val="18"/>
              </w:rPr>
            </w:pPr>
          </w:p>
        </w:tc>
        <w:tc>
          <w:tcPr>
            <w:tcW w:w="709" w:type="dxa"/>
            <w:vAlign w:val="center"/>
          </w:tcPr>
          <w:p w14:paraId="713C238B">
            <w:pPr>
              <w:jc w:val="center"/>
              <w:rPr>
                <w:color w:val="auto"/>
                <w:sz w:val="18"/>
                <w:szCs w:val="18"/>
              </w:rPr>
            </w:pPr>
          </w:p>
        </w:tc>
        <w:tc>
          <w:tcPr>
            <w:tcW w:w="709" w:type="dxa"/>
            <w:vAlign w:val="center"/>
          </w:tcPr>
          <w:p w14:paraId="14E253E8">
            <w:pPr>
              <w:jc w:val="center"/>
              <w:rPr>
                <w:rFonts w:hint="eastAsia" w:eastAsia="宋体"/>
                <w:color w:val="auto"/>
                <w:sz w:val="18"/>
                <w:szCs w:val="18"/>
                <w:lang w:eastAsia="zh-CN"/>
              </w:rPr>
            </w:pPr>
            <w:r>
              <w:rPr>
                <w:rFonts w:hint="eastAsia"/>
                <w:color w:val="auto"/>
                <w:sz w:val="18"/>
                <w:szCs w:val="18"/>
                <w:lang w:val="en-US" w:eastAsia="zh-CN"/>
              </w:rPr>
              <w:t>6</w:t>
            </w:r>
          </w:p>
        </w:tc>
        <w:tc>
          <w:tcPr>
            <w:tcW w:w="1146" w:type="dxa"/>
            <w:vMerge w:val="continue"/>
          </w:tcPr>
          <w:p w14:paraId="05818581">
            <w:pPr>
              <w:jc w:val="center"/>
              <w:rPr>
                <w:color w:val="auto"/>
                <w:sz w:val="18"/>
                <w:szCs w:val="18"/>
              </w:rPr>
            </w:pPr>
          </w:p>
        </w:tc>
      </w:tr>
      <w:tr w14:paraId="4C76F8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647C72A8">
            <w:pPr>
              <w:rPr>
                <w:color w:val="auto"/>
                <w:sz w:val="18"/>
                <w:szCs w:val="18"/>
              </w:rPr>
            </w:pPr>
          </w:p>
        </w:tc>
        <w:tc>
          <w:tcPr>
            <w:tcW w:w="1986" w:type="dxa"/>
            <w:vMerge w:val="continue"/>
          </w:tcPr>
          <w:p w14:paraId="00349F89">
            <w:pPr>
              <w:jc w:val="center"/>
              <w:rPr>
                <w:color w:val="auto"/>
                <w:sz w:val="18"/>
                <w:szCs w:val="18"/>
              </w:rPr>
            </w:pPr>
          </w:p>
        </w:tc>
        <w:tc>
          <w:tcPr>
            <w:tcW w:w="3912" w:type="dxa"/>
            <w:vAlign w:val="center"/>
          </w:tcPr>
          <w:p w14:paraId="43F2DCB8">
            <w:pPr>
              <w:rPr>
                <w:color w:val="auto"/>
                <w:sz w:val="18"/>
                <w:szCs w:val="18"/>
              </w:rPr>
            </w:pPr>
            <w:r>
              <w:rPr>
                <w:rFonts w:hint="eastAsia"/>
                <w:color w:val="auto"/>
                <w:sz w:val="18"/>
                <w:szCs w:val="18"/>
              </w:rPr>
              <w:t>论文</w:t>
            </w:r>
            <w:r>
              <w:rPr>
                <w:color w:val="auto"/>
                <w:sz w:val="18"/>
                <w:szCs w:val="18"/>
              </w:rPr>
              <w:t>答辩</w:t>
            </w:r>
          </w:p>
        </w:tc>
        <w:tc>
          <w:tcPr>
            <w:tcW w:w="1081" w:type="dxa"/>
            <w:vAlign w:val="center"/>
          </w:tcPr>
          <w:p w14:paraId="021AE414">
            <w:pPr>
              <w:jc w:val="center"/>
              <w:rPr>
                <w:color w:val="auto"/>
                <w:sz w:val="18"/>
                <w:szCs w:val="18"/>
              </w:rPr>
            </w:pPr>
          </w:p>
        </w:tc>
        <w:tc>
          <w:tcPr>
            <w:tcW w:w="709" w:type="dxa"/>
            <w:vAlign w:val="center"/>
          </w:tcPr>
          <w:p w14:paraId="194ABA74">
            <w:pPr>
              <w:jc w:val="center"/>
              <w:rPr>
                <w:color w:val="auto"/>
                <w:sz w:val="18"/>
                <w:szCs w:val="18"/>
              </w:rPr>
            </w:pPr>
          </w:p>
        </w:tc>
        <w:tc>
          <w:tcPr>
            <w:tcW w:w="709" w:type="dxa"/>
            <w:vAlign w:val="center"/>
          </w:tcPr>
          <w:p w14:paraId="530C915B">
            <w:pPr>
              <w:jc w:val="center"/>
              <w:rPr>
                <w:rFonts w:hint="eastAsia" w:eastAsia="宋体"/>
                <w:color w:val="auto"/>
                <w:sz w:val="18"/>
                <w:szCs w:val="18"/>
                <w:lang w:eastAsia="zh-CN"/>
              </w:rPr>
            </w:pPr>
            <w:r>
              <w:rPr>
                <w:rFonts w:hint="eastAsia"/>
                <w:color w:val="auto"/>
                <w:sz w:val="18"/>
                <w:szCs w:val="18"/>
                <w:lang w:val="en-US" w:eastAsia="zh-CN"/>
              </w:rPr>
              <w:t>6</w:t>
            </w:r>
          </w:p>
        </w:tc>
        <w:tc>
          <w:tcPr>
            <w:tcW w:w="1146" w:type="dxa"/>
            <w:vMerge w:val="continue"/>
          </w:tcPr>
          <w:p w14:paraId="26455F74">
            <w:pPr>
              <w:jc w:val="center"/>
              <w:rPr>
                <w:color w:val="auto"/>
                <w:sz w:val="18"/>
                <w:szCs w:val="18"/>
              </w:rPr>
            </w:pPr>
          </w:p>
        </w:tc>
      </w:tr>
    </w:tbl>
    <w:p w14:paraId="2B1FEA8B">
      <w:pPr>
        <w:spacing w:line="440" w:lineRule="exact"/>
        <w:ind w:firstLine="562" w:firstLineChars="200"/>
        <w:rPr>
          <w:rFonts w:eastAsia="黑体"/>
          <w:b/>
          <w:bCs w:val="0"/>
          <w:color w:val="auto"/>
          <w:sz w:val="28"/>
          <w:szCs w:val="28"/>
        </w:rPr>
      </w:pPr>
    </w:p>
    <w:p w14:paraId="5F5FE6AA">
      <w:pPr>
        <w:spacing w:line="440" w:lineRule="exact"/>
        <w:ind w:firstLine="562" w:firstLineChars="200"/>
        <w:rPr>
          <w:rFonts w:eastAsia="黑体"/>
          <w:b/>
          <w:bCs w:val="0"/>
          <w:color w:val="auto"/>
          <w:sz w:val="28"/>
          <w:szCs w:val="28"/>
        </w:rPr>
      </w:pPr>
      <w:r>
        <w:rPr>
          <w:rFonts w:eastAsia="黑体"/>
          <w:b/>
          <w:bCs w:val="0"/>
          <w:color w:val="auto"/>
          <w:sz w:val="28"/>
          <w:szCs w:val="28"/>
        </w:rPr>
        <w:t>十</w:t>
      </w:r>
      <w:r>
        <w:rPr>
          <w:rFonts w:hint="eastAsia" w:eastAsia="黑体"/>
          <w:b/>
          <w:bCs w:val="0"/>
          <w:color w:val="auto"/>
          <w:sz w:val="28"/>
          <w:szCs w:val="28"/>
        </w:rPr>
        <w:t>三</w:t>
      </w:r>
      <w:r>
        <w:rPr>
          <w:rFonts w:eastAsia="黑体"/>
          <w:b/>
          <w:bCs w:val="0"/>
          <w:color w:val="auto"/>
          <w:sz w:val="28"/>
          <w:szCs w:val="28"/>
        </w:rPr>
        <w:t>、其他需要说明事项</w:t>
      </w:r>
    </w:p>
    <w:p w14:paraId="061C450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eastAsiaTheme="minorEastAsia"/>
          <w:bCs/>
          <w:color w:val="auto"/>
          <w:sz w:val="24"/>
        </w:rPr>
      </w:pPr>
      <w:r>
        <w:rPr>
          <w:rFonts w:eastAsiaTheme="minorEastAsia"/>
          <w:bCs/>
          <w:color w:val="auto"/>
          <w:sz w:val="24"/>
        </w:rPr>
        <w:t>1. 非学位课中的方向选修课模块由各培养单位自行设置，并给出具体选修学分要求。</w:t>
      </w:r>
    </w:p>
    <w:bookmarkEnd w:id="0"/>
    <w:bookmarkEnd w:id="1"/>
    <w:p w14:paraId="03C3C74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eastAsia="黑体"/>
          <w:bCs/>
          <w:color w:val="auto"/>
          <w:sz w:val="24"/>
        </w:rPr>
      </w:pPr>
      <w:r>
        <w:rPr>
          <w:rFonts w:eastAsiaTheme="minorEastAsia"/>
          <w:bCs/>
          <w:color w:val="auto"/>
          <w:sz w:val="24"/>
        </w:rPr>
        <w:t>2. 毕业总学分：</w:t>
      </w:r>
      <w:r>
        <w:rPr>
          <w:rFonts w:hint="eastAsia" w:eastAsiaTheme="minorEastAsia"/>
          <w:bCs/>
          <w:color w:val="auto"/>
          <w:sz w:val="24"/>
        </w:rPr>
        <w:t>学位课</w:t>
      </w:r>
      <w:r>
        <w:rPr>
          <w:rFonts w:eastAsiaTheme="minorEastAsia"/>
          <w:bCs/>
          <w:color w:val="auto"/>
          <w:sz w:val="24"/>
        </w:rPr>
        <w:t>+</w:t>
      </w:r>
      <w:r>
        <w:rPr>
          <w:rFonts w:hint="eastAsia" w:eastAsiaTheme="minorEastAsia"/>
          <w:bCs/>
          <w:color w:val="auto"/>
          <w:sz w:val="24"/>
        </w:rPr>
        <w:t>非学位课</w:t>
      </w:r>
      <w:r>
        <w:rPr>
          <w:rFonts w:eastAsiaTheme="minorEastAsia"/>
          <w:bCs/>
          <w:color w:val="auto"/>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CF920A"/>
    <w:multiLevelType w:val="singleLevel"/>
    <w:tmpl w:val="15CF920A"/>
    <w:lvl w:ilvl="0" w:tentative="0">
      <w:start w:val="1"/>
      <w:numFmt w:val="decimal"/>
      <w:suff w:val="space"/>
      <w:lvlText w:val="%1."/>
      <w:lvlJc w:val="left"/>
      <w:rPr>
        <w:rFonts w:hint="default" w:ascii="Times New Roman" w:hAnsi="Times New Roman" w:cs="Times New Roman"/>
      </w:rPr>
    </w:lvl>
  </w:abstractNum>
  <w:abstractNum w:abstractNumId="1">
    <w:nsid w:val="2936150E"/>
    <w:multiLevelType w:val="singleLevel"/>
    <w:tmpl w:val="2936150E"/>
    <w:lvl w:ilvl="0" w:tentative="0">
      <w:start w:val="3"/>
      <w:numFmt w:val="decimal"/>
      <w:suff w:val="space"/>
      <w:lvlText w:val="%1."/>
      <w:lvlJc w:val="left"/>
      <w:rPr>
        <w:rFonts w:hint="default"/>
        <w:b w:val="0"/>
        <w:bCs w:val="0"/>
        <w:i w:val="0"/>
        <w:iCs w:val="0"/>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B7D76"/>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34C108A"/>
    <w:rsid w:val="03874C56"/>
    <w:rsid w:val="03E2379C"/>
    <w:rsid w:val="03F51722"/>
    <w:rsid w:val="065458BC"/>
    <w:rsid w:val="06F927FE"/>
    <w:rsid w:val="0E55234D"/>
    <w:rsid w:val="12DF3E96"/>
    <w:rsid w:val="151B699C"/>
    <w:rsid w:val="15410FDE"/>
    <w:rsid w:val="186D22C7"/>
    <w:rsid w:val="1A2E0D57"/>
    <w:rsid w:val="1B61067A"/>
    <w:rsid w:val="1B63601C"/>
    <w:rsid w:val="1FCD6C57"/>
    <w:rsid w:val="1FE96C05"/>
    <w:rsid w:val="237A5558"/>
    <w:rsid w:val="244C015C"/>
    <w:rsid w:val="29604270"/>
    <w:rsid w:val="29A34FDC"/>
    <w:rsid w:val="2C7E7C61"/>
    <w:rsid w:val="2DA24556"/>
    <w:rsid w:val="2E3B3926"/>
    <w:rsid w:val="2ED1049A"/>
    <w:rsid w:val="31EF79C7"/>
    <w:rsid w:val="345B087E"/>
    <w:rsid w:val="34DF500B"/>
    <w:rsid w:val="35490AE0"/>
    <w:rsid w:val="3AE27603"/>
    <w:rsid w:val="3CDE3DFA"/>
    <w:rsid w:val="3CF62CAE"/>
    <w:rsid w:val="3FB53538"/>
    <w:rsid w:val="415B41CE"/>
    <w:rsid w:val="41DD28D2"/>
    <w:rsid w:val="475F0886"/>
    <w:rsid w:val="48C02C38"/>
    <w:rsid w:val="4A7E0FD6"/>
    <w:rsid w:val="5385202A"/>
    <w:rsid w:val="538B4599"/>
    <w:rsid w:val="53D63625"/>
    <w:rsid w:val="571B2939"/>
    <w:rsid w:val="57FD3876"/>
    <w:rsid w:val="580C7FF6"/>
    <w:rsid w:val="587367BC"/>
    <w:rsid w:val="587D0513"/>
    <w:rsid w:val="58D7398C"/>
    <w:rsid w:val="59613991"/>
    <w:rsid w:val="5AFF3461"/>
    <w:rsid w:val="5C2B3CC1"/>
    <w:rsid w:val="60FB4FC1"/>
    <w:rsid w:val="61ED263E"/>
    <w:rsid w:val="62AF39BF"/>
    <w:rsid w:val="660F2C85"/>
    <w:rsid w:val="70F22B23"/>
    <w:rsid w:val="727E6F0A"/>
    <w:rsid w:val="747953AA"/>
    <w:rsid w:val="7BA636CF"/>
    <w:rsid w:val="7E4D2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6</Pages>
  <Words>4035</Words>
  <Characters>4277</Characters>
  <Lines>137</Lines>
  <Paragraphs>38</Paragraphs>
  <TotalTime>9</TotalTime>
  <ScaleCrop>false</ScaleCrop>
  <LinksUpToDate>false</LinksUpToDate>
  <CharactersWithSpaces>4285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Administrator</cp:lastModifiedBy>
  <cp:lastPrinted>2025-03-14T03:17:00Z</cp:lastPrinted>
  <dcterms:modified xsi:type="dcterms:W3CDTF">2025-07-03T03:11:55Z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eyJoZGlkIjoiMGExMjU5ZWZkNmNmZjkxMjhhMzFkM2QwOWEzMWM4M2QifQ==</vt:lpwstr>
  </property>
  <property fmtid="{D5CDD505-2E9C-101B-9397-08002B2CF9AE}" pid="4" name="ICV">
    <vt:lpwstr>7B7C555D5C3C4B5BA1E559E0D4382061_13</vt:lpwstr>
  </property>
</Properties>
</file>