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E79FC9">
      <w:pPr>
        <w:ind w:left="321" w:leftChars="153" w:right="227"/>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iCs/>
          <w:sz w:val="36"/>
          <w:szCs w:val="36"/>
          <w:u w:val="single"/>
        </w:rPr>
        <w:t>教育学</w:t>
      </w:r>
      <w:r>
        <w:rPr>
          <w:rFonts w:hint="eastAsia" w:ascii="方正小标宋简体" w:hAnsi="方正小标宋简体" w:eastAsia="方正小标宋简体" w:cs="方正小标宋简体"/>
          <w:b/>
          <w:bCs/>
          <w:sz w:val="36"/>
          <w:szCs w:val="36"/>
        </w:rPr>
        <w:t>专业直博生培养方案</w:t>
      </w:r>
    </w:p>
    <w:p w14:paraId="711A0741">
      <w:pPr>
        <w:ind w:left="321" w:leftChars="153" w:right="227"/>
        <w:jc w:val="center"/>
        <w:rPr>
          <w:rFonts w:ascii="方正小标宋简体" w:hAnsi="方正小标宋简体" w:eastAsia="方正小标宋简体" w:cs="方正小标宋简体"/>
          <w:b/>
          <w:bCs/>
          <w:sz w:val="28"/>
          <w:szCs w:val="28"/>
        </w:rPr>
      </w:pPr>
      <w:r>
        <w:rPr>
          <w:rFonts w:hint="eastAsia" w:ascii="方正小标宋简体" w:hAnsi="方正小标宋简体" w:eastAsia="方正小标宋简体" w:cs="方正小标宋简体"/>
          <w:b/>
          <w:bCs/>
          <w:sz w:val="28"/>
          <w:szCs w:val="28"/>
        </w:rPr>
        <w:t>（教育学院)</w:t>
      </w:r>
    </w:p>
    <w:p w14:paraId="7BE8AFF7">
      <w:pPr>
        <w:spacing w:line="360" w:lineRule="auto"/>
        <w:ind w:firstLine="560"/>
        <w:rPr>
          <w:rFonts w:ascii="方正小标宋简体" w:hAnsi="方正小标宋简体" w:eastAsia="方正小标宋简体" w:cs="方正小标宋简体"/>
          <w:bCs/>
          <w:sz w:val="28"/>
          <w:szCs w:val="28"/>
        </w:rPr>
      </w:pPr>
    </w:p>
    <w:p w14:paraId="1E577C3A">
      <w:pPr>
        <w:spacing w:line="360" w:lineRule="auto"/>
        <w:ind w:firstLine="56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一、专业名称、代码</w:t>
      </w:r>
    </w:p>
    <w:p w14:paraId="4094838A">
      <w:pPr>
        <w:widowControl/>
        <w:spacing w:line="360" w:lineRule="auto"/>
        <w:ind w:firstLine="960" w:firstLineChars="400"/>
        <w:jc w:val="left"/>
        <w:rPr>
          <w:rFonts w:ascii="宋体" w:hAnsi="宋体" w:cs="方正小标宋简体"/>
          <w:kern w:val="0"/>
          <w:sz w:val="24"/>
        </w:rPr>
      </w:pPr>
      <w:r>
        <w:rPr>
          <w:rFonts w:hint="eastAsia" w:ascii="宋体" w:hAnsi="宋体" w:cs="方正小标宋简体"/>
          <w:kern w:val="0"/>
          <w:sz w:val="24"/>
        </w:rPr>
        <w:t>专业名称：教育学</w:t>
      </w:r>
    </w:p>
    <w:p w14:paraId="379566F6">
      <w:pPr>
        <w:widowControl/>
        <w:spacing w:line="360" w:lineRule="auto"/>
        <w:ind w:firstLine="960" w:firstLineChars="400"/>
        <w:jc w:val="left"/>
        <w:rPr>
          <w:rFonts w:ascii="宋体" w:hAnsi="宋体" w:cs="方正小标宋简体"/>
          <w:kern w:val="0"/>
          <w:sz w:val="24"/>
        </w:rPr>
      </w:pPr>
      <w:r>
        <w:rPr>
          <w:rFonts w:hint="eastAsia" w:ascii="宋体" w:hAnsi="宋体" w:cs="方正小标宋简体"/>
          <w:kern w:val="0"/>
          <w:sz w:val="24"/>
        </w:rPr>
        <w:t>专业代码：</w:t>
      </w:r>
      <w:r>
        <w:rPr>
          <w:rFonts w:ascii="宋体" w:hAnsi="宋体" w:cs="方正小标宋简体"/>
          <w:kern w:val="0"/>
          <w:sz w:val="24"/>
        </w:rPr>
        <w:t>0401</w:t>
      </w:r>
    </w:p>
    <w:p w14:paraId="2E65ACE5">
      <w:pPr>
        <w:spacing w:line="360" w:lineRule="auto"/>
        <w:ind w:firstLine="560" w:firstLineChars="200"/>
        <w:rPr>
          <w:rFonts w:ascii="方正小标宋简体" w:hAnsi="方正小标宋简体" w:eastAsia="方正小标宋简体" w:cs="方正小标宋简体"/>
          <w:bCs/>
          <w:i/>
          <w:sz w:val="28"/>
          <w:szCs w:val="28"/>
        </w:rPr>
      </w:pPr>
      <w:r>
        <w:rPr>
          <w:rFonts w:hint="eastAsia" w:ascii="方正小标宋简体" w:hAnsi="方正小标宋简体" w:eastAsia="方正小标宋简体" w:cs="方正小标宋简体"/>
          <w:bCs/>
          <w:sz w:val="28"/>
          <w:szCs w:val="28"/>
        </w:rPr>
        <w:t>二、专业简介</w:t>
      </w:r>
    </w:p>
    <w:p w14:paraId="4E11B2EC">
      <w:pPr>
        <w:spacing w:line="360" w:lineRule="auto"/>
        <w:ind w:firstLine="480" w:firstLineChars="200"/>
        <w:rPr>
          <w:rFonts w:ascii="宋体" w:hAnsi="宋体" w:cs="方正小标宋简体"/>
          <w:sz w:val="24"/>
        </w:rPr>
      </w:pPr>
      <w:r>
        <w:rPr>
          <w:rFonts w:hint="eastAsia" w:ascii="宋体" w:hAnsi="宋体" w:cs="方正小标宋简体"/>
          <w:sz w:val="24"/>
        </w:rPr>
        <w:t>教育学学术学位博士是高等学校根据国家和地区经济与社会发展对教育学类人才培养的需求提出申请，经教育部审核批准而设置的博士研究生专业门类，旨在培养适应国家和地方社会经济发展需要的高层次教育学学术研究专门人才。教育学学科专业代码为0401，可授教育学博士学位。</w:t>
      </w:r>
    </w:p>
    <w:p w14:paraId="54B529AC">
      <w:pPr>
        <w:spacing w:line="360" w:lineRule="auto"/>
        <w:ind w:firstLine="480" w:firstLineChars="200"/>
        <w:rPr>
          <w:rFonts w:ascii="宋体" w:hAnsi="宋体" w:cs="方正小标宋简体"/>
          <w:sz w:val="24"/>
        </w:rPr>
      </w:pPr>
      <w:r>
        <w:rPr>
          <w:rFonts w:hint="eastAsia" w:ascii="宋体" w:hAnsi="宋体" w:cs="方正小标宋简体"/>
          <w:sz w:val="24"/>
        </w:rPr>
        <w:t>河北大学教育学院是国内较早开展教育学学术学位博士人才培养的院校。1986年，获批全国第一个外国教育史专业博士点；2007年建成教育学一级学科博士后科研流动站； 2018年获批教育学一级学科博士学位授予权。在欧美教育史、日本教育史、中国教育史、比较教育学、高等教育学、教育学原理等方向形成鲜明的学科特色。</w:t>
      </w:r>
    </w:p>
    <w:p w14:paraId="39906598">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三、研究方向</w:t>
      </w:r>
    </w:p>
    <w:p w14:paraId="7368D3C8">
      <w:pPr>
        <w:spacing w:line="360" w:lineRule="auto"/>
        <w:ind w:firstLine="480" w:firstLineChars="200"/>
        <w:rPr>
          <w:rFonts w:ascii="宋体" w:hAnsi="宋体"/>
          <w:color w:val="000000"/>
          <w:sz w:val="24"/>
        </w:rPr>
      </w:pPr>
      <w:r>
        <w:rPr>
          <w:rFonts w:hint="eastAsia" w:ascii="宋体" w:hAnsi="宋体"/>
          <w:color w:val="000000"/>
          <w:sz w:val="24"/>
        </w:rPr>
        <w:t>本学科目前设有教育史、比较教育学、高等教育学3个研究方向和教育心理与学生发展1个二级学科。</w:t>
      </w:r>
    </w:p>
    <w:p w14:paraId="153735C5">
      <w:pPr>
        <w:spacing w:line="360" w:lineRule="auto"/>
        <w:ind w:firstLine="480" w:firstLineChars="200"/>
        <w:rPr>
          <w:rFonts w:ascii="宋体" w:hAnsi="宋体"/>
          <w:bCs/>
          <w:color w:val="000000"/>
          <w:sz w:val="24"/>
        </w:rPr>
      </w:pPr>
      <w:r>
        <w:rPr>
          <w:rFonts w:hint="eastAsia" w:ascii="宋体" w:hAnsi="宋体"/>
          <w:bCs/>
          <w:color w:val="000000"/>
          <w:sz w:val="24"/>
        </w:rPr>
        <w:t>（一）教育史</w:t>
      </w:r>
    </w:p>
    <w:p w14:paraId="6DF56FD7">
      <w:pPr>
        <w:spacing w:line="360" w:lineRule="auto"/>
        <w:ind w:firstLine="480" w:firstLineChars="200"/>
        <w:rPr>
          <w:rFonts w:ascii="宋体" w:hAnsi="宋体"/>
          <w:color w:val="000000"/>
          <w:sz w:val="24"/>
        </w:rPr>
      </w:pPr>
      <w:r>
        <w:rPr>
          <w:rFonts w:hint="eastAsia" w:ascii="宋体" w:hAnsi="宋体"/>
          <w:color w:val="000000"/>
          <w:sz w:val="24"/>
        </w:rPr>
        <w:t>从1986年获得博士学位授予权以来，教育史学科在保持传统优势研究方向的基础上，积极开拓新的研究领域。目前开设有欧美教育史、日本教育史和中国教育史三个具体的研究方向。</w:t>
      </w:r>
    </w:p>
    <w:p w14:paraId="473829DB">
      <w:pPr>
        <w:spacing w:line="360" w:lineRule="auto"/>
        <w:ind w:firstLine="480" w:firstLineChars="200"/>
        <w:rPr>
          <w:rFonts w:ascii="宋体" w:hAnsi="宋体"/>
          <w:color w:val="000000"/>
          <w:sz w:val="24"/>
        </w:rPr>
      </w:pPr>
      <w:r>
        <w:rPr>
          <w:rFonts w:hint="eastAsia" w:ascii="宋体" w:hAnsi="宋体"/>
          <w:color w:val="000000"/>
          <w:sz w:val="24"/>
        </w:rPr>
        <w:t>1．欧美教育史</w:t>
      </w:r>
    </w:p>
    <w:p w14:paraId="26DC8270">
      <w:pPr>
        <w:spacing w:line="360" w:lineRule="auto"/>
        <w:ind w:firstLine="480" w:firstLineChars="200"/>
        <w:rPr>
          <w:rFonts w:ascii="宋体" w:hAnsi="宋体"/>
          <w:color w:val="000000"/>
          <w:sz w:val="24"/>
        </w:rPr>
      </w:pPr>
      <w:r>
        <w:rPr>
          <w:rFonts w:hint="eastAsia" w:ascii="宋体" w:hAnsi="宋体"/>
          <w:color w:val="000000"/>
          <w:sz w:val="24"/>
        </w:rPr>
        <w:t>本方向旨在通过系统、全面地研究欧美主要国家历史发展各阶段的教育实践活动和教育思想，探究教育发展变化的规律。研究内容大体可分为教育实际（教育制度）和教育思想（教育理论）两个方面。本方向在美国教育史及外国高等教育史、外国职业教育史等领域的研究有较扎实的基础和较大的学术影响。</w:t>
      </w:r>
    </w:p>
    <w:p w14:paraId="6B1BECC8">
      <w:pPr>
        <w:spacing w:line="360" w:lineRule="auto"/>
        <w:ind w:firstLine="480" w:firstLineChars="200"/>
        <w:rPr>
          <w:rFonts w:ascii="宋体" w:hAnsi="宋体"/>
          <w:color w:val="000000"/>
          <w:sz w:val="24"/>
        </w:rPr>
      </w:pPr>
      <w:r>
        <w:rPr>
          <w:rFonts w:hint="eastAsia" w:ascii="宋体" w:hAnsi="宋体"/>
          <w:color w:val="000000"/>
          <w:sz w:val="24"/>
        </w:rPr>
        <w:t>2、日本教育史</w:t>
      </w:r>
    </w:p>
    <w:p w14:paraId="3AE27752">
      <w:pPr>
        <w:spacing w:line="360" w:lineRule="auto"/>
        <w:ind w:firstLine="480" w:firstLineChars="200"/>
        <w:rPr>
          <w:rFonts w:ascii="宋体" w:hAnsi="宋体"/>
          <w:color w:val="000000"/>
          <w:sz w:val="24"/>
        </w:rPr>
      </w:pPr>
      <w:r>
        <w:rPr>
          <w:rFonts w:hint="eastAsia" w:ascii="宋体" w:hAnsi="宋体"/>
          <w:color w:val="000000"/>
          <w:sz w:val="24"/>
        </w:rPr>
        <w:t>本方向以日本历史上的教育现象为研究对象，旨在通过对日本教育制度的确立和变革、教育思想发展和演变历史的研究，探究在日本特殊的社会经济、政治、文化环境下，教育发展的特殊规律和不同历史时期教育的阶段性特征。本方向日本职业教育史、近现代教育改革史等领域积累了较为丰富的成果，产生了较大的学术影响。</w:t>
      </w:r>
    </w:p>
    <w:p w14:paraId="4B15C56B">
      <w:pPr>
        <w:spacing w:line="360" w:lineRule="auto"/>
        <w:ind w:firstLine="480" w:firstLineChars="200"/>
        <w:rPr>
          <w:rFonts w:ascii="宋体" w:hAnsi="宋体"/>
          <w:color w:val="000000"/>
          <w:sz w:val="24"/>
        </w:rPr>
      </w:pPr>
      <w:r>
        <w:rPr>
          <w:rFonts w:hint="eastAsia" w:ascii="宋体" w:hAnsi="宋体"/>
          <w:color w:val="000000"/>
          <w:sz w:val="24"/>
        </w:rPr>
        <w:t>3、中国教育史</w:t>
      </w:r>
    </w:p>
    <w:p w14:paraId="783A1F14">
      <w:pPr>
        <w:spacing w:line="360" w:lineRule="auto"/>
        <w:ind w:firstLine="480" w:firstLineChars="200"/>
        <w:rPr>
          <w:rFonts w:ascii="宋体" w:hAnsi="宋体"/>
          <w:color w:val="000000"/>
          <w:sz w:val="24"/>
        </w:rPr>
      </w:pPr>
      <w:r>
        <w:rPr>
          <w:rFonts w:hint="eastAsia" w:ascii="宋体" w:hAnsi="宋体"/>
          <w:color w:val="000000"/>
          <w:sz w:val="24"/>
        </w:rPr>
        <w:t>中国教育史通过研究中国教育制度、教育思想的发展演变的历史，探究中国教育发展的规律和不同历史时期教育发展的特殊性。研究内容大体包括：历朝历代文教政策及教育制度；中国著名教育家、教育流派、教育改革运动；中国各级各类教育的建立和发展历史，如初等、中等、高等、师范教育史等。近年来，本方向在中国近现代职业教育史、中小学教材史、民国大学史、中国传统文化与教育、区域教育史等领域形成了较为稳定的研究特色。</w:t>
      </w:r>
    </w:p>
    <w:p w14:paraId="0A96BEA4">
      <w:pPr>
        <w:spacing w:line="360" w:lineRule="auto"/>
        <w:ind w:firstLine="480" w:firstLineChars="200"/>
        <w:rPr>
          <w:rFonts w:ascii="宋体" w:hAnsi="宋体"/>
          <w:bCs/>
          <w:color w:val="000000"/>
          <w:sz w:val="24"/>
        </w:rPr>
      </w:pPr>
      <w:r>
        <w:rPr>
          <w:rFonts w:hint="eastAsia" w:ascii="宋体" w:hAnsi="宋体"/>
          <w:bCs/>
          <w:color w:val="000000"/>
          <w:sz w:val="24"/>
        </w:rPr>
        <w:t>（二）比较教育学</w:t>
      </w:r>
    </w:p>
    <w:p w14:paraId="367E2227">
      <w:pPr>
        <w:spacing w:line="360" w:lineRule="auto"/>
        <w:ind w:firstLine="480" w:firstLineChars="200"/>
        <w:rPr>
          <w:rFonts w:ascii="宋体" w:hAnsi="宋体"/>
          <w:sz w:val="24"/>
        </w:rPr>
      </w:pPr>
      <w:r>
        <w:rPr>
          <w:rFonts w:hint="eastAsia"/>
          <w:sz w:val="24"/>
        </w:rPr>
        <w:t>本学科秉承“国际视野，本土行动”的基本理念，以全球教育为研究对象，对当代不同国家或地区的教育进行跨文化比较研究，以探讨教育发展的普遍规律及特定表现形式，借鉴国外教育发展的有益经验，推动本国和地区的教育研究和改革。在比较教育学科理论、中外高等教育比较、课程与教学比较等专题比较以及中美、中日、中英教育等国别教育比较方面积累了大量研究成果，形成了学科优势与特色。在已有的研究基础上，本学科点设置了4个相对独立又相互交叉的研究方向。</w:t>
      </w:r>
    </w:p>
    <w:p w14:paraId="762544ED">
      <w:pPr>
        <w:spacing w:line="360" w:lineRule="auto"/>
        <w:ind w:firstLine="480" w:firstLineChars="200"/>
        <w:rPr>
          <w:rFonts w:ascii="宋体" w:hAnsi="宋体"/>
          <w:color w:val="000000"/>
          <w:sz w:val="24"/>
        </w:rPr>
      </w:pPr>
      <w:r>
        <w:rPr>
          <w:rFonts w:hint="eastAsia" w:ascii="宋体" w:hAnsi="宋体"/>
          <w:color w:val="000000"/>
          <w:sz w:val="24"/>
        </w:rPr>
        <w:t>1、比较教育理论与政策研究</w:t>
      </w:r>
    </w:p>
    <w:p w14:paraId="20C83069">
      <w:pPr>
        <w:spacing w:line="360" w:lineRule="auto"/>
        <w:ind w:firstLine="480" w:firstLineChars="200"/>
        <w:rPr>
          <w:rFonts w:ascii="宋体" w:hAnsi="宋体"/>
          <w:color w:val="000000"/>
          <w:sz w:val="24"/>
        </w:rPr>
      </w:pPr>
      <w:r>
        <w:rPr>
          <w:rFonts w:hint="eastAsia" w:ascii="宋体" w:hAnsi="宋体"/>
          <w:color w:val="000000"/>
          <w:sz w:val="24"/>
        </w:rPr>
        <w:t>本方向以比较教育学的学科基础理论及各国教育政策为研究对象，了解国内外比较教育学科的发展现状，掌握比较教育学科基本研究范式、各国教育政策及改革的趋势，教育社会学对比较教育的影响等，形成运用比较教育基础理论分析问题和解决问题的能力。在比较教育思想研究、比较教育研究方法、各国教育改革和比较教育社会形态类型研究等领域形成了显著特色。</w:t>
      </w:r>
    </w:p>
    <w:p w14:paraId="0A74A72D">
      <w:pPr>
        <w:spacing w:line="360" w:lineRule="auto"/>
        <w:ind w:firstLine="480" w:firstLineChars="200"/>
        <w:rPr>
          <w:rFonts w:ascii="宋体" w:hAnsi="宋体"/>
          <w:color w:val="000000"/>
          <w:sz w:val="24"/>
        </w:rPr>
      </w:pPr>
      <w:r>
        <w:rPr>
          <w:rFonts w:hint="eastAsia" w:ascii="宋体" w:hAnsi="宋体"/>
          <w:color w:val="000000"/>
          <w:sz w:val="24"/>
        </w:rPr>
        <w:t>2、高等教育比较研究</w:t>
      </w:r>
    </w:p>
    <w:p w14:paraId="2ECEA338">
      <w:pPr>
        <w:spacing w:line="360" w:lineRule="auto"/>
        <w:ind w:firstLine="480" w:firstLineChars="200"/>
        <w:rPr>
          <w:rFonts w:ascii="宋体" w:hAnsi="宋体"/>
          <w:color w:val="000000"/>
          <w:sz w:val="24"/>
        </w:rPr>
      </w:pPr>
      <w:r>
        <w:rPr>
          <w:rFonts w:hint="eastAsia" w:ascii="宋体" w:hAnsi="宋体"/>
          <w:color w:val="000000"/>
          <w:sz w:val="24"/>
        </w:rPr>
        <w:t>本方向以当前高等教育发达且在国际上有重要影响的国家为研究对象，掌握当前国际高等教育的发展现状及未来趋势，比较国家间高等教育的异同，了解各国高等教育差异的成因，并借鉴国外发达国家高等教育经验，结合实际促进我国高等教育发展。在高等教育治理和研究生教育比较等领域形成了明显的研究特色。</w:t>
      </w:r>
    </w:p>
    <w:p w14:paraId="3E21FBC8">
      <w:pPr>
        <w:spacing w:line="360" w:lineRule="auto"/>
        <w:ind w:firstLine="480" w:firstLineChars="200"/>
        <w:rPr>
          <w:rFonts w:ascii="宋体" w:hAnsi="宋体"/>
          <w:color w:val="000000"/>
          <w:sz w:val="24"/>
        </w:rPr>
      </w:pPr>
      <w:r>
        <w:rPr>
          <w:rFonts w:hint="eastAsia" w:ascii="宋体" w:hAnsi="宋体"/>
          <w:color w:val="000000"/>
          <w:sz w:val="24"/>
        </w:rPr>
        <w:t>3、成人与职业教育比较研究</w:t>
      </w:r>
    </w:p>
    <w:p w14:paraId="3DB86827">
      <w:pPr>
        <w:spacing w:line="360" w:lineRule="auto"/>
        <w:ind w:firstLine="480" w:firstLineChars="200"/>
        <w:rPr>
          <w:rFonts w:ascii="宋体" w:hAnsi="宋体"/>
          <w:color w:val="000000"/>
          <w:sz w:val="24"/>
        </w:rPr>
      </w:pPr>
      <w:r>
        <w:rPr>
          <w:rFonts w:hint="eastAsia" w:ascii="宋体" w:hAnsi="宋体"/>
          <w:color w:val="000000"/>
          <w:sz w:val="24"/>
        </w:rPr>
        <w:t>本方向以当前成人教育和职业教育在国际上具有重要影响的国家为研究对象，掌握当前国际成人教育和职业教育的发展现状及未来趋势，比较国家间成人教育和职业教育的异同，了解各国成人教育和职业教育差异的成因，并借鉴国外发达国家成人教育和职业教育的成功经验，结合实际促进我国成人教育和职业教育的发展。在成人学习理论、成人职业教育、职业高等教育等方面形成了鲜明的研究特色。</w:t>
      </w:r>
    </w:p>
    <w:p w14:paraId="0D41D148">
      <w:pPr>
        <w:spacing w:line="360" w:lineRule="auto"/>
        <w:ind w:firstLine="480" w:firstLineChars="200"/>
        <w:rPr>
          <w:rFonts w:ascii="宋体" w:hAnsi="宋体"/>
          <w:color w:val="000000"/>
          <w:sz w:val="24"/>
        </w:rPr>
      </w:pPr>
      <w:r>
        <w:rPr>
          <w:rFonts w:hint="eastAsia" w:ascii="宋体" w:hAnsi="宋体"/>
          <w:color w:val="000000"/>
          <w:sz w:val="24"/>
        </w:rPr>
        <w:t>4、课程与教学比较研究</w:t>
      </w:r>
    </w:p>
    <w:p w14:paraId="1C0ADC7B">
      <w:pPr>
        <w:spacing w:line="360" w:lineRule="auto"/>
        <w:ind w:firstLine="480" w:firstLineChars="200"/>
        <w:rPr>
          <w:rFonts w:ascii="宋体" w:hAnsi="宋体"/>
          <w:color w:val="000000"/>
          <w:sz w:val="24"/>
        </w:rPr>
      </w:pPr>
      <w:r>
        <w:rPr>
          <w:rFonts w:hint="eastAsia" w:ascii="宋体" w:hAnsi="宋体"/>
          <w:color w:val="000000"/>
          <w:sz w:val="24"/>
        </w:rPr>
        <w:t>本方向以世界主要国家基础教育与高等教育领域的课程与教学为研究对象，了解其社会文化及主要课程与教学思想流派和观点，把握主要发达国家和个别发展中国家的课程与教学发展的历史与现状，探寻世界各国课程与教学发展的普遍原理。在注重文化理解的视野和创造国内的田野体验等方面形成了较强的研究特色。</w:t>
      </w:r>
    </w:p>
    <w:p w14:paraId="60DBE05C">
      <w:pPr>
        <w:spacing w:line="360" w:lineRule="auto"/>
        <w:ind w:firstLine="480" w:firstLineChars="200"/>
        <w:rPr>
          <w:rFonts w:ascii="宋体" w:hAnsi="宋体"/>
          <w:bCs/>
          <w:color w:val="000000"/>
          <w:sz w:val="24"/>
        </w:rPr>
      </w:pPr>
      <w:r>
        <w:rPr>
          <w:rFonts w:hint="eastAsia" w:ascii="宋体" w:hAnsi="宋体"/>
          <w:bCs/>
          <w:color w:val="000000"/>
          <w:sz w:val="24"/>
        </w:rPr>
        <w:t>（三）高等教育学</w:t>
      </w:r>
    </w:p>
    <w:p w14:paraId="69CC0EBF">
      <w:pPr>
        <w:spacing w:line="440" w:lineRule="exact"/>
        <w:ind w:firstLine="480" w:firstLineChars="200"/>
        <w:rPr>
          <w:sz w:val="24"/>
        </w:rPr>
      </w:pPr>
      <w:r>
        <w:rPr>
          <w:rFonts w:hint="eastAsia"/>
          <w:sz w:val="24"/>
        </w:rPr>
        <w:t>高等教育学是一门以高等教育的运行形态和发展基本规律为研究对象的具有综合性、理论性和应用性的学科。本专业旨在培养能够在高等学校、教育行政管理部门以及教育科学研究机构从事高等教育教学、研究和管理工作的高级专门人才。本专业博士毕业生应具备坚实的高等教育基础理论和系统的专业知识，掌握现代教育与管理的技能和方法，具有独立开展科学研究和取得创新性研究成果的能力。</w:t>
      </w:r>
    </w:p>
    <w:p w14:paraId="29CD1F66">
      <w:pPr>
        <w:spacing w:line="440" w:lineRule="exact"/>
        <w:ind w:firstLine="480" w:firstLineChars="200"/>
        <w:rPr>
          <w:sz w:val="24"/>
        </w:rPr>
      </w:pPr>
      <w:r>
        <w:rPr>
          <w:rFonts w:hint="eastAsia"/>
          <w:sz w:val="24"/>
        </w:rPr>
        <w:t>本专业设有高等教育理论、高等教育管理、高等教育质量监测与评估三个具体研究方向，形成了“跨学科培养、实践导向、注重应用”的培养特色。</w:t>
      </w:r>
    </w:p>
    <w:p w14:paraId="272DD610">
      <w:pPr>
        <w:spacing w:line="440" w:lineRule="exact"/>
        <w:ind w:firstLine="480" w:firstLineChars="200"/>
        <w:rPr>
          <w:sz w:val="24"/>
        </w:rPr>
      </w:pPr>
      <w:r>
        <w:rPr>
          <w:rFonts w:hint="eastAsia"/>
          <w:sz w:val="24"/>
        </w:rPr>
        <w:t>1、高等教育理论</w:t>
      </w:r>
    </w:p>
    <w:p w14:paraId="74EAFB60">
      <w:pPr>
        <w:spacing w:line="440" w:lineRule="exact"/>
        <w:ind w:firstLine="480" w:firstLineChars="200"/>
        <w:rPr>
          <w:sz w:val="24"/>
        </w:rPr>
      </w:pPr>
      <w:r>
        <w:rPr>
          <w:rFonts w:hint="eastAsia"/>
          <w:sz w:val="24"/>
        </w:rPr>
        <w:t>本方向主要研究高等教育的本质、功能、目的及其发展规律，通过对高等教育的基本概念、理论和方法的探讨，为其他研究领域提供理论支撑。主要研究领域包括：高等教育学学科建设、高等教育理论建构、中国高等教育改革发展与经验总结研究。</w:t>
      </w:r>
    </w:p>
    <w:p w14:paraId="195470B3">
      <w:pPr>
        <w:spacing w:line="440" w:lineRule="exact"/>
        <w:ind w:firstLine="480" w:firstLineChars="200"/>
        <w:rPr>
          <w:sz w:val="24"/>
        </w:rPr>
      </w:pPr>
      <w:r>
        <w:rPr>
          <w:rFonts w:hint="eastAsia"/>
          <w:sz w:val="24"/>
        </w:rPr>
        <w:t>2、高等教育管理</w:t>
      </w:r>
    </w:p>
    <w:p w14:paraId="6DF563AA">
      <w:pPr>
        <w:spacing w:line="440" w:lineRule="exact"/>
        <w:ind w:firstLine="480" w:firstLineChars="200"/>
        <w:rPr>
          <w:sz w:val="24"/>
        </w:rPr>
      </w:pPr>
      <w:r>
        <w:rPr>
          <w:rFonts w:hint="eastAsia"/>
          <w:sz w:val="24"/>
        </w:rPr>
        <w:t>本方向主要研究各类高等教育行政管理、高校内部治理、高校历史与发展等。主要研究领域包括：高校内部管理与决策、地方高校高质量发展、高等教育数字化治理等。</w:t>
      </w:r>
    </w:p>
    <w:p w14:paraId="03F63A98">
      <w:pPr>
        <w:spacing w:line="440" w:lineRule="exact"/>
        <w:ind w:firstLine="480" w:firstLineChars="200"/>
        <w:rPr>
          <w:sz w:val="24"/>
        </w:rPr>
      </w:pPr>
      <w:r>
        <w:rPr>
          <w:rFonts w:hint="eastAsia"/>
          <w:sz w:val="24"/>
        </w:rPr>
        <w:t>3、高等教育质量监测与评估</w:t>
      </w:r>
    </w:p>
    <w:p w14:paraId="2DBEFE54">
      <w:pPr>
        <w:spacing w:line="440" w:lineRule="exact"/>
        <w:ind w:firstLine="480" w:firstLineChars="200"/>
        <w:rPr>
          <w:sz w:val="24"/>
        </w:rPr>
      </w:pPr>
      <w:r>
        <w:rPr>
          <w:rFonts w:hint="eastAsia"/>
          <w:sz w:val="24"/>
        </w:rPr>
        <w:t>本方向主要研究不同时期高等教育质量与保障之间的关系。主要研究领域包括高等教育质量评估、大数据与高校教学质量监测、高校教师专业发展与教学能力培养、高校学科专业调整等。</w:t>
      </w:r>
    </w:p>
    <w:p w14:paraId="588BCD00">
      <w:pPr>
        <w:spacing w:line="360" w:lineRule="auto"/>
        <w:ind w:left="482"/>
        <w:rPr>
          <w:rFonts w:ascii="宋体" w:hAnsi="宋体"/>
          <w:bCs/>
          <w:color w:val="000000"/>
          <w:sz w:val="24"/>
        </w:rPr>
      </w:pPr>
      <w:r>
        <w:rPr>
          <w:rFonts w:hint="eastAsia" w:ascii="宋体" w:hAnsi="宋体"/>
          <w:bCs/>
          <w:color w:val="000000"/>
          <w:sz w:val="24"/>
        </w:rPr>
        <w:t>（四）教育心理与学生发展（0401Z2）</w:t>
      </w:r>
    </w:p>
    <w:p w14:paraId="60520006">
      <w:pPr>
        <w:spacing w:line="360" w:lineRule="auto"/>
        <w:ind w:firstLine="480" w:firstLineChars="200"/>
        <w:rPr>
          <w:rFonts w:ascii="宋体" w:hAnsi="宋体"/>
          <w:color w:val="000000"/>
          <w:sz w:val="24"/>
        </w:rPr>
      </w:pPr>
      <w:r>
        <w:rPr>
          <w:rFonts w:hint="eastAsia" w:ascii="宋体" w:hAnsi="宋体"/>
          <w:color w:val="000000"/>
          <w:sz w:val="24"/>
        </w:rPr>
        <w:t>教育心理与学生发展是在教育学一级学科下设的二级学科博士点，本学科研究教育情境中个体心理活动及其发展变化机制、规律和有效促进策略。主要研究方向包括：学习心理与教学设计、教育心理与人因工程、学校心理咨询。</w:t>
      </w:r>
    </w:p>
    <w:p w14:paraId="682C8C8C">
      <w:pPr>
        <w:spacing w:line="360" w:lineRule="auto"/>
        <w:ind w:firstLine="480" w:firstLineChars="200"/>
        <w:rPr>
          <w:rFonts w:ascii="宋体" w:hAnsi="宋体"/>
          <w:color w:val="000000"/>
          <w:sz w:val="24"/>
        </w:rPr>
      </w:pPr>
      <w:r>
        <w:rPr>
          <w:rFonts w:hint="eastAsia" w:ascii="宋体" w:hAnsi="宋体"/>
          <w:color w:val="000000"/>
          <w:sz w:val="24"/>
        </w:rPr>
        <w:t>1、学习心理与教学设计</w:t>
      </w:r>
    </w:p>
    <w:p w14:paraId="5E37E1AF">
      <w:pPr>
        <w:spacing w:line="360" w:lineRule="auto"/>
        <w:ind w:firstLine="480" w:firstLineChars="200"/>
        <w:rPr>
          <w:rFonts w:ascii="宋体" w:hAnsi="宋体"/>
          <w:color w:val="000000"/>
          <w:sz w:val="24"/>
        </w:rPr>
      </w:pPr>
      <w:r>
        <w:rPr>
          <w:rFonts w:hint="eastAsia" w:ascii="宋体" w:hAnsi="宋体"/>
          <w:color w:val="000000"/>
          <w:sz w:val="24"/>
        </w:rPr>
        <w:t>本方向聚焦于学习心理与教学设计的前沿问题，重点探讨高效率学习的心理机制和教学设计模式。主要研究领域包括：高效率学习的认知机制，有意遗忘的认知机制及发展特点，认知灵活性的发展与促进机制，词汇阅读与语言发展的脑机制，创造力的认知机制与促进，学习动机的影响因素及教学策略，教育信息化视野下学习方式变革等。</w:t>
      </w:r>
    </w:p>
    <w:p w14:paraId="54C777F5">
      <w:pPr>
        <w:spacing w:line="360" w:lineRule="auto"/>
        <w:ind w:firstLine="480" w:firstLineChars="200"/>
        <w:rPr>
          <w:rFonts w:ascii="宋体" w:hAnsi="宋体"/>
          <w:color w:val="000000"/>
          <w:sz w:val="24"/>
        </w:rPr>
      </w:pPr>
      <w:r>
        <w:rPr>
          <w:rFonts w:hint="eastAsia" w:ascii="宋体" w:hAnsi="宋体"/>
          <w:color w:val="000000"/>
          <w:sz w:val="24"/>
        </w:rPr>
        <w:t>2、教育心理与人因工程</w:t>
      </w:r>
    </w:p>
    <w:p w14:paraId="680EA160">
      <w:pPr>
        <w:spacing w:line="360" w:lineRule="auto"/>
        <w:ind w:firstLine="480" w:firstLineChars="200"/>
        <w:rPr>
          <w:rFonts w:ascii="宋体" w:hAnsi="宋体"/>
          <w:color w:val="000000"/>
          <w:sz w:val="24"/>
        </w:rPr>
      </w:pPr>
      <w:r>
        <w:rPr>
          <w:rFonts w:hint="eastAsia" w:ascii="宋体" w:hAnsi="宋体"/>
          <w:color w:val="000000"/>
          <w:sz w:val="24"/>
        </w:rPr>
        <w:t>本方向聚焦于人因工程视角，重点探讨学生的心理发展规律与教学心理问题。主要研究领域包括：增强现实（AR）学习，校园欺凌/社会排斥与数字化干预，AR和VR场景下的道德决策研究。</w:t>
      </w:r>
    </w:p>
    <w:p w14:paraId="329AE1CD">
      <w:pPr>
        <w:spacing w:line="360" w:lineRule="auto"/>
        <w:ind w:firstLine="480" w:firstLineChars="200"/>
        <w:rPr>
          <w:rFonts w:ascii="宋体" w:hAnsi="宋体"/>
          <w:color w:val="000000"/>
          <w:sz w:val="24"/>
        </w:rPr>
      </w:pPr>
      <w:r>
        <w:rPr>
          <w:rFonts w:hint="eastAsia" w:ascii="宋体" w:hAnsi="宋体"/>
          <w:color w:val="000000"/>
          <w:sz w:val="24"/>
        </w:rPr>
        <w:t>3、学校心理咨询</w:t>
      </w:r>
    </w:p>
    <w:p w14:paraId="50DCD4A3">
      <w:pPr>
        <w:spacing w:line="360" w:lineRule="auto"/>
        <w:ind w:firstLine="480" w:firstLineChars="200"/>
        <w:rPr>
          <w:rFonts w:ascii="宋体" w:hAnsi="宋体"/>
          <w:color w:val="000000"/>
          <w:sz w:val="24"/>
        </w:rPr>
      </w:pPr>
      <w:r>
        <w:rPr>
          <w:rFonts w:hint="eastAsia" w:ascii="宋体" w:hAnsi="宋体"/>
          <w:color w:val="000000"/>
          <w:sz w:val="24"/>
        </w:rPr>
        <w:t>本方向聚焦于儿童青少年心理健康问题，重点探讨学生心理健康的影响因素及其内在机制、学生心理健康常见问题评估及干预。主要研究领域包括：睡眠与身心健康，青少年情绪和行为问题的机制和预防干预，心理弹性机制和发展，儿童青少年的自我发展，青少年网络成瘾的影响因素研究。</w:t>
      </w:r>
    </w:p>
    <w:p w14:paraId="34545C29">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四、学制及学习年限</w:t>
      </w:r>
    </w:p>
    <w:p w14:paraId="1B13C02B">
      <w:pPr>
        <w:spacing w:line="360" w:lineRule="auto"/>
        <w:ind w:firstLine="480" w:firstLineChars="200"/>
        <w:rPr>
          <w:rFonts w:ascii="宋体" w:hAnsi="宋体"/>
          <w:color w:val="000000"/>
          <w:sz w:val="24"/>
        </w:rPr>
      </w:pPr>
      <w:r>
        <w:rPr>
          <w:rFonts w:hint="eastAsia" w:ascii="宋体" w:hAnsi="宋体"/>
          <w:color w:val="000000"/>
          <w:sz w:val="24"/>
        </w:rPr>
        <w:t>本专业学制为5年，在校最长学习年限（含休学）不超过8年。</w:t>
      </w:r>
    </w:p>
    <w:p w14:paraId="528BD663">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五、培养目标</w:t>
      </w:r>
    </w:p>
    <w:p w14:paraId="5B0DC8D5">
      <w:pPr>
        <w:spacing w:line="360" w:lineRule="auto"/>
        <w:ind w:firstLine="480" w:firstLineChars="200"/>
        <w:rPr>
          <w:rFonts w:ascii="宋体" w:hAnsi="宋体"/>
          <w:color w:val="000000"/>
          <w:sz w:val="24"/>
        </w:rPr>
      </w:pPr>
      <w:r>
        <w:rPr>
          <w:rFonts w:hint="eastAsia" w:ascii="宋体" w:hAnsi="宋体"/>
          <w:color w:val="000000"/>
          <w:sz w:val="24"/>
        </w:rPr>
        <w:t>1．</w:t>
      </w:r>
      <w:r>
        <w:rPr>
          <w:rFonts w:ascii="宋体" w:hAnsi="宋体"/>
          <w:color w:val="000000"/>
          <w:sz w:val="24"/>
        </w:rPr>
        <w:t>树立正确的中国特色社会主义核心价值观，具有坚定的理想信念，高尚的道德情操，优良的学术作风，高度的社会责任感。</w:t>
      </w:r>
      <w:r>
        <w:rPr>
          <w:rFonts w:hint="eastAsia" w:ascii="宋体" w:hAnsi="宋体"/>
          <w:color w:val="000000"/>
          <w:sz w:val="24"/>
        </w:rPr>
        <w:t>全面、准确地掌握马克思主义的基本理论，拥护中国共产党的领导，拥护社会主义制度，热爱祖国，遵纪守法，品行端正，具有自觉献身教育事业的精神和修养。</w:t>
      </w:r>
    </w:p>
    <w:p w14:paraId="6F38091C">
      <w:pPr>
        <w:spacing w:line="360" w:lineRule="auto"/>
        <w:ind w:firstLine="480" w:firstLineChars="200"/>
        <w:rPr>
          <w:rFonts w:ascii="宋体" w:hAnsi="宋体"/>
          <w:color w:val="000000"/>
          <w:sz w:val="24"/>
        </w:rPr>
      </w:pPr>
      <w:r>
        <w:rPr>
          <w:rFonts w:hint="eastAsia" w:ascii="宋体" w:hAnsi="宋体"/>
          <w:color w:val="000000"/>
          <w:sz w:val="24"/>
        </w:rPr>
        <w:t>2．能够在本学科的学习和研究中，运用辩证唯物主义和历史唯物主义的立场、观点和方法，独立开展高层次教育科学研究活动。</w:t>
      </w:r>
    </w:p>
    <w:p w14:paraId="086E6941">
      <w:pPr>
        <w:spacing w:line="360" w:lineRule="auto"/>
        <w:ind w:firstLine="480" w:firstLineChars="200"/>
        <w:rPr>
          <w:rFonts w:ascii="宋体" w:hAnsi="宋体"/>
          <w:sz w:val="24"/>
        </w:rPr>
      </w:pPr>
      <w:r>
        <w:rPr>
          <w:rFonts w:hint="eastAsia" w:ascii="宋体" w:hAnsi="宋体"/>
          <w:color w:val="000000"/>
          <w:sz w:val="24"/>
        </w:rPr>
        <w:t>3．</w:t>
      </w:r>
      <w:r>
        <w:rPr>
          <w:rFonts w:ascii="宋体" w:hAnsi="宋体"/>
          <w:color w:val="000000"/>
          <w:sz w:val="24"/>
        </w:rPr>
        <w:t>掌握坚实宽广的基础理论和系统深入的专门知识，掌握本学科的科学研究方法及必要的现代实验方法和技能，熟悉本学科的前沿研究领域，具有独立从事科学研究和解决实际问题的能力</w:t>
      </w:r>
      <w:r>
        <w:rPr>
          <w:rFonts w:hint="eastAsia" w:ascii="宋体" w:hAnsi="宋体"/>
          <w:color w:val="000000"/>
          <w:sz w:val="24"/>
        </w:rPr>
        <w:t>，</w:t>
      </w:r>
      <w:r>
        <w:rPr>
          <w:rFonts w:ascii="宋体" w:hAnsi="宋体"/>
          <w:color w:val="000000"/>
          <w:sz w:val="24"/>
        </w:rPr>
        <w:t>胜任</w:t>
      </w:r>
      <w:r>
        <w:rPr>
          <w:rFonts w:hint="eastAsia" w:ascii="宋体" w:hAnsi="宋体"/>
          <w:color w:val="000000"/>
          <w:sz w:val="24"/>
        </w:rPr>
        <w:t>教育学</w:t>
      </w:r>
      <w:r>
        <w:rPr>
          <w:rFonts w:ascii="宋体" w:hAnsi="宋体"/>
          <w:color w:val="000000"/>
          <w:sz w:val="24"/>
        </w:rPr>
        <w:t>及相关专业的</w:t>
      </w:r>
      <w:r>
        <w:rPr>
          <w:rFonts w:hint="eastAsia" w:ascii="宋体" w:hAnsi="宋体"/>
          <w:color w:val="000000"/>
          <w:sz w:val="24"/>
        </w:rPr>
        <w:t>高水平</w:t>
      </w:r>
      <w:r>
        <w:rPr>
          <w:rFonts w:ascii="宋体" w:hAnsi="宋体"/>
          <w:color w:val="000000"/>
          <w:sz w:val="24"/>
        </w:rPr>
        <w:t>教学、科研及管理工作</w:t>
      </w:r>
      <w:r>
        <w:rPr>
          <w:rFonts w:hint="eastAsia" w:ascii="宋体" w:hAnsi="宋体"/>
          <w:color w:val="000000"/>
          <w:sz w:val="24"/>
        </w:rPr>
        <w:t>，具有较强</w:t>
      </w:r>
      <w:r>
        <w:rPr>
          <w:rFonts w:hint="eastAsia" w:ascii="宋体" w:hAnsi="宋体"/>
          <w:sz w:val="24"/>
        </w:rPr>
        <w:t>国际视野和熟练开展国际交流能力，适应国家和地方社会发展需要的研究型高层次的教育类专门人才和学术骨干。</w:t>
      </w:r>
    </w:p>
    <w:p w14:paraId="7C9B986D">
      <w:pPr>
        <w:spacing w:line="360" w:lineRule="auto"/>
        <w:ind w:firstLine="480" w:firstLineChars="200"/>
        <w:rPr>
          <w:rFonts w:ascii="宋体" w:hAnsi="宋体"/>
          <w:color w:val="000000"/>
          <w:sz w:val="24"/>
        </w:rPr>
      </w:pPr>
      <w:r>
        <w:rPr>
          <w:rFonts w:hint="eastAsia" w:ascii="宋体" w:hAnsi="宋体"/>
          <w:color w:val="000000"/>
          <w:sz w:val="24"/>
        </w:rPr>
        <w:t>4．至少熟练掌握一门外国语，要求能熟练地利用外语阅读教育学及相关学术领域的外文文献资料，并具有一定的写作能力和国际学术交流能力。</w:t>
      </w:r>
    </w:p>
    <w:p w14:paraId="60DDCB77">
      <w:pPr>
        <w:spacing w:line="360" w:lineRule="auto"/>
        <w:ind w:firstLine="480" w:firstLineChars="200"/>
        <w:rPr>
          <w:rFonts w:ascii="宋体" w:hAnsi="宋体"/>
          <w:color w:val="000000"/>
          <w:sz w:val="24"/>
        </w:rPr>
      </w:pPr>
      <w:r>
        <w:rPr>
          <w:rFonts w:hint="eastAsia" w:ascii="宋体" w:hAnsi="宋体"/>
          <w:color w:val="000000"/>
          <w:sz w:val="24"/>
        </w:rPr>
        <w:t>5．身心健康。</w:t>
      </w:r>
    </w:p>
    <w:p w14:paraId="38ACC9E7">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六、培养方式</w:t>
      </w:r>
    </w:p>
    <w:p w14:paraId="51DABEE4">
      <w:pPr>
        <w:spacing w:line="360" w:lineRule="auto"/>
        <w:ind w:firstLine="480" w:firstLineChars="200"/>
        <w:rPr>
          <w:rFonts w:ascii="宋体" w:hAnsi="宋体"/>
          <w:color w:val="000000"/>
          <w:sz w:val="24"/>
        </w:rPr>
      </w:pPr>
      <w:r>
        <w:rPr>
          <w:rFonts w:hint="eastAsia" w:ascii="宋体" w:hAnsi="宋体"/>
          <w:color w:val="000000"/>
          <w:sz w:val="24"/>
        </w:rPr>
        <w:t>采取课程学习和科学研究实践相结合，具体如下：</w:t>
      </w:r>
    </w:p>
    <w:p w14:paraId="6F71033D">
      <w:pPr>
        <w:spacing w:line="360" w:lineRule="auto"/>
        <w:ind w:firstLine="480" w:firstLineChars="200"/>
        <w:rPr>
          <w:rFonts w:ascii="宋体" w:hAnsi="宋体"/>
          <w:color w:val="000000"/>
          <w:sz w:val="24"/>
        </w:rPr>
      </w:pPr>
      <w:r>
        <w:rPr>
          <w:rFonts w:hint="eastAsia" w:ascii="宋体" w:hAnsi="宋体"/>
          <w:color w:val="000000"/>
          <w:sz w:val="24"/>
        </w:rPr>
        <w:t>1.博士生培养以科学研究为主，突出创新能力培养。课程学习要体现为科学研究服务的宗旨，力求开阔博士生的学术视野，培养博士生的批判意识和问题意识。</w:t>
      </w:r>
    </w:p>
    <w:p w14:paraId="4703F9FF">
      <w:pPr>
        <w:spacing w:line="360" w:lineRule="auto"/>
        <w:ind w:firstLine="480" w:firstLineChars="200"/>
        <w:rPr>
          <w:rFonts w:ascii="宋体" w:hAnsi="宋体"/>
          <w:color w:val="000000"/>
          <w:sz w:val="24"/>
        </w:rPr>
      </w:pPr>
      <w:r>
        <w:rPr>
          <w:rFonts w:hint="eastAsia" w:ascii="宋体" w:hAnsi="宋体"/>
          <w:color w:val="000000"/>
          <w:sz w:val="24"/>
        </w:rPr>
        <w:t>2.采取导师负责和集体指导相结合的培养方式。成立本专业博士生指导小组，成员为本专业的博士生导师和具有博士学位的教授、副教授，并设组长一名。导师是博士生培养的第一负责人，在博士生培养中起主导作用;博士生指导小组配合导师全程参与博士生的指导工作，充分发挥集体培养优势，为博士生营造良好的学术环境，使博士生在博采众长中实现创新能力的提高。</w:t>
      </w:r>
    </w:p>
    <w:p w14:paraId="5BCA5964">
      <w:pPr>
        <w:spacing w:line="360" w:lineRule="auto"/>
        <w:ind w:firstLine="480" w:firstLineChars="200"/>
        <w:rPr>
          <w:rFonts w:ascii="宋体" w:hAnsi="宋体"/>
          <w:color w:val="000000"/>
          <w:sz w:val="24"/>
        </w:rPr>
      </w:pPr>
      <w:r>
        <w:rPr>
          <w:rFonts w:hint="eastAsia" w:ascii="宋体" w:hAnsi="宋体"/>
          <w:color w:val="000000"/>
          <w:sz w:val="24"/>
        </w:rPr>
        <w:t>3.有计划地聘请国内外专家来我院授课,或派出博士研究生到其他名牌高校或科研院所修读部分课程或进行学术访问。</w:t>
      </w:r>
    </w:p>
    <w:p w14:paraId="175A65DB">
      <w:pPr>
        <w:spacing w:line="360" w:lineRule="auto"/>
        <w:ind w:firstLine="480" w:firstLineChars="200"/>
        <w:rPr>
          <w:rFonts w:ascii="宋体" w:hAnsi="宋体"/>
          <w:color w:val="000000"/>
          <w:sz w:val="24"/>
        </w:rPr>
      </w:pPr>
      <w:r>
        <w:rPr>
          <w:rFonts w:hint="eastAsia" w:ascii="宋体" w:hAnsi="宋体"/>
          <w:color w:val="000000"/>
          <w:sz w:val="24"/>
        </w:rPr>
        <w:t>4.实行学术交流和报告制度。</w:t>
      </w:r>
      <w:r>
        <w:rPr>
          <w:rFonts w:hint="eastAsia" w:asciiTheme="minorEastAsia" w:hAnsiTheme="minorEastAsia" w:eastAsiaTheme="minorEastAsia" w:cstheme="minorEastAsia"/>
          <w:bCs/>
          <w:sz w:val="24"/>
        </w:rPr>
        <w:t>研究生</w:t>
      </w:r>
      <w:r>
        <w:rPr>
          <w:rFonts w:hint="eastAsia" w:asciiTheme="minorEastAsia" w:hAnsiTheme="minorEastAsia" w:eastAsiaTheme="minorEastAsia" w:cstheme="minorEastAsia"/>
          <w:sz w:val="24"/>
        </w:rPr>
        <w:t>在读期间参加不少于15次学术活动，并撰写学术报告小结；以主讲人或宣讲人身份，参加在校内外举行的学术报告或学术讲座不少于2次</w:t>
      </w:r>
      <w:r>
        <w:rPr>
          <w:rFonts w:hint="eastAsia" w:ascii="宋体" w:hAnsi="宋体"/>
          <w:color w:val="000000"/>
          <w:sz w:val="24"/>
        </w:rPr>
        <w:t>。</w:t>
      </w:r>
    </w:p>
    <w:p w14:paraId="16FFCE8B">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七、中期筛选</w:t>
      </w:r>
    </w:p>
    <w:p w14:paraId="1C9C42C5">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在完成培养方案规定的课程学习、考核成绩合格、获得规定的学分后，按照《河北大学研究生中期筛选管理办法》（校政字〔2021〕15号）的相关规定，组织开展中期筛选工作。</w:t>
      </w:r>
    </w:p>
    <w:p w14:paraId="558F53F0">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八、学位（毕业）论文</w:t>
      </w:r>
    </w:p>
    <w:p w14:paraId="29D040F8">
      <w:pPr>
        <w:widowControl/>
        <w:spacing w:line="360" w:lineRule="auto"/>
        <w:ind w:firstLine="480" w:firstLineChars="200"/>
        <w:jc w:val="left"/>
        <w:rPr>
          <w:rFonts w:asciiTheme="minorEastAsia" w:hAnsiTheme="minorEastAsia" w:eastAsiaTheme="minorEastAsia" w:cstheme="minorEastAsia"/>
          <w:kern w:val="0"/>
          <w:sz w:val="24"/>
        </w:rPr>
      </w:pPr>
      <w:r>
        <w:rPr>
          <w:rFonts w:hint="eastAsia" w:ascii="方正小标宋简体" w:hAnsi="方正小标宋简体" w:eastAsia="方正小标宋简体" w:cs="方正小标宋简体"/>
          <w:bCs/>
          <w:kern w:val="0"/>
          <w:sz w:val="24"/>
        </w:rPr>
        <w:t>1.总体要求：</w:t>
      </w:r>
      <w:r>
        <w:rPr>
          <w:rFonts w:hint="eastAsia" w:asciiTheme="minorEastAsia" w:hAnsiTheme="minorEastAsia" w:eastAsiaTheme="minorEastAsia" w:cstheme="minorEastAsia"/>
          <w:kern w:val="0"/>
          <w:sz w:val="24"/>
        </w:rPr>
        <w:t>按照《河北大学关于开展2025版研究生培养方案修订工作的指导意见》（校政字</w:t>
      </w:r>
      <w:r>
        <w:rPr>
          <w:rFonts w:hint="eastAsia" w:asciiTheme="minorEastAsia" w:hAnsiTheme="minorEastAsia" w:eastAsiaTheme="minorEastAsia" w:cstheme="minorEastAsia"/>
          <w:bCs/>
          <w:sz w:val="24"/>
        </w:rPr>
        <w:t>〔2025〕9号</w:t>
      </w:r>
      <w:r>
        <w:rPr>
          <w:rFonts w:hint="eastAsia" w:asciiTheme="minorEastAsia" w:hAnsiTheme="minorEastAsia" w:eastAsiaTheme="minorEastAsia" w:cstheme="minorEastAsia"/>
          <w:kern w:val="0"/>
          <w:sz w:val="24"/>
        </w:rPr>
        <w:t>）规定，博士研究生论文开题与答辩时间间隔原则上不少于18个月。学位（毕业）论文应当表明作者具有独立从事学术研究工作的能力，在学术研究领域做出创新性成果。</w:t>
      </w:r>
    </w:p>
    <w:p w14:paraId="386672B9">
      <w:pPr>
        <w:widowControl/>
        <w:spacing w:line="360" w:lineRule="auto"/>
        <w:ind w:firstLine="480" w:firstLineChars="200"/>
        <w:jc w:val="left"/>
        <w:rPr>
          <w:rFonts w:asciiTheme="minorEastAsia" w:hAnsiTheme="minorEastAsia" w:eastAsiaTheme="minorEastAsia" w:cstheme="minorEastAsia"/>
          <w:iCs/>
          <w:kern w:val="0"/>
          <w:sz w:val="18"/>
          <w:szCs w:val="18"/>
        </w:rPr>
      </w:pPr>
      <w:r>
        <w:rPr>
          <w:rFonts w:hint="eastAsia" w:ascii="方正小标宋简体" w:hAnsi="方正小标宋简体" w:eastAsia="方正小标宋简体" w:cs="方正小标宋简体"/>
          <w:bCs/>
          <w:kern w:val="0"/>
          <w:sz w:val="24"/>
        </w:rPr>
        <w:t>2.开题：</w:t>
      </w:r>
      <w:r>
        <w:rPr>
          <w:rFonts w:hint="eastAsia" w:asciiTheme="minorEastAsia" w:hAnsiTheme="minorEastAsia" w:eastAsiaTheme="minorEastAsia" w:cstheme="minorEastAsia"/>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54C40670">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Theme="minorEastAsia" w:hAnsiTheme="minorEastAsia" w:eastAsiaTheme="minorEastAsia" w:cstheme="minorEastAsia"/>
          <w:iCs/>
          <w:kern w:val="0"/>
          <w:sz w:val="24"/>
        </w:rPr>
        <w:t>原则上在入学后第3学期（最迟不超过第4学期）完成开题。开题由3-5名具有正高级专业技术职务人员参加，以学术报告的方式进行。</w:t>
      </w:r>
    </w:p>
    <w:p w14:paraId="59DA4EFA">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宋体" w:hAnsi="宋体"/>
          <w:color w:val="000000"/>
          <w:sz w:val="24"/>
        </w:rPr>
        <w:t>博士学位（毕业）论文的选题应体现学科领域的前沿性和先进性，论文开题一般应在第三个学期前完成，开题报告能够清晰表述研究内容及其研究的学术价值。</w:t>
      </w:r>
    </w:p>
    <w:p w14:paraId="783F04D4">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方正小标宋简体" w:hAnsi="方正小标宋简体" w:eastAsia="方正小标宋简体" w:cs="方正小标宋简体"/>
          <w:bCs/>
          <w:kern w:val="0"/>
          <w:sz w:val="24"/>
        </w:rPr>
        <w:t>3.中期进展报告：</w:t>
      </w:r>
      <w:r>
        <w:rPr>
          <w:rFonts w:hint="eastAsia" w:asciiTheme="minorEastAsia" w:hAnsiTheme="minorEastAsia" w:eastAsiaTheme="minorEastAsia" w:cstheme="minorEastAsia"/>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C665BDB">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方正小标宋简体" w:hAnsi="方正小标宋简体" w:eastAsia="方正小标宋简体" w:cs="方正小标宋简体"/>
          <w:bCs/>
          <w:kern w:val="0"/>
          <w:sz w:val="24"/>
        </w:rPr>
        <w:t>4.学位申请：</w:t>
      </w:r>
      <w:r>
        <w:rPr>
          <w:rFonts w:hint="eastAsia" w:asciiTheme="minorEastAsia" w:hAnsiTheme="minorEastAsia" w:eastAsiaTheme="minorEastAsia" w:cstheme="minorEastAsia"/>
          <w:iCs/>
          <w:kern w:val="0"/>
          <w:sz w:val="24"/>
        </w:rPr>
        <w:t>达到学位授予条件的申请人，经导师同意后，应于答辩前三个月，向所属学位评定分委员会提出学位申请，提交学位申请材料。</w:t>
      </w:r>
    </w:p>
    <w:p w14:paraId="532B94B1">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方正小标宋简体" w:hAnsi="方正小标宋简体" w:eastAsia="方正小标宋简体" w:cs="方正小标宋简体"/>
          <w:bCs/>
          <w:kern w:val="0"/>
          <w:sz w:val="24"/>
        </w:rPr>
        <w:t>5.预答辩：</w:t>
      </w:r>
      <w:r>
        <w:rPr>
          <w:rFonts w:hint="eastAsia" w:asciiTheme="minorEastAsia" w:hAnsiTheme="minorEastAsia" w:eastAsiaTheme="minorEastAsia" w:cstheme="minorEastAsia"/>
          <w:iCs/>
          <w:kern w:val="0"/>
          <w:sz w:val="24"/>
        </w:rPr>
        <w:t>学位申请人须进行学位论文预答辩。预答辩通过者，方可进入学位论文评阅、学位论文答辩等环节。学位（毕业）论文预答辩在正式答辩前3个月进行。</w:t>
      </w:r>
    </w:p>
    <w:p w14:paraId="5F7BEF17">
      <w:pPr>
        <w:widowControl/>
        <w:spacing w:line="360" w:lineRule="auto"/>
        <w:ind w:firstLine="480" w:firstLineChars="200"/>
        <w:jc w:val="left"/>
        <w:rPr>
          <w:rFonts w:asciiTheme="minorEastAsia" w:hAnsiTheme="minorEastAsia" w:eastAsiaTheme="minorEastAsia" w:cstheme="minorEastAsia"/>
          <w:iCs/>
          <w:kern w:val="0"/>
          <w:sz w:val="24"/>
        </w:rPr>
      </w:pPr>
      <w:r>
        <w:rPr>
          <w:rFonts w:hint="eastAsia" w:ascii="方正小标宋简体" w:hAnsi="方正小标宋简体" w:eastAsia="方正小标宋简体" w:cs="方正小标宋简体"/>
          <w:bCs/>
          <w:kern w:val="0"/>
          <w:sz w:val="24"/>
        </w:rPr>
        <w:t>6.论文评阅：</w:t>
      </w:r>
      <w:r>
        <w:rPr>
          <w:rFonts w:hint="eastAsia" w:asciiTheme="minorEastAsia" w:hAnsiTheme="minorEastAsia" w:eastAsiaTheme="minorEastAsia" w:cstheme="minorEastAsia"/>
          <w:iCs/>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E78AA82">
      <w:pPr>
        <w:widowControl/>
        <w:spacing w:line="360" w:lineRule="auto"/>
        <w:ind w:firstLine="480" w:firstLineChars="200"/>
        <w:jc w:val="left"/>
        <w:rPr>
          <w:rFonts w:ascii="方正小标宋简体" w:hAnsi="方正小标宋简体" w:eastAsia="方正小标宋简体" w:cs="方正小标宋简体"/>
          <w:i/>
          <w:sz w:val="24"/>
        </w:rPr>
      </w:pPr>
      <w:r>
        <w:rPr>
          <w:rFonts w:hint="eastAsia" w:ascii="方正小标宋简体" w:hAnsi="方正小标宋简体" w:eastAsia="方正小标宋简体" w:cs="方正小标宋简体"/>
          <w:bCs/>
          <w:kern w:val="0"/>
          <w:sz w:val="24"/>
        </w:rPr>
        <w:t>7.答辩：</w:t>
      </w:r>
      <w:r>
        <w:rPr>
          <w:rFonts w:hint="eastAsia" w:asciiTheme="minorEastAsia" w:hAnsiTheme="minorEastAsia" w:eastAsiaTheme="minorEastAsia" w:cstheme="minorEastAsia"/>
          <w:bCs/>
          <w:kern w:val="0"/>
          <w:sz w:val="24"/>
        </w:rPr>
        <w:t>学位（毕业）论文答辩按照</w:t>
      </w:r>
      <w:r>
        <w:rPr>
          <w:rFonts w:hint="eastAsia" w:asciiTheme="minorEastAsia" w:hAnsiTheme="minorEastAsia" w:eastAsiaTheme="minorEastAsia" w:cstheme="minorEastAsia"/>
          <w:kern w:val="0"/>
          <w:sz w:val="24"/>
        </w:rPr>
        <w:t>《河北大学博士、硕士学位授予工作实施细则》（校政字〔2025〕7号）执行。</w:t>
      </w:r>
    </w:p>
    <w:p w14:paraId="132C6F4F">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九、毕业条件</w:t>
      </w:r>
    </w:p>
    <w:p w14:paraId="11CD5B9C">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 课程学习。研究生在规定修业年限内完成培养方案规定的课程学习，考核成绩合格，获得规定的学分。</w:t>
      </w:r>
    </w:p>
    <w:p w14:paraId="384C4236">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bCs/>
          <w:sz w:val="24"/>
        </w:rPr>
        <w:t>2. 学术活动。研究生</w:t>
      </w:r>
      <w:r>
        <w:rPr>
          <w:rFonts w:hint="eastAsia" w:asciiTheme="minorEastAsia" w:hAnsiTheme="minorEastAsia" w:eastAsiaTheme="minorEastAsia" w:cstheme="minorEastAsia"/>
          <w:sz w:val="24"/>
        </w:rPr>
        <w:t>在读期间参加不少于15次学术活动，并撰写学术报告小结；以主讲人或宣讲人身份，参加在校内外举行的学术报告或学术讲座不少于2次。</w:t>
      </w:r>
    </w:p>
    <w:p w14:paraId="67FF9F0B">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sz w:val="24"/>
        </w:rPr>
        <w:t>3. 符合提前毕业条件的研究生，可按照学校相关规定</w:t>
      </w:r>
      <w:r>
        <w:rPr>
          <w:rFonts w:hint="eastAsia" w:asciiTheme="minorEastAsia" w:hAnsiTheme="minorEastAsia" w:eastAsiaTheme="minorEastAsia" w:cstheme="minorEastAsia"/>
          <w:bCs/>
          <w:sz w:val="24"/>
        </w:rPr>
        <w:t>申请</w:t>
      </w:r>
      <w:r>
        <w:rPr>
          <w:rFonts w:hint="eastAsia" w:asciiTheme="minorEastAsia" w:hAnsiTheme="minorEastAsia" w:eastAsiaTheme="minorEastAsia" w:cstheme="minorEastAsia"/>
          <w:sz w:val="24"/>
        </w:rPr>
        <w:t>提前毕业。</w:t>
      </w:r>
    </w:p>
    <w:p w14:paraId="767E2CA0">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 论文答辩。学位（毕业）论文经专家评审合格、通过学位（毕业）答辩，符合毕业资格审查后，准予毕业。</w:t>
      </w:r>
    </w:p>
    <w:p w14:paraId="4C508C1B">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十、创新性成果</w:t>
      </w:r>
    </w:p>
    <w:p w14:paraId="4CA9A4AF">
      <w:pPr>
        <w:spacing w:line="360" w:lineRule="auto"/>
        <w:ind w:firstLine="480" w:firstLineChars="200"/>
        <w:rPr>
          <w:rFonts w:ascii="宋体" w:hAnsi="宋体"/>
          <w:color w:val="000000"/>
          <w:sz w:val="24"/>
        </w:rPr>
      </w:pPr>
      <w:r>
        <w:rPr>
          <w:rFonts w:hint="eastAsia"/>
          <w:bCs/>
          <w:sz w:val="24"/>
        </w:rPr>
        <w:t>研究生申请博士学位</w:t>
      </w:r>
      <w:r>
        <w:rPr>
          <w:rFonts w:hint="eastAsia" w:ascii="宋体" w:hAnsi="宋体"/>
          <w:color w:val="000000"/>
          <w:sz w:val="24"/>
        </w:rPr>
        <w:t>需满足我院对研究生申请学位取得创新性成果做出的规定，创新性成果标准另行规定。</w:t>
      </w:r>
    </w:p>
    <w:p w14:paraId="750A5521">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十一、学位授予</w:t>
      </w:r>
    </w:p>
    <w:p w14:paraId="6A285C91">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14:paraId="6D46720A">
      <w:pPr>
        <w:spacing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十二、学分及课程设置</w:t>
      </w:r>
    </w:p>
    <w:p w14:paraId="1FA872AB">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本专业最低毕业学分为2</w:t>
      </w:r>
      <w:r>
        <w:rPr>
          <w:rFonts w:asciiTheme="minorEastAsia" w:hAnsiTheme="minorEastAsia" w:eastAsiaTheme="minorEastAsia" w:cstheme="minorEastAsia"/>
          <w:sz w:val="24"/>
        </w:rPr>
        <w:t>4</w:t>
      </w:r>
      <w:r>
        <w:rPr>
          <w:rFonts w:hint="eastAsia" w:asciiTheme="minorEastAsia" w:hAnsiTheme="minorEastAsia" w:eastAsiaTheme="minorEastAsia" w:cstheme="minorEastAsia"/>
          <w:sz w:val="24"/>
        </w:rPr>
        <w:t>分，其中学位课13学分，非学位课10学分，必修环节</w:t>
      </w:r>
      <w:r>
        <w:rPr>
          <w:rFonts w:asciiTheme="minorEastAsia" w:hAnsiTheme="minorEastAsia" w:eastAsiaTheme="minorEastAsia" w:cstheme="minorEastAsia"/>
          <w:sz w:val="24"/>
        </w:rPr>
        <w:t>1</w:t>
      </w:r>
      <w:r>
        <w:rPr>
          <w:rFonts w:hint="eastAsia" w:asciiTheme="minorEastAsia" w:hAnsiTheme="minorEastAsia" w:eastAsiaTheme="minorEastAsia" w:cstheme="minorEastAsia"/>
          <w:sz w:val="24"/>
        </w:rPr>
        <w:t>分。</w:t>
      </w:r>
    </w:p>
    <w:p w14:paraId="736F05D8">
      <w:pPr>
        <w:spacing w:line="360" w:lineRule="auto"/>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课程考试不设补考环节，考试成绩低于60分的需重修。</w:t>
      </w:r>
    </w:p>
    <w:p w14:paraId="4BF789AF">
      <w:pPr>
        <w:spacing w:line="360" w:lineRule="auto"/>
        <w:ind w:firstLine="480" w:firstLineChars="200"/>
        <w:rPr>
          <w:rFonts w:asciiTheme="minorEastAsia" w:hAnsiTheme="minorEastAsia" w:eastAsiaTheme="minorEastAsia" w:cstheme="minorEastAsia"/>
          <w:sz w:val="24"/>
        </w:rPr>
      </w:pPr>
      <w:r>
        <w:rPr>
          <w:rFonts w:hint="eastAsia" w:ascii="宋体" w:hAnsi="宋体"/>
          <w:color w:val="000000"/>
          <w:sz w:val="24"/>
        </w:rPr>
        <w:t>研究生课程考核方式包括考试和考查，</w:t>
      </w:r>
      <w:r>
        <w:rPr>
          <w:rFonts w:ascii="宋体" w:hAnsi="宋体"/>
          <w:color w:val="000000"/>
          <w:sz w:val="24"/>
        </w:rPr>
        <w:t>可以采用口试、笔试或写读书报告、论文的形式，成绩均按百分制成绩评定</w:t>
      </w:r>
      <w:r>
        <w:rPr>
          <w:rFonts w:hint="eastAsia" w:ascii="宋体" w:hAnsi="宋体"/>
          <w:color w:val="000000"/>
          <w:sz w:val="24"/>
        </w:rPr>
        <w:t>。</w:t>
      </w:r>
    </w:p>
    <w:p w14:paraId="69EF209E">
      <w:pPr>
        <w:spacing w:afterLines="50" w:line="440" w:lineRule="exact"/>
        <w:ind w:firstLine="482" w:firstLineChars="200"/>
        <w:jc w:val="center"/>
        <w:rPr>
          <w:rFonts w:ascii="方正小标宋简体" w:hAnsi="方正小标宋简体" w:eastAsia="方正小标宋简体" w:cs="方正小标宋简体"/>
          <w:b/>
          <w:bCs/>
          <w:sz w:val="24"/>
        </w:rPr>
      </w:pPr>
      <w:r>
        <w:rPr>
          <w:rFonts w:hint="eastAsia" w:ascii="方正小标宋简体" w:hAnsi="方正小标宋简体" w:eastAsia="方正小标宋简体" w:cs="方正小标宋简体"/>
          <w:b/>
          <w:bCs/>
          <w:sz w:val="24"/>
        </w:rPr>
        <w:t>教育学专业直博生课程及培养环节设置一览表</w:t>
      </w:r>
    </w:p>
    <w:tbl>
      <w:tblPr>
        <w:tblStyle w:val="5"/>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23"/>
        <w:gridCol w:w="1274"/>
        <w:gridCol w:w="709"/>
        <w:gridCol w:w="709"/>
        <w:gridCol w:w="1045"/>
      </w:tblGrid>
      <w:tr w14:paraId="09BEEB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66072C0">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课程类别</w:t>
            </w:r>
          </w:p>
        </w:tc>
        <w:tc>
          <w:tcPr>
            <w:tcW w:w="3323" w:type="dxa"/>
            <w:vAlign w:val="center"/>
          </w:tcPr>
          <w:p w14:paraId="2C659F25">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课程说明</w:t>
            </w:r>
          </w:p>
        </w:tc>
        <w:tc>
          <w:tcPr>
            <w:tcW w:w="1274" w:type="dxa"/>
            <w:vAlign w:val="center"/>
          </w:tcPr>
          <w:p w14:paraId="7A46D71F">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课程编号</w:t>
            </w:r>
          </w:p>
        </w:tc>
        <w:tc>
          <w:tcPr>
            <w:tcW w:w="709" w:type="dxa"/>
            <w:vAlign w:val="center"/>
          </w:tcPr>
          <w:p w14:paraId="22BCBC44">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学分</w:t>
            </w:r>
          </w:p>
        </w:tc>
        <w:tc>
          <w:tcPr>
            <w:tcW w:w="709" w:type="dxa"/>
            <w:vAlign w:val="center"/>
          </w:tcPr>
          <w:p w14:paraId="1D324E2E">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学期</w:t>
            </w:r>
          </w:p>
        </w:tc>
        <w:tc>
          <w:tcPr>
            <w:tcW w:w="1045" w:type="dxa"/>
            <w:vAlign w:val="center"/>
          </w:tcPr>
          <w:p w14:paraId="3AE28467">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备注</w:t>
            </w:r>
          </w:p>
        </w:tc>
      </w:tr>
      <w:tr w14:paraId="57CC28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D14ABA2">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学位课</w:t>
            </w:r>
          </w:p>
        </w:tc>
        <w:tc>
          <w:tcPr>
            <w:tcW w:w="1226" w:type="dxa"/>
            <w:vMerge w:val="restart"/>
            <w:vAlign w:val="center"/>
          </w:tcPr>
          <w:p w14:paraId="64FC0364">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公共必修课</w:t>
            </w:r>
          </w:p>
          <w:p w14:paraId="2CC8AF33">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（4学分）</w:t>
            </w:r>
          </w:p>
        </w:tc>
        <w:tc>
          <w:tcPr>
            <w:tcW w:w="3323" w:type="dxa"/>
            <w:vAlign w:val="center"/>
          </w:tcPr>
          <w:p w14:paraId="43E51ACC">
            <w:pPr>
              <w:jc w:val="left"/>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中国马克思主义与当代</w:t>
            </w:r>
          </w:p>
        </w:tc>
        <w:tc>
          <w:tcPr>
            <w:tcW w:w="1274" w:type="dxa"/>
            <w:vAlign w:val="center"/>
          </w:tcPr>
          <w:p w14:paraId="388FD8B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TB0000001</w:t>
            </w:r>
          </w:p>
        </w:tc>
        <w:tc>
          <w:tcPr>
            <w:tcW w:w="709" w:type="dxa"/>
            <w:vAlign w:val="center"/>
          </w:tcPr>
          <w:p w14:paraId="23BEB4C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01CEB1C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10FAC05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5F1875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758346E0">
            <w:pPr>
              <w:jc w:val="center"/>
              <w:rPr>
                <w:rFonts w:ascii="方正小标宋简体" w:hAnsi="方正小标宋简体" w:eastAsia="方正小标宋简体" w:cs="方正小标宋简体"/>
                <w:b/>
                <w:sz w:val="18"/>
                <w:szCs w:val="18"/>
              </w:rPr>
            </w:pPr>
          </w:p>
        </w:tc>
        <w:tc>
          <w:tcPr>
            <w:tcW w:w="1226" w:type="dxa"/>
            <w:vMerge w:val="continue"/>
            <w:vAlign w:val="center"/>
          </w:tcPr>
          <w:p w14:paraId="37B713DA">
            <w:pPr>
              <w:jc w:val="center"/>
              <w:rPr>
                <w:rFonts w:ascii="方正小标宋简体" w:hAnsi="方正小标宋简体" w:eastAsia="方正小标宋简体" w:cs="方正小标宋简体"/>
                <w:b/>
                <w:sz w:val="18"/>
                <w:szCs w:val="18"/>
              </w:rPr>
            </w:pPr>
          </w:p>
        </w:tc>
        <w:tc>
          <w:tcPr>
            <w:tcW w:w="3323" w:type="dxa"/>
            <w:vAlign w:val="center"/>
          </w:tcPr>
          <w:p w14:paraId="2006A026">
            <w:pPr>
              <w:jc w:val="left"/>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学术英语阅读与写作</w:t>
            </w:r>
          </w:p>
        </w:tc>
        <w:tc>
          <w:tcPr>
            <w:tcW w:w="1274" w:type="dxa"/>
            <w:vAlign w:val="center"/>
          </w:tcPr>
          <w:p w14:paraId="1D685A1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TB0000004</w:t>
            </w:r>
          </w:p>
        </w:tc>
        <w:tc>
          <w:tcPr>
            <w:tcW w:w="709" w:type="dxa"/>
            <w:vAlign w:val="center"/>
          </w:tcPr>
          <w:p w14:paraId="1B0F5762">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3549E01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99290B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3A957A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149F14F">
            <w:pPr>
              <w:jc w:val="center"/>
              <w:rPr>
                <w:rFonts w:ascii="方正小标宋简体" w:hAnsi="方正小标宋简体" w:eastAsia="方正小标宋简体" w:cs="方正小标宋简体"/>
                <w:b/>
                <w:sz w:val="18"/>
                <w:szCs w:val="18"/>
              </w:rPr>
            </w:pPr>
            <w:bookmarkStart w:id="0" w:name="_Hlk195550908"/>
          </w:p>
        </w:tc>
        <w:tc>
          <w:tcPr>
            <w:tcW w:w="1226" w:type="dxa"/>
            <w:vMerge w:val="restart"/>
            <w:vAlign w:val="center"/>
          </w:tcPr>
          <w:p w14:paraId="32289DDA">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学科基础课</w:t>
            </w:r>
          </w:p>
          <w:p w14:paraId="5359FCC2">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5</w:t>
            </w:r>
            <w:r>
              <w:rPr>
                <w:rFonts w:hint="eastAsia" w:ascii="方正小标宋简体" w:hAnsi="方正小标宋简体" w:eastAsia="方正小标宋简体" w:cs="方正小标宋简体"/>
                <w:b/>
                <w:sz w:val="18"/>
                <w:szCs w:val="18"/>
              </w:rPr>
              <w:t>学分）</w:t>
            </w:r>
          </w:p>
        </w:tc>
        <w:tc>
          <w:tcPr>
            <w:tcW w:w="3323" w:type="dxa"/>
            <w:vAlign w:val="center"/>
          </w:tcPr>
          <w:p w14:paraId="03601D96">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习近平总书记关于教育的重要论述研究</w:t>
            </w:r>
          </w:p>
        </w:tc>
        <w:tc>
          <w:tcPr>
            <w:tcW w:w="1274" w:type="dxa"/>
            <w:vAlign w:val="center"/>
          </w:tcPr>
          <w:p w14:paraId="49C1581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ZB0600001</w:t>
            </w:r>
          </w:p>
        </w:tc>
        <w:tc>
          <w:tcPr>
            <w:tcW w:w="709" w:type="dxa"/>
            <w:vAlign w:val="center"/>
          </w:tcPr>
          <w:p w14:paraId="7ACF4B4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065C447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5C69613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bookmarkEnd w:id="0"/>
      <w:tr w14:paraId="1FEC5C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893FD18">
            <w:pPr>
              <w:jc w:val="center"/>
              <w:rPr>
                <w:rFonts w:ascii="方正小标宋简体" w:hAnsi="方正小标宋简体" w:eastAsia="方正小标宋简体" w:cs="方正小标宋简体"/>
                <w:b/>
                <w:sz w:val="18"/>
                <w:szCs w:val="18"/>
              </w:rPr>
            </w:pPr>
          </w:p>
        </w:tc>
        <w:tc>
          <w:tcPr>
            <w:tcW w:w="1226" w:type="dxa"/>
            <w:vMerge w:val="continue"/>
            <w:vAlign w:val="center"/>
          </w:tcPr>
          <w:p w14:paraId="1765310E">
            <w:pPr>
              <w:jc w:val="center"/>
              <w:rPr>
                <w:rFonts w:ascii="方正小标宋简体" w:hAnsi="方正小标宋简体" w:eastAsia="方正小标宋简体" w:cs="方正小标宋简体"/>
                <w:b/>
                <w:sz w:val="18"/>
                <w:szCs w:val="18"/>
              </w:rPr>
            </w:pPr>
          </w:p>
        </w:tc>
        <w:tc>
          <w:tcPr>
            <w:tcW w:w="3323" w:type="dxa"/>
            <w:vAlign w:val="center"/>
          </w:tcPr>
          <w:p w14:paraId="4164AC00">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文献阅读与论文写作</w:t>
            </w:r>
          </w:p>
        </w:tc>
        <w:tc>
          <w:tcPr>
            <w:tcW w:w="1274" w:type="dxa"/>
            <w:vAlign w:val="center"/>
          </w:tcPr>
          <w:p w14:paraId="17B1ADC1">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XB0600001</w:t>
            </w:r>
          </w:p>
        </w:tc>
        <w:tc>
          <w:tcPr>
            <w:tcW w:w="709" w:type="dxa"/>
            <w:vAlign w:val="center"/>
          </w:tcPr>
          <w:p w14:paraId="56DBD101">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072CAC4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0A3B4E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452C15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28C2D0B">
            <w:pPr>
              <w:jc w:val="center"/>
              <w:rPr>
                <w:rFonts w:ascii="方正小标宋简体" w:hAnsi="方正小标宋简体" w:eastAsia="方正小标宋简体" w:cs="方正小标宋简体"/>
                <w:b/>
                <w:sz w:val="18"/>
                <w:szCs w:val="18"/>
              </w:rPr>
            </w:pPr>
          </w:p>
        </w:tc>
        <w:tc>
          <w:tcPr>
            <w:tcW w:w="1226" w:type="dxa"/>
            <w:vMerge w:val="continue"/>
            <w:vAlign w:val="center"/>
          </w:tcPr>
          <w:p w14:paraId="0E8E3D39">
            <w:pPr>
              <w:jc w:val="center"/>
              <w:rPr>
                <w:rFonts w:ascii="方正小标宋简体" w:hAnsi="方正小标宋简体" w:eastAsia="方正小标宋简体" w:cs="方正小标宋简体"/>
                <w:b/>
                <w:sz w:val="18"/>
                <w:szCs w:val="18"/>
              </w:rPr>
            </w:pPr>
          </w:p>
        </w:tc>
        <w:tc>
          <w:tcPr>
            <w:tcW w:w="3323" w:type="dxa"/>
          </w:tcPr>
          <w:p w14:paraId="344AB047">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教育与心理前沿专题</w:t>
            </w:r>
          </w:p>
        </w:tc>
        <w:tc>
          <w:tcPr>
            <w:tcW w:w="1274" w:type="dxa"/>
            <w:vAlign w:val="center"/>
          </w:tcPr>
          <w:p w14:paraId="184F7A9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3</w:t>
            </w:r>
          </w:p>
        </w:tc>
        <w:tc>
          <w:tcPr>
            <w:tcW w:w="709" w:type="dxa"/>
            <w:vAlign w:val="center"/>
          </w:tcPr>
          <w:p w14:paraId="4679A752">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64FBDDBA">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Align w:val="center"/>
          </w:tcPr>
          <w:p w14:paraId="2BDA04BA">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080D51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6D8E1C">
            <w:pPr>
              <w:jc w:val="center"/>
              <w:rPr>
                <w:rFonts w:ascii="方正小标宋简体" w:hAnsi="方正小标宋简体" w:eastAsia="方正小标宋简体" w:cs="方正小标宋简体"/>
                <w:b/>
                <w:sz w:val="18"/>
                <w:szCs w:val="18"/>
              </w:rPr>
            </w:pPr>
          </w:p>
        </w:tc>
        <w:tc>
          <w:tcPr>
            <w:tcW w:w="1226" w:type="dxa"/>
            <w:vMerge w:val="restart"/>
            <w:vAlign w:val="center"/>
          </w:tcPr>
          <w:p w14:paraId="4EB3D705">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专业必修课</w:t>
            </w:r>
          </w:p>
          <w:p w14:paraId="6844F3F2">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4</w:t>
            </w:r>
            <w:r>
              <w:rPr>
                <w:rFonts w:hint="eastAsia" w:ascii="方正小标宋简体" w:hAnsi="方正小标宋简体" w:eastAsia="方正小标宋简体" w:cs="方正小标宋简体"/>
                <w:b/>
                <w:sz w:val="18"/>
                <w:szCs w:val="18"/>
              </w:rPr>
              <w:t>学分）</w:t>
            </w:r>
          </w:p>
        </w:tc>
        <w:tc>
          <w:tcPr>
            <w:tcW w:w="3323" w:type="dxa"/>
          </w:tcPr>
          <w:p w14:paraId="0E7DFBC0">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教育科学与心理研究方法</w:t>
            </w:r>
          </w:p>
        </w:tc>
        <w:tc>
          <w:tcPr>
            <w:tcW w:w="1274" w:type="dxa"/>
            <w:vAlign w:val="center"/>
          </w:tcPr>
          <w:p w14:paraId="72BD2911">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4</w:t>
            </w:r>
          </w:p>
        </w:tc>
        <w:tc>
          <w:tcPr>
            <w:tcW w:w="709" w:type="dxa"/>
            <w:vAlign w:val="center"/>
          </w:tcPr>
          <w:p w14:paraId="3070B895">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3173E16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42968F8">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50DACB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D499A5">
            <w:pPr>
              <w:jc w:val="center"/>
              <w:rPr>
                <w:rFonts w:ascii="方正小标宋简体" w:hAnsi="方正小标宋简体" w:eastAsia="方正小标宋简体" w:cs="方正小标宋简体"/>
                <w:b/>
                <w:sz w:val="18"/>
                <w:szCs w:val="18"/>
              </w:rPr>
            </w:pPr>
          </w:p>
        </w:tc>
        <w:tc>
          <w:tcPr>
            <w:tcW w:w="1226" w:type="dxa"/>
            <w:vMerge w:val="continue"/>
            <w:vAlign w:val="center"/>
          </w:tcPr>
          <w:p w14:paraId="0055FB05">
            <w:pPr>
              <w:jc w:val="center"/>
              <w:rPr>
                <w:rFonts w:ascii="方正小标宋简体" w:hAnsi="方正小标宋简体" w:eastAsia="方正小标宋简体" w:cs="方正小标宋简体"/>
                <w:b/>
                <w:sz w:val="18"/>
                <w:szCs w:val="18"/>
              </w:rPr>
            </w:pPr>
          </w:p>
        </w:tc>
        <w:tc>
          <w:tcPr>
            <w:tcW w:w="3323" w:type="dxa"/>
          </w:tcPr>
          <w:p w14:paraId="701C717D">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数字教育专题</w:t>
            </w:r>
          </w:p>
        </w:tc>
        <w:tc>
          <w:tcPr>
            <w:tcW w:w="1274" w:type="dxa"/>
            <w:vAlign w:val="center"/>
          </w:tcPr>
          <w:p w14:paraId="67F64D9A">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5</w:t>
            </w:r>
          </w:p>
        </w:tc>
        <w:tc>
          <w:tcPr>
            <w:tcW w:w="709" w:type="dxa"/>
            <w:vAlign w:val="center"/>
          </w:tcPr>
          <w:p w14:paraId="64784B86">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523338C1">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Align w:val="center"/>
          </w:tcPr>
          <w:p w14:paraId="7B74D65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44341A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F334080">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非学位课</w:t>
            </w:r>
          </w:p>
        </w:tc>
        <w:tc>
          <w:tcPr>
            <w:tcW w:w="1226" w:type="dxa"/>
            <w:vMerge w:val="restart"/>
            <w:vAlign w:val="center"/>
          </w:tcPr>
          <w:p w14:paraId="2125A65E">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公共通识课</w:t>
            </w:r>
          </w:p>
          <w:p w14:paraId="56DD1CFD">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（2学分）</w:t>
            </w:r>
          </w:p>
        </w:tc>
        <w:tc>
          <w:tcPr>
            <w:tcW w:w="3323" w:type="dxa"/>
            <w:vAlign w:val="center"/>
          </w:tcPr>
          <w:p w14:paraId="414F3909">
            <w:pPr>
              <w:jc w:val="left"/>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《习近平谈治国理政》研读</w:t>
            </w:r>
          </w:p>
        </w:tc>
        <w:tc>
          <w:tcPr>
            <w:tcW w:w="1274" w:type="dxa"/>
            <w:vAlign w:val="center"/>
          </w:tcPr>
          <w:p w14:paraId="2F4085F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TT0000101</w:t>
            </w:r>
          </w:p>
        </w:tc>
        <w:tc>
          <w:tcPr>
            <w:tcW w:w="709" w:type="dxa"/>
            <w:vAlign w:val="center"/>
          </w:tcPr>
          <w:p w14:paraId="6A71DA90">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2723EF5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338DD80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25E0A3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8FCD303">
            <w:pPr>
              <w:jc w:val="center"/>
              <w:rPr>
                <w:rFonts w:ascii="方正小标宋简体" w:hAnsi="方正小标宋简体" w:eastAsia="方正小标宋简体" w:cs="方正小标宋简体"/>
                <w:b/>
                <w:sz w:val="18"/>
                <w:szCs w:val="18"/>
              </w:rPr>
            </w:pPr>
          </w:p>
        </w:tc>
        <w:tc>
          <w:tcPr>
            <w:tcW w:w="1226" w:type="dxa"/>
            <w:vMerge w:val="continue"/>
            <w:vAlign w:val="center"/>
          </w:tcPr>
          <w:p w14:paraId="428E4690">
            <w:pPr>
              <w:jc w:val="center"/>
              <w:rPr>
                <w:rFonts w:ascii="方正小标宋简体" w:hAnsi="方正小标宋简体" w:eastAsia="方正小标宋简体" w:cs="方正小标宋简体"/>
                <w:b/>
                <w:sz w:val="18"/>
                <w:szCs w:val="18"/>
              </w:rPr>
            </w:pPr>
          </w:p>
        </w:tc>
        <w:tc>
          <w:tcPr>
            <w:tcW w:w="3323" w:type="dxa"/>
            <w:vAlign w:val="center"/>
          </w:tcPr>
          <w:p w14:paraId="2F1251B1">
            <w:pPr>
              <w:jc w:val="left"/>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马克思恩格斯列宁经典著作选读</w:t>
            </w:r>
          </w:p>
        </w:tc>
        <w:tc>
          <w:tcPr>
            <w:tcW w:w="1274" w:type="dxa"/>
            <w:vAlign w:val="center"/>
          </w:tcPr>
          <w:p w14:paraId="5651775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TB0000103</w:t>
            </w:r>
          </w:p>
        </w:tc>
        <w:tc>
          <w:tcPr>
            <w:tcW w:w="709" w:type="dxa"/>
            <w:vAlign w:val="center"/>
          </w:tcPr>
          <w:p w14:paraId="76354DC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2484C12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05F660A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072DF7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CF16F1">
            <w:pPr>
              <w:rPr>
                <w:rFonts w:ascii="方正小标宋简体" w:hAnsi="方正小标宋简体" w:eastAsia="方正小标宋简体" w:cs="方正小标宋简体"/>
                <w:b/>
                <w:sz w:val="18"/>
                <w:szCs w:val="18"/>
              </w:rPr>
            </w:pPr>
          </w:p>
        </w:tc>
        <w:tc>
          <w:tcPr>
            <w:tcW w:w="1226" w:type="dxa"/>
            <w:vMerge w:val="restart"/>
            <w:vAlign w:val="center"/>
          </w:tcPr>
          <w:p w14:paraId="297C2EBE">
            <w:pPr>
              <w:adjustRightInd w:val="0"/>
              <w:snapToGrid w:val="0"/>
              <w:jc w:val="center"/>
              <w:rPr>
                <w:rFonts w:ascii="方正小标宋简体" w:hAnsi="方正小标宋简体" w:eastAsia="方正小标宋简体" w:cs="方正小标宋简体"/>
                <w:b/>
                <w:i/>
                <w:sz w:val="18"/>
                <w:szCs w:val="18"/>
              </w:rPr>
            </w:pPr>
            <w:r>
              <w:rPr>
                <w:rFonts w:hint="eastAsia" w:ascii="方正小标宋简体" w:hAnsi="方正小标宋简体" w:eastAsia="方正小标宋简体" w:cs="方正小标宋简体"/>
                <w:b/>
                <w:sz w:val="18"/>
                <w:szCs w:val="18"/>
              </w:rPr>
              <w:t>教育史方向</w:t>
            </w:r>
          </w:p>
          <w:p w14:paraId="01806B15">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323" w:type="dxa"/>
            <w:vAlign w:val="center"/>
          </w:tcPr>
          <w:p w14:paraId="70656472">
            <w:pP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中国教育史专题研究</w:t>
            </w:r>
          </w:p>
        </w:tc>
        <w:tc>
          <w:tcPr>
            <w:tcW w:w="1274" w:type="dxa"/>
            <w:vAlign w:val="center"/>
          </w:tcPr>
          <w:p w14:paraId="2362D1A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XB0642101</w:t>
            </w:r>
          </w:p>
        </w:tc>
        <w:tc>
          <w:tcPr>
            <w:tcW w:w="709" w:type="dxa"/>
            <w:vAlign w:val="center"/>
          </w:tcPr>
          <w:p w14:paraId="5213EEDE">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3</w:t>
            </w:r>
          </w:p>
        </w:tc>
        <w:tc>
          <w:tcPr>
            <w:tcW w:w="709" w:type="dxa"/>
            <w:vAlign w:val="center"/>
          </w:tcPr>
          <w:p w14:paraId="481C2F9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5A3D239E">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14:paraId="4F4475DC">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8学分</w:t>
            </w:r>
          </w:p>
        </w:tc>
      </w:tr>
      <w:tr w14:paraId="653FFA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571" w:type="dxa"/>
            <w:vMerge w:val="continue"/>
          </w:tcPr>
          <w:p w14:paraId="5F4A3739">
            <w:pPr>
              <w:rPr>
                <w:rFonts w:ascii="方正小标宋简体" w:hAnsi="方正小标宋简体" w:eastAsia="方正小标宋简体" w:cs="方正小标宋简体"/>
                <w:b/>
                <w:sz w:val="18"/>
                <w:szCs w:val="18"/>
              </w:rPr>
            </w:pPr>
          </w:p>
        </w:tc>
        <w:tc>
          <w:tcPr>
            <w:tcW w:w="1226" w:type="dxa"/>
            <w:vMerge w:val="continue"/>
            <w:vAlign w:val="center"/>
          </w:tcPr>
          <w:p w14:paraId="6BB6AB7A">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78612D1D">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外国教育史专题研究</w:t>
            </w:r>
          </w:p>
        </w:tc>
        <w:tc>
          <w:tcPr>
            <w:tcW w:w="1274" w:type="dxa"/>
            <w:vAlign w:val="center"/>
          </w:tcPr>
          <w:p w14:paraId="281114C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XB0642102</w:t>
            </w:r>
          </w:p>
        </w:tc>
        <w:tc>
          <w:tcPr>
            <w:tcW w:w="709" w:type="dxa"/>
            <w:vAlign w:val="center"/>
          </w:tcPr>
          <w:p w14:paraId="7B88ACF9">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3</w:t>
            </w:r>
          </w:p>
        </w:tc>
        <w:tc>
          <w:tcPr>
            <w:tcW w:w="709" w:type="dxa"/>
            <w:vAlign w:val="center"/>
          </w:tcPr>
          <w:p w14:paraId="0A995AEF">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72D14FC8">
            <w:pPr>
              <w:adjustRightInd w:val="0"/>
              <w:snapToGrid w:val="0"/>
              <w:jc w:val="center"/>
              <w:rPr>
                <w:rFonts w:ascii="方正小标宋简体" w:hAnsi="方正小标宋简体" w:eastAsia="方正小标宋简体" w:cs="方正小标宋简体"/>
                <w:sz w:val="18"/>
                <w:szCs w:val="18"/>
              </w:rPr>
            </w:pPr>
          </w:p>
        </w:tc>
      </w:tr>
      <w:tr w14:paraId="6E6B1C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0EE281">
            <w:pPr>
              <w:rPr>
                <w:rFonts w:ascii="方正小标宋简体" w:hAnsi="方正小标宋简体" w:eastAsia="方正小标宋简体" w:cs="方正小标宋简体"/>
                <w:b/>
                <w:sz w:val="18"/>
                <w:szCs w:val="18"/>
              </w:rPr>
            </w:pPr>
          </w:p>
        </w:tc>
        <w:tc>
          <w:tcPr>
            <w:tcW w:w="1226" w:type="dxa"/>
            <w:vMerge w:val="continue"/>
            <w:vAlign w:val="center"/>
          </w:tcPr>
          <w:p w14:paraId="67B086B2">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35DC5F34">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教育史文献阅读</w:t>
            </w:r>
          </w:p>
        </w:tc>
        <w:tc>
          <w:tcPr>
            <w:tcW w:w="1274" w:type="dxa"/>
            <w:vAlign w:val="center"/>
          </w:tcPr>
          <w:p w14:paraId="3041BC5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XB0642103</w:t>
            </w:r>
          </w:p>
        </w:tc>
        <w:tc>
          <w:tcPr>
            <w:tcW w:w="709" w:type="dxa"/>
            <w:vAlign w:val="center"/>
          </w:tcPr>
          <w:p w14:paraId="5BDBF1CC">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294516A2">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14:paraId="48EDCF2F">
            <w:pPr>
              <w:adjustRightInd w:val="0"/>
              <w:snapToGrid w:val="0"/>
              <w:jc w:val="center"/>
              <w:rPr>
                <w:rFonts w:ascii="方正小标宋简体" w:hAnsi="方正小标宋简体" w:eastAsia="方正小标宋简体" w:cs="方正小标宋简体"/>
                <w:sz w:val="18"/>
                <w:szCs w:val="18"/>
              </w:rPr>
            </w:pPr>
          </w:p>
        </w:tc>
      </w:tr>
      <w:tr w14:paraId="70E6B9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C620BE">
            <w:pPr>
              <w:rPr>
                <w:rFonts w:ascii="方正小标宋简体" w:hAnsi="方正小标宋简体" w:eastAsia="方正小标宋简体" w:cs="方正小标宋简体"/>
                <w:b/>
                <w:sz w:val="18"/>
                <w:szCs w:val="18"/>
              </w:rPr>
            </w:pPr>
          </w:p>
        </w:tc>
        <w:tc>
          <w:tcPr>
            <w:tcW w:w="1226" w:type="dxa"/>
            <w:vMerge w:val="restart"/>
            <w:vAlign w:val="center"/>
          </w:tcPr>
          <w:p w14:paraId="6C1ECBC1">
            <w:pPr>
              <w:adjustRightInd w:val="0"/>
              <w:snapToGrid w:val="0"/>
              <w:jc w:val="center"/>
              <w:rPr>
                <w:rFonts w:ascii="方正小标宋简体" w:hAnsi="方正小标宋简体" w:eastAsia="方正小标宋简体" w:cs="方正小标宋简体"/>
                <w:b/>
                <w:i/>
                <w:sz w:val="18"/>
                <w:szCs w:val="18"/>
              </w:rPr>
            </w:pPr>
            <w:r>
              <w:rPr>
                <w:rFonts w:hint="eastAsia" w:ascii="方正小标宋简体" w:hAnsi="方正小标宋简体" w:eastAsia="方正小标宋简体" w:cs="方正小标宋简体"/>
                <w:b/>
                <w:sz w:val="18"/>
                <w:szCs w:val="18"/>
              </w:rPr>
              <w:t>比较教育学方向</w:t>
            </w:r>
          </w:p>
          <w:p w14:paraId="5CDDD106">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323" w:type="dxa"/>
            <w:vAlign w:val="center"/>
          </w:tcPr>
          <w:p w14:paraId="479E9A7F">
            <w:pP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比较教育基本理论与政策专题</w:t>
            </w:r>
          </w:p>
        </w:tc>
        <w:tc>
          <w:tcPr>
            <w:tcW w:w="1274" w:type="dxa"/>
            <w:vAlign w:val="center"/>
          </w:tcPr>
          <w:p w14:paraId="71BFDFD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XB0643101</w:t>
            </w:r>
          </w:p>
        </w:tc>
        <w:tc>
          <w:tcPr>
            <w:tcW w:w="709" w:type="dxa"/>
            <w:vAlign w:val="center"/>
          </w:tcPr>
          <w:p w14:paraId="7474548D">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4D37BC40">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46B79AFB">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14:paraId="6CAB3B3B">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8学分</w:t>
            </w:r>
          </w:p>
        </w:tc>
      </w:tr>
      <w:tr w14:paraId="60699D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B9CD65">
            <w:pPr>
              <w:rPr>
                <w:rFonts w:ascii="方正小标宋简体" w:hAnsi="方正小标宋简体" w:eastAsia="方正小标宋简体" w:cs="方正小标宋简体"/>
                <w:b/>
                <w:sz w:val="18"/>
                <w:szCs w:val="18"/>
              </w:rPr>
            </w:pPr>
          </w:p>
        </w:tc>
        <w:tc>
          <w:tcPr>
            <w:tcW w:w="1226" w:type="dxa"/>
            <w:vMerge w:val="continue"/>
            <w:vAlign w:val="center"/>
          </w:tcPr>
          <w:p w14:paraId="7E48F171">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3D04572F">
            <w:pP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比较教育</w:t>
            </w:r>
            <w:r>
              <w:rPr>
                <w:rFonts w:hint="eastAsia" w:ascii="方正小标宋简体" w:hAnsi="方正小标宋简体" w:eastAsia="方正小标宋简体" w:cs="方正小标宋简体"/>
                <w:sz w:val="18"/>
                <w:szCs w:val="18"/>
              </w:rPr>
              <w:t>国别</w:t>
            </w:r>
            <w:r>
              <w:rPr>
                <w:rFonts w:ascii="方正小标宋简体" w:hAnsi="方正小标宋简体" w:eastAsia="方正小标宋简体" w:cs="方正小标宋简体"/>
                <w:sz w:val="18"/>
                <w:szCs w:val="18"/>
              </w:rPr>
              <w:t>与专题研究</w:t>
            </w:r>
          </w:p>
        </w:tc>
        <w:tc>
          <w:tcPr>
            <w:tcW w:w="1274" w:type="dxa"/>
            <w:vAlign w:val="center"/>
          </w:tcPr>
          <w:p w14:paraId="5C852A7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XB0643102</w:t>
            </w:r>
          </w:p>
        </w:tc>
        <w:tc>
          <w:tcPr>
            <w:tcW w:w="709" w:type="dxa"/>
            <w:vAlign w:val="center"/>
          </w:tcPr>
          <w:p w14:paraId="67C284A8">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0F75CC98">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2309CFBA">
            <w:pPr>
              <w:adjustRightInd w:val="0"/>
              <w:snapToGrid w:val="0"/>
              <w:jc w:val="center"/>
              <w:rPr>
                <w:rFonts w:ascii="方正小标宋简体" w:hAnsi="方正小标宋简体" w:eastAsia="方正小标宋简体" w:cs="方正小标宋简体"/>
                <w:sz w:val="18"/>
                <w:szCs w:val="18"/>
              </w:rPr>
            </w:pPr>
          </w:p>
        </w:tc>
      </w:tr>
      <w:tr w14:paraId="4B9523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4B0FF3">
            <w:pPr>
              <w:rPr>
                <w:rFonts w:ascii="方正小标宋简体" w:hAnsi="方正小标宋简体" w:eastAsia="方正小标宋简体" w:cs="方正小标宋简体"/>
                <w:b/>
                <w:sz w:val="18"/>
                <w:szCs w:val="18"/>
              </w:rPr>
            </w:pPr>
          </w:p>
        </w:tc>
        <w:tc>
          <w:tcPr>
            <w:tcW w:w="1226" w:type="dxa"/>
            <w:vMerge w:val="continue"/>
            <w:vAlign w:val="center"/>
          </w:tcPr>
          <w:p w14:paraId="2804DF58">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04F1BD1A">
            <w:pP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国际教育与</w:t>
            </w:r>
            <w:r>
              <w:rPr>
                <w:rFonts w:hint="eastAsia" w:ascii="方正小标宋简体" w:hAnsi="方正小标宋简体" w:eastAsia="方正小标宋简体" w:cs="方正小标宋简体"/>
                <w:sz w:val="18"/>
                <w:szCs w:val="18"/>
              </w:rPr>
              <w:t>发展教育专题</w:t>
            </w:r>
          </w:p>
        </w:tc>
        <w:tc>
          <w:tcPr>
            <w:tcW w:w="1274" w:type="dxa"/>
            <w:vAlign w:val="center"/>
          </w:tcPr>
          <w:p w14:paraId="2B5B04A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XB0643103</w:t>
            </w:r>
          </w:p>
        </w:tc>
        <w:tc>
          <w:tcPr>
            <w:tcW w:w="709" w:type="dxa"/>
            <w:vAlign w:val="center"/>
          </w:tcPr>
          <w:p w14:paraId="655EE410">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56B00CF5">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04774271">
            <w:pPr>
              <w:adjustRightInd w:val="0"/>
              <w:snapToGrid w:val="0"/>
              <w:jc w:val="center"/>
              <w:rPr>
                <w:rFonts w:ascii="方正小标宋简体" w:hAnsi="方正小标宋简体" w:eastAsia="方正小标宋简体" w:cs="方正小标宋简体"/>
                <w:sz w:val="18"/>
                <w:szCs w:val="18"/>
              </w:rPr>
            </w:pPr>
          </w:p>
        </w:tc>
      </w:tr>
      <w:tr w14:paraId="51E18E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A1853B">
            <w:pPr>
              <w:rPr>
                <w:rFonts w:ascii="方正小标宋简体" w:hAnsi="方正小标宋简体" w:eastAsia="方正小标宋简体" w:cs="方正小标宋简体"/>
                <w:b/>
                <w:sz w:val="18"/>
                <w:szCs w:val="18"/>
              </w:rPr>
            </w:pPr>
          </w:p>
        </w:tc>
        <w:tc>
          <w:tcPr>
            <w:tcW w:w="1226" w:type="dxa"/>
            <w:vMerge w:val="continue"/>
            <w:vAlign w:val="center"/>
          </w:tcPr>
          <w:p w14:paraId="37FFABE3">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16321CB4">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比较教育经典阅读</w:t>
            </w:r>
          </w:p>
        </w:tc>
        <w:tc>
          <w:tcPr>
            <w:tcW w:w="1274" w:type="dxa"/>
            <w:vAlign w:val="center"/>
          </w:tcPr>
          <w:p w14:paraId="03D7341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XB0643104</w:t>
            </w:r>
          </w:p>
        </w:tc>
        <w:tc>
          <w:tcPr>
            <w:tcW w:w="709" w:type="dxa"/>
            <w:vAlign w:val="center"/>
          </w:tcPr>
          <w:p w14:paraId="5470E2A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5CEDE380">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14:paraId="0A546F82">
            <w:pPr>
              <w:adjustRightInd w:val="0"/>
              <w:snapToGrid w:val="0"/>
              <w:jc w:val="center"/>
              <w:rPr>
                <w:rFonts w:ascii="方正小标宋简体" w:hAnsi="方正小标宋简体" w:eastAsia="方正小标宋简体" w:cs="方正小标宋简体"/>
                <w:sz w:val="18"/>
                <w:szCs w:val="18"/>
              </w:rPr>
            </w:pPr>
          </w:p>
        </w:tc>
      </w:tr>
      <w:tr w14:paraId="4BA2DD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83E358">
            <w:pPr>
              <w:rPr>
                <w:rFonts w:ascii="方正小标宋简体" w:hAnsi="方正小标宋简体" w:eastAsia="方正小标宋简体" w:cs="方正小标宋简体"/>
                <w:b/>
                <w:sz w:val="18"/>
                <w:szCs w:val="18"/>
              </w:rPr>
            </w:pPr>
          </w:p>
        </w:tc>
        <w:tc>
          <w:tcPr>
            <w:tcW w:w="1226" w:type="dxa"/>
            <w:vMerge w:val="restart"/>
            <w:vAlign w:val="center"/>
          </w:tcPr>
          <w:p w14:paraId="33C85506">
            <w:pPr>
              <w:adjustRightInd w:val="0"/>
              <w:snapToGrid w:val="0"/>
              <w:jc w:val="center"/>
              <w:rPr>
                <w:rFonts w:ascii="方正小标宋简体" w:hAnsi="方正小标宋简体" w:eastAsia="方正小标宋简体" w:cs="方正小标宋简体"/>
                <w:b/>
                <w:i/>
                <w:sz w:val="18"/>
                <w:szCs w:val="18"/>
              </w:rPr>
            </w:pPr>
            <w:r>
              <w:rPr>
                <w:rFonts w:hint="eastAsia" w:ascii="方正小标宋简体" w:hAnsi="方正小标宋简体" w:eastAsia="方正小标宋简体" w:cs="方正小标宋简体"/>
                <w:b/>
                <w:sz w:val="18"/>
                <w:szCs w:val="18"/>
              </w:rPr>
              <w:t>高等教育学方向</w:t>
            </w:r>
          </w:p>
          <w:p w14:paraId="34839736">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323" w:type="dxa"/>
            <w:vAlign w:val="center"/>
          </w:tcPr>
          <w:p w14:paraId="2101D9EA">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高等教育学专题研究</w:t>
            </w:r>
          </w:p>
        </w:tc>
        <w:tc>
          <w:tcPr>
            <w:tcW w:w="1274" w:type="dxa"/>
            <w:vAlign w:val="center"/>
          </w:tcPr>
          <w:p w14:paraId="31BBE09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XB0644104</w:t>
            </w:r>
          </w:p>
        </w:tc>
        <w:tc>
          <w:tcPr>
            <w:tcW w:w="709" w:type="dxa"/>
            <w:vAlign w:val="center"/>
          </w:tcPr>
          <w:p w14:paraId="4F9ABDC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7CEF1D0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7BBEBE31">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14:paraId="34C28BE7">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8学分</w:t>
            </w:r>
          </w:p>
        </w:tc>
      </w:tr>
      <w:tr w14:paraId="087AB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88DCE2">
            <w:pPr>
              <w:rPr>
                <w:rFonts w:ascii="方正小标宋简体" w:hAnsi="方正小标宋简体" w:eastAsia="方正小标宋简体" w:cs="方正小标宋简体"/>
                <w:b/>
                <w:sz w:val="18"/>
                <w:szCs w:val="18"/>
              </w:rPr>
            </w:pPr>
          </w:p>
        </w:tc>
        <w:tc>
          <w:tcPr>
            <w:tcW w:w="1226" w:type="dxa"/>
            <w:vMerge w:val="continue"/>
            <w:vAlign w:val="center"/>
          </w:tcPr>
          <w:p w14:paraId="09AAC19A">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756F9647">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高等教育组织与管理</w:t>
            </w:r>
          </w:p>
        </w:tc>
        <w:tc>
          <w:tcPr>
            <w:tcW w:w="1274" w:type="dxa"/>
            <w:vAlign w:val="center"/>
          </w:tcPr>
          <w:p w14:paraId="29F783D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XB0644102</w:t>
            </w:r>
          </w:p>
        </w:tc>
        <w:tc>
          <w:tcPr>
            <w:tcW w:w="709" w:type="dxa"/>
            <w:vAlign w:val="center"/>
          </w:tcPr>
          <w:p w14:paraId="6981938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1D947DE9">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54C92050">
            <w:pPr>
              <w:adjustRightInd w:val="0"/>
              <w:snapToGrid w:val="0"/>
              <w:jc w:val="center"/>
              <w:rPr>
                <w:rFonts w:ascii="方正小标宋简体" w:hAnsi="方正小标宋简体" w:eastAsia="方正小标宋简体" w:cs="方正小标宋简体"/>
                <w:sz w:val="18"/>
                <w:szCs w:val="18"/>
              </w:rPr>
            </w:pPr>
          </w:p>
        </w:tc>
      </w:tr>
      <w:tr w14:paraId="00D350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E2107B">
            <w:pPr>
              <w:rPr>
                <w:rFonts w:ascii="方正小标宋简体" w:hAnsi="方正小标宋简体" w:eastAsia="方正小标宋简体" w:cs="方正小标宋简体"/>
                <w:b/>
                <w:sz w:val="18"/>
                <w:szCs w:val="18"/>
              </w:rPr>
            </w:pPr>
          </w:p>
        </w:tc>
        <w:tc>
          <w:tcPr>
            <w:tcW w:w="1226" w:type="dxa"/>
            <w:vMerge w:val="continue"/>
            <w:vAlign w:val="center"/>
          </w:tcPr>
          <w:p w14:paraId="2195E85F">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5D8343E6">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高等教育质量监测与评估</w:t>
            </w:r>
          </w:p>
        </w:tc>
        <w:tc>
          <w:tcPr>
            <w:tcW w:w="1274" w:type="dxa"/>
            <w:vAlign w:val="center"/>
          </w:tcPr>
          <w:p w14:paraId="429D59B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XB0644103</w:t>
            </w:r>
          </w:p>
        </w:tc>
        <w:tc>
          <w:tcPr>
            <w:tcW w:w="709" w:type="dxa"/>
            <w:vAlign w:val="center"/>
          </w:tcPr>
          <w:p w14:paraId="25472E8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5F2C21C8">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149A650E">
            <w:pPr>
              <w:adjustRightInd w:val="0"/>
              <w:snapToGrid w:val="0"/>
              <w:jc w:val="center"/>
              <w:rPr>
                <w:rFonts w:ascii="方正小标宋简体" w:hAnsi="方正小标宋简体" w:eastAsia="方正小标宋简体" w:cs="方正小标宋简体"/>
                <w:sz w:val="18"/>
                <w:szCs w:val="18"/>
              </w:rPr>
            </w:pPr>
          </w:p>
        </w:tc>
      </w:tr>
      <w:tr w14:paraId="5CD22D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A3DA89">
            <w:pPr>
              <w:rPr>
                <w:rFonts w:ascii="方正小标宋简体" w:hAnsi="方正小标宋简体" w:eastAsia="方正小标宋简体" w:cs="方正小标宋简体"/>
                <w:b/>
                <w:sz w:val="18"/>
                <w:szCs w:val="18"/>
              </w:rPr>
            </w:pPr>
          </w:p>
        </w:tc>
        <w:tc>
          <w:tcPr>
            <w:tcW w:w="1226" w:type="dxa"/>
            <w:vMerge w:val="continue"/>
            <w:vAlign w:val="center"/>
          </w:tcPr>
          <w:p w14:paraId="2E698982">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076790B7">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中外高等教育史</w:t>
            </w:r>
          </w:p>
        </w:tc>
        <w:tc>
          <w:tcPr>
            <w:tcW w:w="1274" w:type="dxa"/>
            <w:vAlign w:val="center"/>
          </w:tcPr>
          <w:p w14:paraId="348E570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XB0644105</w:t>
            </w:r>
          </w:p>
        </w:tc>
        <w:tc>
          <w:tcPr>
            <w:tcW w:w="709" w:type="dxa"/>
            <w:vAlign w:val="center"/>
          </w:tcPr>
          <w:p w14:paraId="41BB201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16FD475D">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14:paraId="1FB672E8">
            <w:pPr>
              <w:adjustRightInd w:val="0"/>
              <w:snapToGrid w:val="0"/>
              <w:jc w:val="center"/>
              <w:rPr>
                <w:rFonts w:ascii="方正小标宋简体" w:hAnsi="方正小标宋简体" w:eastAsia="方正小标宋简体" w:cs="方正小标宋简体"/>
                <w:sz w:val="18"/>
                <w:szCs w:val="18"/>
              </w:rPr>
            </w:pPr>
          </w:p>
        </w:tc>
      </w:tr>
      <w:tr w14:paraId="7AA89C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11C50C3">
            <w:pPr>
              <w:rPr>
                <w:rFonts w:ascii="方正小标宋简体" w:hAnsi="方正小标宋简体" w:eastAsia="方正小标宋简体" w:cs="方正小标宋简体"/>
                <w:b/>
                <w:sz w:val="18"/>
                <w:szCs w:val="18"/>
              </w:rPr>
            </w:pPr>
          </w:p>
        </w:tc>
        <w:tc>
          <w:tcPr>
            <w:tcW w:w="1226" w:type="dxa"/>
            <w:vMerge w:val="restart"/>
            <w:vAlign w:val="center"/>
          </w:tcPr>
          <w:p w14:paraId="2EE0237A">
            <w:pPr>
              <w:adjustRightInd w:val="0"/>
              <w:snapToGrid w:val="0"/>
              <w:jc w:val="center"/>
              <w:rPr>
                <w:rFonts w:ascii="方正小标宋简体" w:hAnsi="方正小标宋简体" w:eastAsia="方正小标宋简体" w:cs="方正小标宋简体"/>
                <w:b/>
                <w:i/>
                <w:sz w:val="18"/>
                <w:szCs w:val="18"/>
              </w:rPr>
            </w:pPr>
            <w:r>
              <w:rPr>
                <w:rFonts w:hint="eastAsia" w:ascii="方正小标宋简体" w:hAnsi="方正小标宋简体" w:eastAsia="方正小标宋简体" w:cs="方正小标宋简体"/>
                <w:b/>
                <w:sz w:val="18"/>
                <w:szCs w:val="18"/>
              </w:rPr>
              <w:t>教育心理与学生发展二级学科</w:t>
            </w:r>
          </w:p>
          <w:p w14:paraId="4F0EF3A8">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323" w:type="dxa"/>
            <w:vAlign w:val="center"/>
          </w:tcPr>
          <w:p w14:paraId="4E726DCD">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学习与发展专题</w:t>
            </w:r>
          </w:p>
        </w:tc>
        <w:tc>
          <w:tcPr>
            <w:tcW w:w="1274" w:type="dxa"/>
            <w:vAlign w:val="center"/>
          </w:tcPr>
          <w:p w14:paraId="7D8EE75F">
            <w:pPr>
              <w:jc w:val="center"/>
              <w:rPr>
                <w:rFonts w:hint="default" w:ascii="方正小标宋简体" w:hAnsi="方正小标宋简体" w:eastAsia="方正小标宋简体" w:cs="方正小标宋简体"/>
                <w:sz w:val="18"/>
                <w:szCs w:val="18"/>
                <w:lang w:val="en-US" w:eastAsia="zh-CN"/>
              </w:rPr>
            </w:pPr>
            <w:r>
              <w:rPr>
                <w:rFonts w:hint="eastAsia" w:ascii="方正小标宋简体" w:hAnsi="方正小标宋简体" w:eastAsia="方正小标宋简体" w:cs="方正小标宋简体"/>
                <w:sz w:val="18"/>
                <w:szCs w:val="18"/>
              </w:rPr>
              <w:t>XB06</w:t>
            </w:r>
            <w:r>
              <w:rPr>
                <w:rFonts w:hint="eastAsia" w:ascii="方正小标宋简体" w:hAnsi="方正小标宋简体" w:eastAsia="方正小标宋简体" w:cs="方正小标宋简体"/>
                <w:sz w:val="18"/>
                <w:szCs w:val="18"/>
                <w:lang w:val="en-US" w:eastAsia="zh-CN"/>
              </w:rPr>
              <w:t>45104</w:t>
            </w:r>
            <w:bookmarkStart w:id="1" w:name="_GoBack"/>
            <w:bookmarkEnd w:id="1"/>
          </w:p>
        </w:tc>
        <w:tc>
          <w:tcPr>
            <w:tcW w:w="709" w:type="dxa"/>
            <w:vAlign w:val="center"/>
          </w:tcPr>
          <w:p w14:paraId="09DBAF68">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0769B8B8">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513E0E48">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14:paraId="349B4BD3">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8学分</w:t>
            </w:r>
          </w:p>
        </w:tc>
      </w:tr>
      <w:tr w14:paraId="28AB9E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9D669E9">
            <w:pPr>
              <w:rPr>
                <w:rFonts w:ascii="方正小标宋简体" w:hAnsi="方正小标宋简体" w:eastAsia="方正小标宋简体" w:cs="方正小标宋简体"/>
                <w:b/>
                <w:sz w:val="18"/>
                <w:szCs w:val="18"/>
              </w:rPr>
            </w:pPr>
          </w:p>
        </w:tc>
        <w:tc>
          <w:tcPr>
            <w:tcW w:w="1226" w:type="dxa"/>
            <w:vMerge w:val="continue"/>
            <w:vAlign w:val="center"/>
          </w:tcPr>
          <w:p w14:paraId="02DA5AB2">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1FE5B958">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教育心理学理论建构与研究设计</w:t>
            </w:r>
          </w:p>
        </w:tc>
        <w:tc>
          <w:tcPr>
            <w:tcW w:w="1274" w:type="dxa"/>
            <w:vAlign w:val="center"/>
          </w:tcPr>
          <w:p w14:paraId="3A98A35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XB0645101</w:t>
            </w:r>
          </w:p>
        </w:tc>
        <w:tc>
          <w:tcPr>
            <w:tcW w:w="709" w:type="dxa"/>
            <w:vAlign w:val="center"/>
          </w:tcPr>
          <w:p w14:paraId="31C1217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0351BB0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Merge w:val="continue"/>
            <w:vAlign w:val="center"/>
          </w:tcPr>
          <w:p w14:paraId="58078C69">
            <w:pPr>
              <w:adjustRightInd w:val="0"/>
              <w:snapToGrid w:val="0"/>
              <w:jc w:val="center"/>
              <w:rPr>
                <w:rFonts w:ascii="方正小标宋简体" w:hAnsi="方正小标宋简体" w:eastAsia="方正小标宋简体" w:cs="方正小标宋简体"/>
                <w:sz w:val="18"/>
                <w:szCs w:val="18"/>
              </w:rPr>
            </w:pPr>
          </w:p>
        </w:tc>
      </w:tr>
      <w:tr w14:paraId="5217AA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8016E5">
            <w:pPr>
              <w:rPr>
                <w:rFonts w:ascii="方正小标宋简体" w:hAnsi="方正小标宋简体" w:eastAsia="方正小标宋简体" w:cs="方正小标宋简体"/>
                <w:b/>
                <w:sz w:val="18"/>
                <w:szCs w:val="18"/>
              </w:rPr>
            </w:pPr>
          </w:p>
        </w:tc>
        <w:tc>
          <w:tcPr>
            <w:tcW w:w="1226" w:type="dxa"/>
            <w:vMerge w:val="continue"/>
            <w:vAlign w:val="center"/>
          </w:tcPr>
          <w:p w14:paraId="6AB47019">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41783F9C">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高级心理统计</w:t>
            </w:r>
          </w:p>
        </w:tc>
        <w:tc>
          <w:tcPr>
            <w:tcW w:w="1274" w:type="dxa"/>
            <w:vAlign w:val="center"/>
          </w:tcPr>
          <w:p w14:paraId="07A8EC0A">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XB0645102</w:t>
            </w:r>
          </w:p>
        </w:tc>
        <w:tc>
          <w:tcPr>
            <w:tcW w:w="709" w:type="dxa"/>
            <w:vAlign w:val="center"/>
          </w:tcPr>
          <w:p w14:paraId="0087F5C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440D66F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Merge w:val="continue"/>
            <w:vAlign w:val="center"/>
          </w:tcPr>
          <w:p w14:paraId="345BC042">
            <w:pPr>
              <w:adjustRightInd w:val="0"/>
              <w:snapToGrid w:val="0"/>
              <w:jc w:val="center"/>
              <w:rPr>
                <w:rFonts w:ascii="方正小标宋简体" w:hAnsi="方正小标宋简体" w:eastAsia="方正小标宋简体" w:cs="方正小标宋简体"/>
                <w:sz w:val="18"/>
                <w:szCs w:val="18"/>
              </w:rPr>
            </w:pPr>
          </w:p>
        </w:tc>
      </w:tr>
      <w:tr w14:paraId="6FAE94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D14AEA">
            <w:pPr>
              <w:rPr>
                <w:rFonts w:ascii="方正小标宋简体" w:hAnsi="方正小标宋简体" w:eastAsia="方正小标宋简体" w:cs="方正小标宋简体"/>
                <w:b/>
                <w:sz w:val="18"/>
                <w:szCs w:val="18"/>
              </w:rPr>
            </w:pPr>
          </w:p>
        </w:tc>
        <w:tc>
          <w:tcPr>
            <w:tcW w:w="1226" w:type="dxa"/>
            <w:vMerge w:val="continue"/>
            <w:vAlign w:val="center"/>
          </w:tcPr>
          <w:p w14:paraId="519FD844">
            <w:pPr>
              <w:adjustRightInd w:val="0"/>
              <w:snapToGrid w:val="0"/>
              <w:jc w:val="center"/>
              <w:rPr>
                <w:rFonts w:ascii="方正小标宋简体" w:hAnsi="方正小标宋简体" w:eastAsia="方正小标宋简体" w:cs="方正小标宋简体"/>
                <w:b/>
                <w:sz w:val="18"/>
                <w:szCs w:val="18"/>
              </w:rPr>
            </w:pPr>
          </w:p>
        </w:tc>
        <w:tc>
          <w:tcPr>
            <w:tcW w:w="3323" w:type="dxa"/>
            <w:vAlign w:val="center"/>
          </w:tcPr>
          <w:p w14:paraId="30D1EDF8">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心理学研究进展</w:t>
            </w:r>
          </w:p>
        </w:tc>
        <w:tc>
          <w:tcPr>
            <w:tcW w:w="1274" w:type="dxa"/>
            <w:vAlign w:val="center"/>
          </w:tcPr>
          <w:p w14:paraId="0E5CBEBA">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XB0645103</w:t>
            </w:r>
          </w:p>
        </w:tc>
        <w:tc>
          <w:tcPr>
            <w:tcW w:w="709" w:type="dxa"/>
            <w:vAlign w:val="center"/>
          </w:tcPr>
          <w:p w14:paraId="627FFD2B">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42E0CBBF">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14:paraId="677BFFC8">
            <w:pPr>
              <w:adjustRightInd w:val="0"/>
              <w:snapToGrid w:val="0"/>
              <w:jc w:val="center"/>
              <w:rPr>
                <w:rFonts w:ascii="方正小标宋简体" w:hAnsi="方正小标宋简体" w:eastAsia="方正小标宋简体" w:cs="方正小标宋简体"/>
                <w:sz w:val="18"/>
                <w:szCs w:val="18"/>
              </w:rPr>
            </w:pPr>
          </w:p>
        </w:tc>
      </w:tr>
      <w:tr w14:paraId="669843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A602090">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必修环节</w:t>
            </w:r>
          </w:p>
          <w:p w14:paraId="5D5B685E">
            <w:pPr>
              <w:jc w:val="center"/>
              <w:rPr>
                <w:rFonts w:ascii="方正小标宋简体" w:hAnsi="方正小标宋简体" w:eastAsia="方正小标宋简体" w:cs="方正小标宋简体"/>
                <w:b/>
                <w:sz w:val="18"/>
                <w:szCs w:val="18"/>
              </w:rPr>
            </w:pPr>
          </w:p>
        </w:tc>
        <w:tc>
          <w:tcPr>
            <w:tcW w:w="1226" w:type="dxa"/>
            <w:vMerge w:val="restart"/>
            <w:vAlign w:val="center"/>
          </w:tcPr>
          <w:p w14:paraId="5E623AA4">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素质拓展</w:t>
            </w:r>
          </w:p>
        </w:tc>
        <w:tc>
          <w:tcPr>
            <w:tcW w:w="3323" w:type="dxa"/>
            <w:vAlign w:val="center"/>
          </w:tcPr>
          <w:p w14:paraId="1477E2D3">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入学教育</w:t>
            </w:r>
          </w:p>
        </w:tc>
        <w:tc>
          <w:tcPr>
            <w:tcW w:w="1274" w:type="dxa"/>
            <w:vAlign w:val="center"/>
          </w:tcPr>
          <w:p w14:paraId="3F198800">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6</w:t>
            </w:r>
          </w:p>
        </w:tc>
        <w:tc>
          <w:tcPr>
            <w:tcW w:w="709" w:type="dxa"/>
            <w:vAlign w:val="center"/>
          </w:tcPr>
          <w:p w14:paraId="7277FB4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14:paraId="0DA958BA">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1838C49E">
            <w:pPr>
              <w:jc w:val="center"/>
              <w:rPr>
                <w:rFonts w:ascii="方正小标宋简体" w:hAnsi="方正小标宋简体" w:eastAsia="方正小标宋简体" w:cs="方正小标宋简体"/>
                <w:i/>
                <w:sz w:val="18"/>
                <w:szCs w:val="18"/>
              </w:rPr>
            </w:pPr>
          </w:p>
        </w:tc>
      </w:tr>
      <w:tr w14:paraId="67A3ED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2EA0A681">
            <w:pPr>
              <w:jc w:val="center"/>
              <w:rPr>
                <w:rFonts w:ascii="方正小标宋简体" w:hAnsi="方正小标宋简体" w:eastAsia="方正小标宋简体" w:cs="方正小标宋简体"/>
                <w:b/>
                <w:sz w:val="18"/>
                <w:szCs w:val="18"/>
              </w:rPr>
            </w:pPr>
          </w:p>
        </w:tc>
        <w:tc>
          <w:tcPr>
            <w:tcW w:w="1226" w:type="dxa"/>
            <w:vMerge w:val="continue"/>
            <w:vAlign w:val="center"/>
          </w:tcPr>
          <w:p w14:paraId="2010DD8A">
            <w:pPr>
              <w:jc w:val="center"/>
              <w:rPr>
                <w:rFonts w:ascii="方正小标宋简体" w:hAnsi="方正小标宋简体" w:eastAsia="方正小标宋简体" w:cs="方正小标宋简体"/>
                <w:b/>
                <w:sz w:val="18"/>
                <w:szCs w:val="18"/>
              </w:rPr>
            </w:pPr>
          </w:p>
        </w:tc>
        <w:tc>
          <w:tcPr>
            <w:tcW w:w="3323" w:type="dxa"/>
            <w:vAlign w:val="center"/>
          </w:tcPr>
          <w:p w14:paraId="00F3BAAC">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学术活动</w:t>
            </w:r>
          </w:p>
        </w:tc>
        <w:tc>
          <w:tcPr>
            <w:tcW w:w="1274" w:type="dxa"/>
            <w:vAlign w:val="center"/>
          </w:tcPr>
          <w:p w14:paraId="2311473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14:paraId="3FDFA9E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2740E592">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1-4</w:t>
            </w:r>
          </w:p>
        </w:tc>
        <w:tc>
          <w:tcPr>
            <w:tcW w:w="1045" w:type="dxa"/>
            <w:vMerge w:val="continue"/>
            <w:vAlign w:val="center"/>
          </w:tcPr>
          <w:p w14:paraId="5A72AE79">
            <w:pPr>
              <w:jc w:val="center"/>
              <w:rPr>
                <w:rFonts w:ascii="方正小标宋简体" w:hAnsi="方正小标宋简体" w:eastAsia="方正小标宋简体" w:cs="方正小标宋简体"/>
                <w:sz w:val="18"/>
                <w:szCs w:val="18"/>
              </w:rPr>
            </w:pPr>
          </w:p>
        </w:tc>
      </w:tr>
      <w:tr w14:paraId="5E0A8D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2175035">
            <w:pPr>
              <w:rPr>
                <w:rFonts w:ascii="方正小标宋简体" w:hAnsi="方正小标宋简体" w:eastAsia="方正小标宋简体" w:cs="方正小标宋简体"/>
                <w:b/>
                <w:sz w:val="18"/>
                <w:szCs w:val="18"/>
              </w:rPr>
            </w:pPr>
          </w:p>
        </w:tc>
        <w:tc>
          <w:tcPr>
            <w:tcW w:w="1226" w:type="dxa"/>
            <w:vMerge w:val="restart"/>
            <w:vAlign w:val="center"/>
          </w:tcPr>
          <w:p w14:paraId="68A54727">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学术训练</w:t>
            </w:r>
          </w:p>
        </w:tc>
        <w:tc>
          <w:tcPr>
            <w:tcW w:w="3323" w:type="dxa"/>
            <w:vAlign w:val="center"/>
          </w:tcPr>
          <w:p w14:paraId="54C3E7AF">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中期筛选</w:t>
            </w:r>
          </w:p>
        </w:tc>
        <w:tc>
          <w:tcPr>
            <w:tcW w:w="1274" w:type="dxa"/>
          </w:tcPr>
          <w:p w14:paraId="406071D6">
            <w:pPr>
              <w:jc w:val="center"/>
            </w:pPr>
            <w:r>
              <w:rPr>
                <w:rFonts w:hint="eastAsia" w:ascii="方正小标宋简体" w:hAnsi="方正小标宋简体" w:eastAsia="方正小标宋简体" w:cs="方正小标宋简体"/>
                <w:sz w:val="18"/>
                <w:szCs w:val="18"/>
              </w:rPr>
              <w:t>—</w:t>
            </w:r>
          </w:p>
        </w:tc>
        <w:tc>
          <w:tcPr>
            <w:tcW w:w="709" w:type="dxa"/>
            <w:vAlign w:val="center"/>
          </w:tcPr>
          <w:p w14:paraId="55072B61">
            <w:pPr>
              <w:jc w:val="center"/>
              <w:rPr>
                <w:rFonts w:ascii="方正小标宋简体" w:hAnsi="方正小标宋简体" w:eastAsia="方正小标宋简体" w:cs="方正小标宋简体"/>
                <w:sz w:val="18"/>
                <w:szCs w:val="18"/>
              </w:rPr>
            </w:pPr>
          </w:p>
        </w:tc>
        <w:tc>
          <w:tcPr>
            <w:tcW w:w="709" w:type="dxa"/>
            <w:vAlign w:val="center"/>
          </w:tcPr>
          <w:p w14:paraId="3A19912D">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3</w:t>
            </w:r>
          </w:p>
        </w:tc>
        <w:tc>
          <w:tcPr>
            <w:tcW w:w="1045" w:type="dxa"/>
            <w:vMerge w:val="restart"/>
            <w:vAlign w:val="center"/>
          </w:tcPr>
          <w:p w14:paraId="3E722339">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过程管理</w:t>
            </w:r>
          </w:p>
          <w:p w14:paraId="411B473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无学分</w:t>
            </w:r>
          </w:p>
        </w:tc>
      </w:tr>
      <w:tr w14:paraId="106A83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235851">
            <w:pPr>
              <w:rPr>
                <w:rFonts w:ascii="方正小标宋简体" w:hAnsi="方正小标宋简体" w:eastAsia="方正小标宋简体" w:cs="方正小标宋简体"/>
                <w:b/>
                <w:sz w:val="18"/>
                <w:szCs w:val="18"/>
              </w:rPr>
            </w:pPr>
          </w:p>
        </w:tc>
        <w:tc>
          <w:tcPr>
            <w:tcW w:w="1226" w:type="dxa"/>
            <w:vMerge w:val="continue"/>
            <w:vAlign w:val="center"/>
          </w:tcPr>
          <w:p w14:paraId="18CFA1B9">
            <w:pPr>
              <w:jc w:val="center"/>
              <w:rPr>
                <w:rFonts w:ascii="方正小标宋简体" w:hAnsi="方正小标宋简体" w:eastAsia="方正小标宋简体" w:cs="方正小标宋简体"/>
                <w:b/>
                <w:sz w:val="18"/>
                <w:szCs w:val="18"/>
              </w:rPr>
            </w:pPr>
          </w:p>
        </w:tc>
        <w:tc>
          <w:tcPr>
            <w:tcW w:w="3323" w:type="dxa"/>
            <w:vAlign w:val="center"/>
          </w:tcPr>
          <w:p w14:paraId="6C8CD13D">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论文开题</w:t>
            </w:r>
          </w:p>
        </w:tc>
        <w:tc>
          <w:tcPr>
            <w:tcW w:w="1274" w:type="dxa"/>
          </w:tcPr>
          <w:p w14:paraId="23270F0B">
            <w:pPr>
              <w:jc w:val="center"/>
            </w:pPr>
            <w:r>
              <w:rPr>
                <w:rFonts w:hint="eastAsia" w:ascii="方正小标宋简体" w:hAnsi="方正小标宋简体" w:eastAsia="方正小标宋简体" w:cs="方正小标宋简体"/>
                <w:sz w:val="18"/>
                <w:szCs w:val="18"/>
              </w:rPr>
              <w:t>—</w:t>
            </w:r>
          </w:p>
        </w:tc>
        <w:tc>
          <w:tcPr>
            <w:tcW w:w="709" w:type="dxa"/>
            <w:vAlign w:val="center"/>
          </w:tcPr>
          <w:p w14:paraId="367EEA23">
            <w:pPr>
              <w:jc w:val="center"/>
              <w:rPr>
                <w:rFonts w:ascii="方正小标宋简体" w:hAnsi="方正小标宋简体" w:eastAsia="方正小标宋简体" w:cs="方正小标宋简体"/>
                <w:sz w:val="18"/>
                <w:szCs w:val="18"/>
              </w:rPr>
            </w:pPr>
          </w:p>
        </w:tc>
        <w:tc>
          <w:tcPr>
            <w:tcW w:w="709" w:type="dxa"/>
            <w:vAlign w:val="center"/>
          </w:tcPr>
          <w:p w14:paraId="75692AF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3</w:t>
            </w:r>
            <w:r>
              <w:rPr>
                <w:rFonts w:ascii="方正小标宋简体" w:hAnsi="方正小标宋简体" w:eastAsia="方正小标宋简体" w:cs="方正小标宋简体"/>
                <w:sz w:val="18"/>
                <w:szCs w:val="18"/>
              </w:rPr>
              <w:t>-4</w:t>
            </w:r>
          </w:p>
        </w:tc>
        <w:tc>
          <w:tcPr>
            <w:tcW w:w="1045" w:type="dxa"/>
            <w:vMerge w:val="continue"/>
            <w:vAlign w:val="center"/>
          </w:tcPr>
          <w:p w14:paraId="75308035">
            <w:pPr>
              <w:jc w:val="center"/>
              <w:rPr>
                <w:rFonts w:ascii="方正小标宋简体" w:hAnsi="方正小标宋简体" w:eastAsia="方正小标宋简体" w:cs="方正小标宋简体"/>
                <w:sz w:val="18"/>
                <w:szCs w:val="18"/>
              </w:rPr>
            </w:pPr>
          </w:p>
        </w:tc>
      </w:tr>
      <w:tr w14:paraId="5467E6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501729">
            <w:pPr>
              <w:rPr>
                <w:rFonts w:ascii="方正小标宋简体" w:hAnsi="方正小标宋简体" w:eastAsia="方正小标宋简体" w:cs="方正小标宋简体"/>
                <w:b/>
                <w:sz w:val="18"/>
                <w:szCs w:val="18"/>
              </w:rPr>
            </w:pPr>
          </w:p>
        </w:tc>
        <w:tc>
          <w:tcPr>
            <w:tcW w:w="1226" w:type="dxa"/>
            <w:vMerge w:val="continue"/>
            <w:vAlign w:val="center"/>
          </w:tcPr>
          <w:p w14:paraId="2EE2477C">
            <w:pPr>
              <w:jc w:val="center"/>
              <w:rPr>
                <w:rFonts w:ascii="方正小标宋简体" w:hAnsi="方正小标宋简体" w:eastAsia="方正小标宋简体" w:cs="方正小标宋简体"/>
                <w:b/>
                <w:sz w:val="18"/>
                <w:szCs w:val="18"/>
              </w:rPr>
            </w:pPr>
          </w:p>
        </w:tc>
        <w:tc>
          <w:tcPr>
            <w:tcW w:w="3323" w:type="dxa"/>
            <w:vAlign w:val="center"/>
          </w:tcPr>
          <w:p w14:paraId="46141C1C">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论文中期进展报告</w:t>
            </w:r>
          </w:p>
        </w:tc>
        <w:tc>
          <w:tcPr>
            <w:tcW w:w="1274" w:type="dxa"/>
          </w:tcPr>
          <w:p w14:paraId="0AA79C72">
            <w:pPr>
              <w:jc w:val="center"/>
            </w:pPr>
            <w:r>
              <w:rPr>
                <w:rFonts w:hint="eastAsia" w:ascii="方正小标宋简体" w:hAnsi="方正小标宋简体" w:eastAsia="方正小标宋简体" w:cs="方正小标宋简体"/>
                <w:sz w:val="18"/>
                <w:szCs w:val="18"/>
              </w:rPr>
              <w:t>—</w:t>
            </w:r>
          </w:p>
        </w:tc>
        <w:tc>
          <w:tcPr>
            <w:tcW w:w="709" w:type="dxa"/>
            <w:vAlign w:val="center"/>
          </w:tcPr>
          <w:p w14:paraId="29A2EC3F">
            <w:pPr>
              <w:jc w:val="center"/>
              <w:rPr>
                <w:rFonts w:ascii="方正小标宋简体" w:hAnsi="方正小标宋简体" w:eastAsia="方正小标宋简体" w:cs="方正小标宋简体"/>
                <w:sz w:val="18"/>
                <w:szCs w:val="18"/>
              </w:rPr>
            </w:pPr>
          </w:p>
        </w:tc>
        <w:tc>
          <w:tcPr>
            <w:tcW w:w="709" w:type="dxa"/>
            <w:vAlign w:val="center"/>
          </w:tcPr>
          <w:p w14:paraId="05DAA86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5</w:t>
            </w:r>
          </w:p>
        </w:tc>
        <w:tc>
          <w:tcPr>
            <w:tcW w:w="1045" w:type="dxa"/>
            <w:vMerge w:val="continue"/>
          </w:tcPr>
          <w:p w14:paraId="5CFCF6A0">
            <w:pPr>
              <w:jc w:val="center"/>
              <w:rPr>
                <w:rFonts w:ascii="方正小标宋简体" w:hAnsi="方正小标宋简体" w:eastAsia="方正小标宋简体" w:cs="方正小标宋简体"/>
                <w:sz w:val="18"/>
                <w:szCs w:val="18"/>
              </w:rPr>
            </w:pPr>
          </w:p>
        </w:tc>
      </w:tr>
      <w:tr w14:paraId="7D8E61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287175">
            <w:pPr>
              <w:rPr>
                <w:rFonts w:ascii="方正小标宋简体" w:hAnsi="方正小标宋简体" w:eastAsia="方正小标宋简体" w:cs="方正小标宋简体"/>
                <w:b/>
                <w:sz w:val="18"/>
                <w:szCs w:val="18"/>
              </w:rPr>
            </w:pPr>
          </w:p>
        </w:tc>
        <w:tc>
          <w:tcPr>
            <w:tcW w:w="1226" w:type="dxa"/>
            <w:vMerge w:val="continue"/>
            <w:vAlign w:val="center"/>
          </w:tcPr>
          <w:p w14:paraId="50CD3836">
            <w:pPr>
              <w:jc w:val="center"/>
              <w:rPr>
                <w:rFonts w:ascii="方正小标宋简体" w:hAnsi="方正小标宋简体" w:eastAsia="方正小标宋简体" w:cs="方正小标宋简体"/>
                <w:b/>
                <w:sz w:val="18"/>
                <w:szCs w:val="18"/>
              </w:rPr>
            </w:pPr>
          </w:p>
        </w:tc>
        <w:tc>
          <w:tcPr>
            <w:tcW w:w="3323" w:type="dxa"/>
            <w:vAlign w:val="center"/>
          </w:tcPr>
          <w:p w14:paraId="0BC90B42">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论文预答辩</w:t>
            </w:r>
          </w:p>
        </w:tc>
        <w:tc>
          <w:tcPr>
            <w:tcW w:w="1274" w:type="dxa"/>
          </w:tcPr>
          <w:p w14:paraId="1D457DF9">
            <w:pPr>
              <w:jc w:val="center"/>
            </w:pPr>
            <w:r>
              <w:rPr>
                <w:rFonts w:hint="eastAsia" w:ascii="方正小标宋简体" w:hAnsi="方正小标宋简体" w:eastAsia="方正小标宋简体" w:cs="方正小标宋简体"/>
                <w:sz w:val="18"/>
                <w:szCs w:val="18"/>
              </w:rPr>
              <w:t>—</w:t>
            </w:r>
          </w:p>
        </w:tc>
        <w:tc>
          <w:tcPr>
            <w:tcW w:w="709" w:type="dxa"/>
            <w:vAlign w:val="center"/>
          </w:tcPr>
          <w:p w14:paraId="120DAF39">
            <w:pPr>
              <w:jc w:val="center"/>
              <w:rPr>
                <w:rFonts w:ascii="方正小标宋简体" w:hAnsi="方正小标宋简体" w:eastAsia="方正小标宋简体" w:cs="方正小标宋简体"/>
                <w:sz w:val="18"/>
                <w:szCs w:val="18"/>
              </w:rPr>
            </w:pPr>
          </w:p>
        </w:tc>
        <w:tc>
          <w:tcPr>
            <w:tcW w:w="709" w:type="dxa"/>
            <w:vAlign w:val="center"/>
          </w:tcPr>
          <w:p w14:paraId="78DFD2ED">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6</w:t>
            </w:r>
          </w:p>
        </w:tc>
        <w:tc>
          <w:tcPr>
            <w:tcW w:w="1045" w:type="dxa"/>
            <w:vMerge w:val="continue"/>
          </w:tcPr>
          <w:p w14:paraId="34FDE410">
            <w:pPr>
              <w:jc w:val="center"/>
              <w:rPr>
                <w:rFonts w:ascii="方正小标宋简体" w:hAnsi="方正小标宋简体" w:eastAsia="方正小标宋简体" w:cs="方正小标宋简体"/>
                <w:sz w:val="18"/>
                <w:szCs w:val="18"/>
              </w:rPr>
            </w:pPr>
          </w:p>
        </w:tc>
      </w:tr>
      <w:tr w14:paraId="2ED3D7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5263DD">
            <w:pPr>
              <w:rPr>
                <w:rFonts w:ascii="方正小标宋简体" w:hAnsi="方正小标宋简体" w:eastAsia="方正小标宋简体" w:cs="方正小标宋简体"/>
                <w:sz w:val="18"/>
                <w:szCs w:val="18"/>
              </w:rPr>
            </w:pPr>
          </w:p>
        </w:tc>
        <w:tc>
          <w:tcPr>
            <w:tcW w:w="1226" w:type="dxa"/>
            <w:vMerge w:val="continue"/>
          </w:tcPr>
          <w:p w14:paraId="4F73032B">
            <w:pPr>
              <w:jc w:val="center"/>
              <w:rPr>
                <w:rFonts w:ascii="方正小标宋简体" w:hAnsi="方正小标宋简体" w:eastAsia="方正小标宋简体" w:cs="方正小标宋简体"/>
                <w:sz w:val="18"/>
                <w:szCs w:val="18"/>
              </w:rPr>
            </w:pPr>
          </w:p>
        </w:tc>
        <w:tc>
          <w:tcPr>
            <w:tcW w:w="3323" w:type="dxa"/>
            <w:vAlign w:val="center"/>
          </w:tcPr>
          <w:p w14:paraId="162F2AEB">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论文评审</w:t>
            </w:r>
          </w:p>
        </w:tc>
        <w:tc>
          <w:tcPr>
            <w:tcW w:w="1274" w:type="dxa"/>
          </w:tcPr>
          <w:p w14:paraId="51BFA695">
            <w:pPr>
              <w:jc w:val="center"/>
            </w:pPr>
            <w:r>
              <w:rPr>
                <w:rFonts w:hint="eastAsia" w:ascii="方正小标宋简体" w:hAnsi="方正小标宋简体" w:eastAsia="方正小标宋简体" w:cs="方正小标宋简体"/>
                <w:sz w:val="18"/>
                <w:szCs w:val="18"/>
              </w:rPr>
              <w:t>—</w:t>
            </w:r>
          </w:p>
        </w:tc>
        <w:tc>
          <w:tcPr>
            <w:tcW w:w="709" w:type="dxa"/>
            <w:vAlign w:val="center"/>
          </w:tcPr>
          <w:p w14:paraId="589C55D7">
            <w:pPr>
              <w:jc w:val="center"/>
              <w:rPr>
                <w:rFonts w:ascii="方正小标宋简体" w:hAnsi="方正小标宋简体" w:eastAsia="方正小标宋简体" w:cs="方正小标宋简体"/>
                <w:sz w:val="18"/>
                <w:szCs w:val="18"/>
              </w:rPr>
            </w:pPr>
          </w:p>
        </w:tc>
        <w:tc>
          <w:tcPr>
            <w:tcW w:w="709" w:type="dxa"/>
            <w:vAlign w:val="center"/>
          </w:tcPr>
          <w:p w14:paraId="183012B1">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14:paraId="28094897">
            <w:pPr>
              <w:jc w:val="center"/>
              <w:rPr>
                <w:rFonts w:ascii="方正小标宋简体" w:hAnsi="方正小标宋简体" w:eastAsia="方正小标宋简体" w:cs="方正小标宋简体"/>
                <w:sz w:val="18"/>
                <w:szCs w:val="18"/>
              </w:rPr>
            </w:pPr>
          </w:p>
        </w:tc>
      </w:tr>
      <w:tr w14:paraId="48EA10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C3688A4">
            <w:pPr>
              <w:rPr>
                <w:rFonts w:ascii="方正小标宋简体" w:hAnsi="方正小标宋简体" w:eastAsia="方正小标宋简体" w:cs="方正小标宋简体"/>
                <w:sz w:val="18"/>
                <w:szCs w:val="18"/>
              </w:rPr>
            </w:pPr>
          </w:p>
        </w:tc>
        <w:tc>
          <w:tcPr>
            <w:tcW w:w="1226" w:type="dxa"/>
            <w:vMerge w:val="continue"/>
          </w:tcPr>
          <w:p w14:paraId="69A80610">
            <w:pPr>
              <w:jc w:val="center"/>
              <w:rPr>
                <w:rFonts w:ascii="方正小标宋简体" w:hAnsi="方正小标宋简体" w:eastAsia="方正小标宋简体" w:cs="方正小标宋简体"/>
                <w:sz w:val="18"/>
                <w:szCs w:val="18"/>
              </w:rPr>
            </w:pPr>
          </w:p>
        </w:tc>
        <w:tc>
          <w:tcPr>
            <w:tcW w:w="3323" w:type="dxa"/>
            <w:vAlign w:val="center"/>
          </w:tcPr>
          <w:p w14:paraId="09CEC168">
            <w:pP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论文答辩</w:t>
            </w:r>
          </w:p>
        </w:tc>
        <w:tc>
          <w:tcPr>
            <w:tcW w:w="1274" w:type="dxa"/>
          </w:tcPr>
          <w:p w14:paraId="0A871FBC">
            <w:pPr>
              <w:jc w:val="center"/>
            </w:pPr>
            <w:r>
              <w:rPr>
                <w:rFonts w:hint="eastAsia" w:ascii="方正小标宋简体" w:hAnsi="方正小标宋简体" w:eastAsia="方正小标宋简体" w:cs="方正小标宋简体"/>
                <w:sz w:val="18"/>
                <w:szCs w:val="18"/>
              </w:rPr>
              <w:t>—</w:t>
            </w:r>
          </w:p>
        </w:tc>
        <w:tc>
          <w:tcPr>
            <w:tcW w:w="709" w:type="dxa"/>
            <w:vAlign w:val="center"/>
          </w:tcPr>
          <w:p w14:paraId="2BC7AA0E">
            <w:pPr>
              <w:jc w:val="center"/>
              <w:rPr>
                <w:rFonts w:ascii="方正小标宋简体" w:hAnsi="方正小标宋简体" w:eastAsia="方正小标宋简体" w:cs="方正小标宋简体"/>
                <w:sz w:val="18"/>
                <w:szCs w:val="18"/>
              </w:rPr>
            </w:pPr>
          </w:p>
        </w:tc>
        <w:tc>
          <w:tcPr>
            <w:tcW w:w="709" w:type="dxa"/>
            <w:vAlign w:val="center"/>
          </w:tcPr>
          <w:p w14:paraId="3FF5069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14:paraId="0B068427">
            <w:pPr>
              <w:jc w:val="center"/>
              <w:rPr>
                <w:rFonts w:ascii="方正小标宋简体" w:hAnsi="方正小标宋简体" w:eastAsia="方正小标宋简体" w:cs="方正小标宋简体"/>
                <w:sz w:val="18"/>
                <w:szCs w:val="18"/>
              </w:rPr>
            </w:pPr>
          </w:p>
        </w:tc>
      </w:tr>
    </w:tbl>
    <w:p w14:paraId="3D05807B">
      <w:pPr>
        <w:spacing w:line="440" w:lineRule="exact"/>
        <w:ind w:firstLine="480" w:firstLineChars="200"/>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24"/>
        </w:rPr>
        <w:t>*公共外语课程按入学时的外国语考试科目修读相关语种。</w:t>
      </w:r>
    </w:p>
    <w:p w14:paraId="4CD70ED6">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十三、其他需要说明事项</w:t>
      </w:r>
    </w:p>
    <w:p w14:paraId="14CA0880">
      <w:pPr>
        <w:spacing w:line="440" w:lineRule="exact"/>
        <w:ind w:firstLine="480" w:firstLineChars="200"/>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24"/>
        </w:rPr>
        <w:t>1. 非学位课中的方向选修课模块由各培养单位自行设置，并给出具体选修学分要求。</w:t>
      </w:r>
    </w:p>
    <w:p w14:paraId="3DC7A764">
      <w:pPr>
        <w:spacing w:line="440" w:lineRule="exact"/>
        <w:ind w:firstLine="480" w:firstLineChars="200"/>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24"/>
        </w:rPr>
        <w:t>2. 毕业总学分：学位课+非学位课+必修环节。</w:t>
      </w:r>
    </w:p>
    <w:p w14:paraId="0208CA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A02BB1"/>
    <w:rsid w:val="000135B4"/>
    <w:rsid w:val="003A4CD4"/>
    <w:rsid w:val="003B06A6"/>
    <w:rsid w:val="00405CB3"/>
    <w:rsid w:val="005E12AF"/>
    <w:rsid w:val="005F3D32"/>
    <w:rsid w:val="00831687"/>
    <w:rsid w:val="00867A07"/>
    <w:rsid w:val="008A7C8D"/>
    <w:rsid w:val="00953590"/>
    <w:rsid w:val="009E0E87"/>
    <w:rsid w:val="00A24B9D"/>
    <w:rsid w:val="00A44AB9"/>
    <w:rsid w:val="00A645DC"/>
    <w:rsid w:val="00AB2352"/>
    <w:rsid w:val="00AC4270"/>
    <w:rsid w:val="00B177A4"/>
    <w:rsid w:val="00BA4EA3"/>
    <w:rsid w:val="00BD5BCF"/>
    <w:rsid w:val="00C135ED"/>
    <w:rsid w:val="00C60A32"/>
    <w:rsid w:val="00D92C13"/>
    <w:rsid w:val="00DD2BD7"/>
    <w:rsid w:val="12724733"/>
    <w:rsid w:val="17623E07"/>
    <w:rsid w:val="1F4307B3"/>
    <w:rsid w:val="23597FC7"/>
    <w:rsid w:val="36255E4F"/>
    <w:rsid w:val="3952444B"/>
    <w:rsid w:val="57E277DD"/>
    <w:rsid w:val="5F074455"/>
    <w:rsid w:val="66225078"/>
    <w:rsid w:val="690A0161"/>
    <w:rsid w:val="6CFB6608"/>
    <w:rsid w:val="72A02BB1"/>
    <w:rsid w:val="765A7FAF"/>
    <w:rsid w:val="76A263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5766</Words>
  <Characters>6042</Characters>
  <Lines>45</Lines>
  <Paragraphs>12</Paragraphs>
  <TotalTime>28</TotalTime>
  <ScaleCrop>false</ScaleCrop>
  <LinksUpToDate>false</LinksUpToDate>
  <CharactersWithSpaces>6053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2025-04-14T12:33:00Z</dcterms:created>
  <dc:creator>清秋孤客</dc:creator>
  <cp:lastModifiedBy>宇阳</cp:lastModifiedBy>
  <cp:lastPrinted>2025-06-13T07:47:00Z</cp:lastPrinted>
  <dcterms:modified xsi:type="dcterms:W3CDTF">2025-06-16T02:28:44Z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eyJoZGlkIjoiMTc0NmQ1ZmI4ZThhNTY5NzdhMDc5OGQ4MTJkODYxY2IiLCJ1c2VySWQiOiIzMTUzMTE5MDQifQ==</vt:lpwstr>
  </property>
  <property fmtid="{D5CDD505-2E9C-101B-9397-08002B2CF9AE}" pid="4" name="ICV">
    <vt:lpwstr>9AE071818AFB4C399D700DB5BB1AA53F_13</vt:lpwstr>
  </property>
</Properties>
</file>