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14D8C">
      <w:pPr>
        <w:ind w:left="321" w:leftChars="153" w:right="227"/>
        <w:jc w:val="center"/>
        <w:rPr>
          <w:rFonts w:eastAsia="黑体"/>
          <w:b/>
          <w:bCs/>
          <w:sz w:val="36"/>
          <w:szCs w:val="36"/>
        </w:rPr>
      </w:pPr>
      <w:r>
        <w:rPr>
          <w:rFonts w:hint="eastAsia" w:eastAsia="黑体"/>
          <w:b/>
          <w:bCs/>
          <w:sz w:val="36"/>
          <w:szCs w:val="36"/>
          <w:u w:val="single"/>
        </w:rPr>
        <w:t>教育</w:t>
      </w:r>
      <w:r>
        <w:rPr>
          <w:rFonts w:hint="eastAsia" w:eastAsia="黑体"/>
          <w:b/>
          <w:bCs/>
          <w:sz w:val="36"/>
          <w:szCs w:val="36"/>
          <w:u w:val="single"/>
          <w:lang w:val="en-US" w:eastAsia="zh-CN"/>
        </w:rPr>
        <w:t>心理与学生发展</w:t>
      </w:r>
      <w:r>
        <w:rPr>
          <w:rFonts w:eastAsia="黑体"/>
          <w:b/>
          <w:bCs/>
          <w:sz w:val="36"/>
          <w:szCs w:val="36"/>
        </w:rPr>
        <w:t>专业学术学位博士研究生</w:t>
      </w:r>
    </w:p>
    <w:p w14:paraId="536CC958">
      <w:pPr>
        <w:ind w:left="321" w:leftChars="153" w:right="227"/>
        <w:jc w:val="center"/>
        <w:rPr>
          <w:rFonts w:eastAsia="黑体"/>
          <w:b/>
          <w:bCs/>
          <w:sz w:val="36"/>
          <w:szCs w:val="36"/>
        </w:rPr>
      </w:pPr>
      <w:r>
        <w:rPr>
          <w:rFonts w:eastAsia="黑体"/>
          <w:b/>
          <w:bCs/>
          <w:sz w:val="36"/>
          <w:szCs w:val="36"/>
        </w:rPr>
        <w:t>培养方案</w:t>
      </w:r>
    </w:p>
    <w:p w14:paraId="6F511F2D">
      <w:pPr>
        <w:ind w:left="321" w:leftChars="153" w:right="227"/>
        <w:jc w:val="center"/>
        <w:rPr>
          <w:rFonts w:ascii="微软雅黑" w:hAnsi="微软雅黑" w:eastAsia="微软雅黑" w:cs="微软雅黑"/>
          <w:bCs/>
          <w:sz w:val="28"/>
          <w:szCs w:val="28"/>
        </w:rPr>
      </w:pPr>
      <w:r>
        <w:rPr>
          <w:rFonts w:eastAsia="黑体"/>
          <w:b/>
          <w:bCs/>
          <w:sz w:val="28"/>
          <w:szCs w:val="28"/>
        </w:rPr>
        <w:t>（</w:t>
      </w:r>
      <w:r>
        <w:rPr>
          <w:rFonts w:hint="eastAsia" w:eastAsia="黑体"/>
          <w:b/>
          <w:bCs/>
          <w:sz w:val="28"/>
          <w:szCs w:val="28"/>
        </w:rPr>
        <w:t>教育</w:t>
      </w:r>
      <w:r>
        <w:rPr>
          <w:rFonts w:eastAsia="黑体"/>
          <w:b/>
          <w:bCs/>
          <w:sz w:val="28"/>
          <w:szCs w:val="28"/>
        </w:rPr>
        <w:t>学院)</w:t>
      </w:r>
    </w:p>
    <w:p w14:paraId="03AE360F">
      <w:pPr>
        <w:spacing w:line="360" w:lineRule="auto"/>
        <w:ind w:firstLine="560"/>
        <w:rPr>
          <w:rFonts w:ascii="微软雅黑" w:hAnsi="微软雅黑" w:eastAsia="微软雅黑" w:cs="微软雅黑"/>
          <w:bCs/>
          <w:sz w:val="28"/>
          <w:szCs w:val="28"/>
        </w:rPr>
      </w:pPr>
      <w:r>
        <w:rPr>
          <w:rFonts w:hint="eastAsia" w:ascii="微软雅黑" w:hAnsi="微软雅黑" w:eastAsia="微软雅黑" w:cs="微软雅黑"/>
          <w:bCs/>
          <w:sz w:val="28"/>
          <w:szCs w:val="28"/>
        </w:rPr>
        <w:t>一、专业名称、代码</w:t>
      </w:r>
    </w:p>
    <w:p w14:paraId="5E109327">
      <w:pPr>
        <w:widowControl/>
        <w:spacing w:line="360" w:lineRule="auto"/>
        <w:ind w:firstLine="960" w:firstLineChars="400"/>
        <w:jc w:val="left"/>
        <w:rPr>
          <w:rFonts w:hint="default" w:ascii="宋体" w:hAnsi="宋体" w:eastAsia="宋体" w:cs="微软雅黑"/>
          <w:kern w:val="0"/>
          <w:sz w:val="24"/>
          <w:lang w:val="en-US" w:eastAsia="zh-CN"/>
        </w:rPr>
      </w:pPr>
      <w:r>
        <w:rPr>
          <w:rFonts w:hint="eastAsia" w:ascii="宋体" w:hAnsi="宋体" w:cs="微软雅黑"/>
          <w:kern w:val="0"/>
          <w:sz w:val="24"/>
        </w:rPr>
        <w:t>专业名称：教育</w:t>
      </w:r>
      <w:r>
        <w:rPr>
          <w:rFonts w:hint="eastAsia" w:ascii="宋体" w:hAnsi="宋体" w:cs="微软雅黑"/>
          <w:kern w:val="0"/>
          <w:sz w:val="24"/>
          <w:lang w:val="en-US" w:eastAsia="zh-CN"/>
        </w:rPr>
        <w:t>心理与学生发展</w:t>
      </w:r>
    </w:p>
    <w:p w14:paraId="6EE33BA6">
      <w:pPr>
        <w:widowControl/>
        <w:spacing w:line="360" w:lineRule="auto"/>
        <w:ind w:firstLine="960" w:firstLineChars="400"/>
        <w:jc w:val="left"/>
        <w:rPr>
          <w:rFonts w:ascii="宋体" w:hAnsi="宋体" w:cs="微软雅黑"/>
          <w:kern w:val="0"/>
          <w:sz w:val="24"/>
        </w:rPr>
      </w:pPr>
      <w:r>
        <w:rPr>
          <w:rFonts w:hint="eastAsia" w:ascii="宋体" w:hAnsi="宋体" w:cs="微软雅黑"/>
          <w:kern w:val="0"/>
          <w:sz w:val="24"/>
        </w:rPr>
        <w:t>专业代码：0401Z2</w:t>
      </w:r>
    </w:p>
    <w:p w14:paraId="2375B005">
      <w:pPr>
        <w:spacing w:line="360" w:lineRule="auto"/>
        <w:ind w:firstLine="560" w:firstLineChars="200"/>
        <w:rPr>
          <w:rFonts w:ascii="微软雅黑" w:hAnsi="微软雅黑" w:eastAsia="微软雅黑" w:cs="微软雅黑"/>
          <w:bCs/>
          <w:i/>
          <w:sz w:val="28"/>
          <w:szCs w:val="28"/>
        </w:rPr>
      </w:pPr>
      <w:r>
        <w:rPr>
          <w:rFonts w:hint="eastAsia" w:ascii="微软雅黑" w:hAnsi="微软雅黑" w:eastAsia="微软雅黑" w:cs="微软雅黑"/>
          <w:bCs/>
          <w:sz w:val="28"/>
          <w:szCs w:val="28"/>
        </w:rPr>
        <w:t>二、专业简介</w:t>
      </w:r>
    </w:p>
    <w:p w14:paraId="60238AC6">
      <w:pPr>
        <w:spacing w:line="360" w:lineRule="auto"/>
        <w:ind w:firstLine="480" w:firstLineChars="200"/>
        <w:rPr>
          <w:rFonts w:hint="eastAsia" w:ascii="微软雅黑" w:hAnsi="微软雅黑" w:eastAsia="微软雅黑" w:cs="微软雅黑"/>
          <w:bCs/>
          <w:sz w:val="28"/>
          <w:szCs w:val="28"/>
        </w:rPr>
      </w:pPr>
      <w:r>
        <w:rPr>
          <w:rFonts w:hint="eastAsia" w:ascii="宋体" w:hAnsi="宋体" w:cs="Times New Roman"/>
          <w:color w:val="000000"/>
          <w:sz w:val="24"/>
          <w:lang w:val="en-US" w:eastAsia="zh-CN"/>
        </w:rPr>
        <w:t>教育心理学科是河北大学传统优势学科，1986年获得发展与教育心理学硕士学位授予权，2000年开始招收应用心理学本科专业（国家一流专业建设点），2007年获得基础心理学硕士学位授予权，2010年获得心理学一级学科硕士学位授予权，2019年开始招收应用心理专业硕士，2022年正式招收教育心理与学生发展专业博士生。该专业相配套建有河北大学高效率学习科学研究中心、河北大学教育学院教育心理研究所。本专业研究方向聚焦于</w:t>
      </w:r>
      <w:r>
        <w:rPr>
          <w:rFonts w:hint="eastAsia" w:ascii="宋体" w:hAnsi="宋体"/>
          <w:color w:val="000000"/>
          <w:sz w:val="24"/>
        </w:rPr>
        <w:t>学习心理与教学设计、教育心理与人因工程、学校心理咨询</w:t>
      </w:r>
      <w:r>
        <w:rPr>
          <w:rFonts w:hint="eastAsia" w:ascii="宋体" w:hAnsi="宋体" w:cs="Times New Roman"/>
          <w:color w:val="000000"/>
          <w:sz w:val="24"/>
          <w:lang w:val="en-US" w:eastAsia="zh-CN"/>
        </w:rPr>
        <w:t>，学术优势逐渐凸显，特别是在高效率学习、有意遗忘、认知灵活性、增强现实（AR）学习等领域取得了较为突出的成果。 </w:t>
      </w:r>
    </w:p>
    <w:p w14:paraId="19D65751">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三、研究方向</w:t>
      </w:r>
    </w:p>
    <w:p w14:paraId="6A6272E9">
      <w:pPr>
        <w:spacing w:line="360" w:lineRule="auto"/>
        <w:ind w:firstLine="480" w:firstLineChars="200"/>
        <w:rPr>
          <w:rFonts w:ascii="宋体" w:hAnsi="宋体"/>
          <w:color w:val="000000"/>
          <w:sz w:val="24"/>
        </w:rPr>
      </w:pPr>
      <w:r>
        <w:rPr>
          <w:rFonts w:hint="eastAsia" w:ascii="宋体" w:hAnsi="宋体"/>
          <w:color w:val="000000"/>
          <w:sz w:val="24"/>
        </w:rPr>
        <w:t>教育心理与学生发展是在教育学一级学科下设的二级学科博士点，本学科研究教育情境中个体心理活动及其发展变化机制、规律和有效促进策略。主要研究方向包括：学习心理与教学设计、教育心理与人因工程、学校心理咨询。</w:t>
      </w:r>
    </w:p>
    <w:p w14:paraId="38715DBF">
      <w:pPr>
        <w:spacing w:line="360" w:lineRule="auto"/>
        <w:ind w:firstLine="480" w:firstLineChars="200"/>
        <w:rPr>
          <w:rFonts w:ascii="宋体" w:hAnsi="宋体"/>
          <w:color w:val="000000"/>
          <w:sz w:val="24"/>
        </w:rPr>
      </w:pPr>
      <w:r>
        <w:rPr>
          <w:rFonts w:hint="eastAsia" w:ascii="宋体" w:hAnsi="宋体"/>
          <w:color w:val="000000"/>
          <w:sz w:val="24"/>
        </w:rPr>
        <w:t>1、学习心理与教学设计</w:t>
      </w:r>
    </w:p>
    <w:p w14:paraId="06A28272">
      <w:pPr>
        <w:spacing w:line="360" w:lineRule="auto"/>
        <w:ind w:firstLine="480" w:firstLineChars="200"/>
        <w:rPr>
          <w:rFonts w:ascii="宋体" w:hAnsi="宋体"/>
          <w:color w:val="000000"/>
          <w:sz w:val="24"/>
        </w:rPr>
      </w:pPr>
      <w:r>
        <w:rPr>
          <w:rFonts w:hint="eastAsia" w:ascii="宋体" w:hAnsi="宋体"/>
          <w:color w:val="000000"/>
          <w:sz w:val="24"/>
        </w:rPr>
        <w:t>本方向聚焦于学习心理与教学设计的前沿问题，重点探讨高效率学习的心理机制和教学设计模式。主要研究领域包括：高效率学习的认知机制，有意遗忘的认知机制及发展特点，认知灵活性的发展与促进机制，词汇阅读与语言发展的脑机制，创造力的认知机制与促进，学习动机的影响因素及教学策略，教育信息化视野下学习方式变革等。</w:t>
      </w:r>
    </w:p>
    <w:p w14:paraId="69C15251">
      <w:pPr>
        <w:spacing w:line="360" w:lineRule="auto"/>
        <w:ind w:firstLine="480" w:firstLineChars="200"/>
        <w:rPr>
          <w:rFonts w:ascii="宋体" w:hAnsi="宋体"/>
          <w:color w:val="000000"/>
          <w:sz w:val="24"/>
        </w:rPr>
      </w:pPr>
      <w:r>
        <w:rPr>
          <w:rFonts w:hint="eastAsia" w:ascii="宋体" w:hAnsi="宋体"/>
          <w:color w:val="000000"/>
          <w:sz w:val="24"/>
        </w:rPr>
        <w:t>2、教育心理与人因工程</w:t>
      </w:r>
    </w:p>
    <w:p w14:paraId="3FCD8564">
      <w:pPr>
        <w:spacing w:line="360" w:lineRule="auto"/>
        <w:ind w:firstLine="480" w:firstLineChars="200"/>
        <w:rPr>
          <w:rFonts w:ascii="宋体" w:hAnsi="宋体"/>
          <w:color w:val="000000"/>
          <w:sz w:val="24"/>
        </w:rPr>
      </w:pPr>
      <w:r>
        <w:rPr>
          <w:rFonts w:hint="eastAsia" w:ascii="宋体" w:hAnsi="宋体"/>
          <w:color w:val="000000"/>
          <w:sz w:val="24"/>
        </w:rPr>
        <w:t>本方向聚焦于人因工程视角，重点探讨学生的心理发展规律与教学心理问题。主要研究领域包括：增强现实（AR）学习，校园欺凌/社会排斥与数字化干预，AR和VR场景下的道德决策研究。</w:t>
      </w:r>
    </w:p>
    <w:p w14:paraId="500A00A3">
      <w:pPr>
        <w:spacing w:line="360" w:lineRule="auto"/>
        <w:ind w:firstLine="480" w:firstLineChars="200"/>
        <w:rPr>
          <w:rFonts w:ascii="宋体" w:hAnsi="宋体"/>
          <w:color w:val="000000"/>
          <w:sz w:val="24"/>
        </w:rPr>
      </w:pPr>
      <w:r>
        <w:rPr>
          <w:rFonts w:hint="eastAsia" w:ascii="宋体" w:hAnsi="宋体"/>
          <w:color w:val="000000"/>
          <w:sz w:val="24"/>
        </w:rPr>
        <w:t>3、学校心理咨询</w:t>
      </w:r>
    </w:p>
    <w:p w14:paraId="5774C9B4">
      <w:pPr>
        <w:spacing w:line="360" w:lineRule="auto"/>
        <w:ind w:firstLine="480" w:firstLineChars="200"/>
        <w:rPr>
          <w:rFonts w:ascii="宋体" w:hAnsi="宋体"/>
          <w:color w:val="000000"/>
          <w:sz w:val="24"/>
        </w:rPr>
      </w:pPr>
      <w:r>
        <w:rPr>
          <w:rFonts w:hint="eastAsia" w:ascii="宋体" w:hAnsi="宋体"/>
          <w:color w:val="000000"/>
          <w:sz w:val="24"/>
        </w:rPr>
        <w:t>本方向聚焦于儿童青少年心理健康问题，重点探讨学生心理健康的影响因素及其内在机制、学生心理健康常见问题评估及干预。主要研究领域包括：睡眠与身心健康，青少年情绪和行为问题的机制和预防干预，心理弹性机制和发展，儿童青少年的自我发展，青少年网络成瘾的影响因素研究。</w:t>
      </w:r>
    </w:p>
    <w:p w14:paraId="57FC8D77">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四、学制及学习年限</w:t>
      </w:r>
    </w:p>
    <w:p w14:paraId="57849D55">
      <w:pPr>
        <w:spacing w:line="440" w:lineRule="exact"/>
        <w:ind w:firstLine="480" w:firstLineChars="200"/>
        <w:rPr>
          <w:rFonts w:ascii="宋体" w:hAnsi="宋体"/>
          <w:i/>
          <w:color w:val="000000"/>
          <w:sz w:val="24"/>
        </w:rPr>
      </w:pPr>
      <w:r>
        <w:rPr>
          <w:rFonts w:hint="eastAsia" w:ascii="宋体" w:hAnsi="宋体"/>
          <w:color w:val="000000"/>
          <w:sz w:val="24"/>
        </w:rPr>
        <w:t>本学科所属专业研究生学制为</w:t>
      </w:r>
      <w:r>
        <w:rPr>
          <w:rFonts w:ascii="宋体" w:hAnsi="宋体"/>
          <w:color w:val="000000"/>
          <w:sz w:val="24"/>
        </w:rPr>
        <w:t>4</w:t>
      </w:r>
      <w:r>
        <w:rPr>
          <w:rFonts w:hint="eastAsia" w:ascii="宋体" w:hAnsi="宋体"/>
          <w:color w:val="000000"/>
          <w:sz w:val="24"/>
        </w:rPr>
        <w:t>年，学习年限最长不超过8年。</w:t>
      </w:r>
    </w:p>
    <w:p w14:paraId="19007244">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五、培养目标</w:t>
      </w:r>
    </w:p>
    <w:p w14:paraId="7D46E86E">
      <w:pPr>
        <w:spacing w:line="360" w:lineRule="auto"/>
        <w:ind w:firstLine="480" w:firstLineChars="200"/>
        <w:rPr>
          <w:rFonts w:ascii="宋体" w:hAnsi="宋体"/>
          <w:color w:val="000000"/>
          <w:sz w:val="24"/>
        </w:rPr>
      </w:pPr>
      <w:r>
        <w:rPr>
          <w:rFonts w:hint="eastAsia" w:ascii="宋体" w:hAnsi="宋体"/>
          <w:color w:val="000000"/>
          <w:sz w:val="24"/>
        </w:rPr>
        <w:t>1．</w:t>
      </w:r>
      <w:r>
        <w:rPr>
          <w:rFonts w:ascii="宋体" w:hAnsi="宋体"/>
          <w:color w:val="000000"/>
          <w:sz w:val="24"/>
        </w:rPr>
        <w:t>树立正确的中国特色社会主义核心价值观，具有坚定的理想信念，高尚的道德情操，优良的学术作风，高度的社会责任感。</w:t>
      </w:r>
      <w:r>
        <w:rPr>
          <w:rFonts w:hint="eastAsia" w:ascii="宋体" w:hAnsi="宋体"/>
          <w:color w:val="000000"/>
          <w:sz w:val="24"/>
        </w:rPr>
        <w:t>全面、准确地掌握马克思主义的基本理论，拥护中国共产党的领导，拥护社会主义制度，热爱祖国，遵纪守法，品行端正，具有自觉献身教育事业的精神和修养。</w:t>
      </w:r>
    </w:p>
    <w:p w14:paraId="280E5A69">
      <w:pPr>
        <w:spacing w:line="360" w:lineRule="auto"/>
        <w:ind w:firstLine="480" w:firstLineChars="200"/>
        <w:rPr>
          <w:rFonts w:ascii="宋体" w:hAnsi="宋体"/>
          <w:color w:val="000000"/>
          <w:sz w:val="24"/>
        </w:rPr>
      </w:pPr>
      <w:r>
        <w:rPr>
          <w:rFonts w:hint="eastAsia" w:ascii="宋体" w:hAnsi="宋体"/>
          <w:color w:val="000000"/>
          <w:sz w:val="24"/>
        </w:rPr>
        <w:t>2．能够在本学科的学习和研究中，运用辩证唯物主义和历史唯物主义的立场、观点和方法，独立开展高层次教育</w:t>
      </w:r>
      <w:r>
        <w:rPr>
          <w:rFonts w:hint="eastAsia" w:ascii="宋体" w:hAnsi="宋体"/>
          <w:color w:val="000000"/>
          <w:sz w:val="24"/>
          <w:lang w:val="en-US" w:eastAsia="zh-CN"/>
        </w:rPr>
        <w:t>与心理</w:t>
      </w:r>
      <w:r>
        <w:rPr>
          <w:rFonts w:hint="eastAsia" w:ascii="宋体" w:hAnsi="宋体"/>
          <w:color w:val="000000"/>
          <w:sz w:val="24"/>
        </w:rPr>
        <w:t>科学研究活动。</w:t>
      </w:r>
    </w:p>
    <w:p w14:paraId="108A300F">
      <w:pPr>
        <w:spacing w:line="360" w:lineRule="auto"/>
        <w:ind w:firstLine="480" w:firstLineChars="200"/>
        <w:rPr>
          <w:rFonts w:ascii="宋体" w:hAnsi="宋体"/>
          <w:sz w:val="24"/>
        </w:rPr>
      </w:pPr>
      <w:r>
        <w:rPr>
          <w:rFonts w:hint="eastAsia" w:ascii="宋体" w:hAnsi="宋体"/>
          <w:color w:val="000000"/>
          <w:sz w:val="24"/>
        </w:rPr>
        <w:t>3．</w:t>
      </w:r>
      <w:r>
        <w:rPr>
          <w:rFonts w:ascii="宋体" w:hAnsi="宋体"/>
          <w:color w:val="000000"/>
          <w:sz w:val="24"/>
        </w:rPr>
        <w:t>掌握坚实宽广的基础理论和系统深入的专门知识，掌握本学科的科学研究方法及必要的现代实验方法和技能，熟悉本学科的前沿研究领域，具有独立从事科学研究和解决实际问题的能力</w:t>
      </w:r>
      <w:r>
        <w:rPr>
          <w:rFonts w:hint="eastAsia" w:ascii="宋体" w:hAnsi="宋体"/>
          <w:color w:val="000000"/>
          <w:sz w:val="24"/>
        </w:rPr>
        <w:t>，</w:t>
      </w:r>
      <w:r>
        <w:rPr>
          <w:rFonts w:ascii="宋体" w:hAnsi="宋体"/>
          <w:color w:val="000000"/>
          <w:sz w:val="24"/>
        </w:rPr>
        <w:t>胜任</w:t>
      </w:r>
      <w:r>
        <w:rPr>
          <w:rFonts w:hint="eastAsia" w:ascii="宋体" w:hAnsi="宋体"/>
          <w:color w:val="000000"/>
          <w:sz w:val="24"/>
          <w:lang w:val="en-US" w:eastAsia="zh-CN"/>
        </w:rPr>
        <w:t>心理</w:t>
      </w:r>
      <w:r>
        <w:rPr>
          <w:rFonts w:hint="eastAsia" w:ascii="宋体" w:hAnsi="宋体"/>
          <w:color w:val="000000"/>
          <w:sz w:val="24"/>
        </w:rPr>
        <w:t>学</w:t>
      </w:r>
      <w:r>
        <w:rPr>
          <w:rFonts w:ascii="宋体" w:hAnsi="宋体"/>
          <w:color w:val="000000"/>
          <w:sz w:val="24"/>
        </w:rPr>
        <w:t>及相关专业的</w:t>
      </w:r>
      <w:r>
        <w:rPr>
          <w:rFonts w:hint="eastAsia" w:ascii="宋体" w:hAnsi="宋体"/>
          <w:color w:val="000000"/>
          <w:sz w:val="24"/>
        </w:rPr>
        <w:t>高水平</w:t>
      </w:r>
      <w:r>
        <w:rPr>
          <w:rFonts w:ascii="宋体" w:hAnsi="宋体"/>
          <w:color w:val="000000"/>
          <w:sz w:val="24"/>
        </w:rPr>
        <w:t>教学、科研及管理工作</w:t>
      </w:r>
      <w:r>
        <w:rPr>
          <w:rFonts w:hint="eastAsia" w:ascii="宋体" w:hAnsi="宋体"/>
          <w:color w:val="000000"/>
          <w:sz w:val="24"/>
        </w:rPr>
        <w:t>，具有较强</w:t>
      </w:r>
      <w:r>
        <w:rPr>
          <w:rFonts w:hint="eastAsia" w:ascii="宋体" w:hAnsi="宋体"/>
          <w:sz w:val="24"/>
        </w:rPr>
        <w:t>国际视野和熟练开展国际交流能力，适应国家和地方社会发展需要的研究型高层次的教育类</w:t>
      </w:r>
      <w:r>
        <w:rPr>
          <w:rFonts w:hint="eastAsia" w:ascii="宋体" w:hAnsi="宋体"/>
          <w:sz w:val="24"/>
          <w:lang w:eastAsia="zh-CN"/>
        </w:rPr>
        <w:t>、</w:t>
      </w:r>
      <w:r>
        <w:rPr>
          <w:rFonts w:hint="eastAsia" w:ascii="宋体" w:hAnsi="宋体"/>
          <w:sz w:val="24"/>
          <w:lang w:val="en-US" w:eastAsia="zh-CN"/>
        </w:rPr>
        <w:t>心理类</w:t>
      </w:r>
      <w:r>
        <w:rPr>
          <w:rFonts w:hint="eastAsia" w:ascii="宋体" w:hAnsi="宋体"/>
          <w:sz w:val="24"/>
        </w:rPr>
        <w:t>专门人才和学术骨干。</w:t>
      </w:r>
    </w:p>
    <w:p w14:paraId="731347B3">
      <w:pPr>
        <w:spacing w:line="360" w:lineRule="auto"/>
        <w:ind w:firstLine="480" w:firstLineChars="200"/>
        <w:rPr>
          <w:rFonts w:ascii="宋体" w:hAnsi="宋体"/>
          <w:color w:val="000000"/>
          <w:sz w:val="24"/>
        </w:rPr>
      </w:pPr>
      <w:r>
        <w:rPr>
          <w:rFonts w:hint="eastAsia" w:ascii="宋体" w:hAnsi="宋体"/>
          <w:color w:val="000000"/>
          <w:sz w:val="24"/>
        </w:rPr>
        <w:t>4．至少熟练掌握一门外国语，要求能熟练地利用外语阅读</w:t>
      </w:r>
      <w:r>
        <w:rPr>
          <w:rFonts w:hint="eastAsia" w:ascii="宋体" w:hAnsi="宋体"/>
          <w:color w:val="000000"/>
          <w:sz w:val="24"/>
          <w:lang w:val="en-US" w:eastAsia="zh-CN"/>
        </w:rPr>
        <w:t>心理</w:t>
      </w:r>
      <w:r>
        <w:rPr>
          <w:rFonts w:hint="eastAsia" w:ascii="宋体" w:hAnsi="宋体"/>
          <w:color w:val="000000"/>
          <w:sz w:val="24"/>
        </w:rPr>
        <w:t>学及相关学术领域的外文文献资料，并具有一定的写作能力和国际学术交流能力。</w:t>
      </w:r>
    </w:p>
    <w:p w14:paraId="40327752">
      <w:pPr>
        <w:spacing w:line="360" w:lineRule="auto"/>
        <w:ind w:firstLine="480" w:firstLineChars="200"/>
        <w:rPr>
          <w:rFonts w:ascii="宋体" w:hAnsi="宋体"/>
          <w:color w:val="000000"/>
          <w:sz w:val="24"/>
        </w:rPr>
      </w:pPr>
      <w:r>
        <w:rPr>
          <w:rFonts w:hint="eastAsia" w:ascii="宋体" w:hAnsi="宋体"/>
          <w:color w:val="000000"/>
          <w:sz w:val="24"/>
        </w:rPr>
        <w:t>5．身心健康。</w:t>
      </w:r>
    </w:p>
    <w:p w14:paraId="5DB75215">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六、培养方式</w:t>
      </w:r>
    </w:p>
    <w:p w14:paraId="066815C9">
      <w:pPr>
        <w:spacing w:line="360" w:lineRule="auto"/>
        <w:ind w:firstLine="480" w:firstLineChars="200"/>
        <w:rPr>
          <w:rFonts w:ascii="宋体" w:hAnsi="宋体"/>
          <w:color w:val="000000"/>
          <w:sz w:val="24"/>
        </w:rPr>
      </w:pPr>
      <w:r>
        <w:rPr>
          <w:rFonts w:hint="eastAsia" w:ascii="宋体" w:hAnsi="宋体"/>
          <w:color w:val="000000"/>
          <w:sz w:val="24"/>
        </w:rPr>
        <w:t>采取课程学习和科学研究实践相结合，具体如下：</w:t>
      </w:r>
    </w:p>
    <w:p w14:paraId="7C9D9EF8">
      <w:pPr>
        <w:spacing w:line="360" w:lineRule="auto"/>
        <w:ind w:firstLine="480" w:firstLineChars="200"/>
        <w:rPr>
          <w:rFonts w:ascii="宋体" w:hAnsi="宋体"/>
          <w:color w:val="000000"/>
          <w:sz w:val="24"/>
        </w:rPr>
      </w:pPr>
      <w:r>
        <w:rPr>
          <w:rFonts w:hint="eastAsia" w:ascii="宋体" w:hAnsi="宋体"/>
          <w:color w:val="000000"/>
          <w:sz w:val="24"/>
        </w:rPr>
        <w:t>1.博士生培养以科学研究为主，突出创新能力培养。课程学习要体现为科学研究服务的宗旨，力求开阔博士生的学术视野，培养博士生的批判意识和问题意识。</w:t>
      </w:r>
    </w:p>
    <w:p w14:paraId="5AA49844">
      <w:pPr>
        <w:spacing w:line="360" w:lineRule="auto"/>
        <w:ind w:firstLine="480" w:firstLineChars="200"/>
        <w:rPr>
          <w:rFonts w:ascii="宋体" w:hAnsi="宋体"/>
          <w:color w:val="000000"/>
          <w:sz w:val="24"/>
        </w:rPr>
      </w:pPr>
      <w:r>
        <w:rPr>
          <w:rFonts w:hint="eastAsia" w:ascii="宋体" w:hAnsi="宋体"/>
          <w:color w:val="000000"/>
          <w:sz w:val="24"/>
        </w:rPr>
        <w:t>2.采取导师负责和集体指导相结合的培养方式。成立本专业博士生指导小组，成员为本专业的博士生导师和具有博士学位的教授、副教授，并设组长一名。导师是博士生培养的第一负责人，在博士生培养中起主导作用;博士生指导小组配合导师全程参与博士生的指导工作，充分发挥集体培养优势，为博士生营造良好的学术环境，使博士生在博采众长中实现创新能力的提高。</w:t>
      </w:r>
    </w:p>
    <w:p w14:paraId="04960686">
      <w:pPr>
        <w:spacing w:line="360" w:lineRule="auto"/>
        <w:ind w:firstLine="480" w:firstLineChars="200"/>
        <w:rPr>
          <w:rFonts w:ascii="宋体" w:hAnsi="宋体"/>
          <w:color w:val="000000"/>
          <w:sz w:val="24"/>
        </w:rPr>
      </w:pPr>
      <w:r>
        <w:rPr>
          <w:rFonts w:hint="eastAsia" w:ascii="宋体" w:hAnsi="宋体"/>
          <w:color w:val="000000"/>
          <w:sz w:val="24"/>
        </w:rPr>
        <w:t>3.有计划地聘请国内外专家来我院授课,或派出博士研究生到其他名牌高校或科研院所修读部分课程或进行学术访问。</w:t>
      </w:r>
    </w:p>
    <w:p w14:paraId="1E47D308">
      <w:pPr>
        <w:spacing w:line="360" w:lineRule="auto"/>
        <w:ind w:firstLine="480" w:firstLineChars="200"/>
        <w:rPr>
          <w:rFonts w:ascii="宋体" w:hAnsi="宋体"/>
          <w:color w:val="000000"/>
          <w:sz w:val="24"/>
        </w:rPr>
      </w:pPr>
      <w:r>
        <w:rPr>
          <w:rFonts w:hint="eastAsia" w:ascii="宋体" w:hAnsi="宋体"/>
          <w:color w:val="000000"/>
          <w:sz w:val="24"/>
        </w:rPr>
        <w:t>4.实行学术交流和报告制度。研究生在读期间参加不少于15次学术活动，并撰写学术报告小结；以主讲人或宣讲人身份，参加在校内外举行的学术报告或学术讲座不少于2次。</w:t>
      </w:r>
    </w:p>
    <w:p w14:paraId="16E15332">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七、中期筛选</w:t>
      </w:r>
    </w:p>
    <w:p w14:paraId="5E901FBD">
      <w:pPr>
        <w:spacing w:line="360" w:lineRule="auto"/>
        <w:ind w:firstLine="480" w:firstLineChars="200"/>
        <w:rPr>
          <w:rFonts w:ascii="宋体" w:hAnsi="宋体"/>
          <w:color w:val="000000"/>
          <w:sz w:val="24"/>
        </w:rPr>
      </w:pPr>
      <w:bookmarkStart w:id="0" w:name="_Hlk195549593"/>
      <w:r>
        <w:rPr>
          <w:rFonts w:hint="eastAsia" w:ascii="宋体" w:hAnsi="宋体"/>
          <w:color w:val="000000"/>
          <w:sz w:val="24"/>
        </w:rPr>
        <w:t>在完成培养方案规定的课程学习、考核成绩合格、获得规定的学分后，按照《河北大学研究生中期筛选管理办法》（校政字〔2021〕15号）的相关规定，组织开展中期筛选工作。</w:t>
      </w:r>
      <w:bookmarkEnd w:id="0"/>
    </w:p>
    <w:p w14:paraId="375FCF36">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八、学位（毕业）论文</w:t>
      </w:r>
    </w:p>
    <w:p w14:paraId="5F120581">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1.总体要求：</w:t>
      </w:r>
      <w:r>
        <w:rPr>
          <w:rFonts w:hint="eastAsia" w:ascii="宋体" w:hAnsi="宋体"/>
          <w:color w:val="000000"/>
          <w:sz w:val="24"/>
        </w:rPr>
        <w:t>按照《河北大学关于开展2025版研究生培养方案修订工作的指导意见》（校政字〔2025〕9号）规定，博士研究生论文开题与答辩时间间隔原则上不少于18个月。学位（毕业）论文应当表明作者具有独立从事学术研究工作的能力， 在学术研究领域做出创新性成果。</w:t>
      </w:r>
    </w:p>
    <w:p w14:paraId="5F3B9E45">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2.开题：</w:t>
      </w:r>
      <w:r>
        <w:rPr>
          <w:rFonts w:hint="eastAsia" w:ascii="宋体" w:hAnsi="宋体"/>
          <w:color w:val="00000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A88584F">
      <w:pPr>
        <w:widowControl/>
        <w:spacing w:line="360" w:lineRule="auto"/>
        <w:ind w:firstLine="480" w:firstLineChars="200"/>
        <w:jc w:val="left"/>
        <w:rPr>
          <w:rFonts w:ascii="宋体" w:hAnsi="宋体"/>
          <w:color w:val="000000"/>
          <w:sz w:val="24"/>
        </w:rPr>
      </w:pPr>
      <w:r>
        <w:rPr>
          <w:rFonts w:hint="eastAsia" w:ascii="宋体" w:hAnsi="宋体"/>
          <w:color w:val="000000"/>
          <w:sz w:val="24"/>
        </w:rPr>
        <w:t>原则上在入学后第3学期（最迟不超过第4学期）完成开题。开题由3-5名具有正高级专业技术职务人员参加，以学术报告的方式进行。</w:t>
      </w:r>
    </w:p>
    <w:p w14:paraId="5D6FB340">
      <w:pPr>
        <w:widowControl/>
        <w:spacing w:line="360" w:lineRule="auto"/>
        <w:ind w:firstLine="480" w:firstLineChars="200"/>
        <w:jc w:val="left"/>
        <w:rPr>
          <w:rFonts w:ascii="宋体" w:hAnsi="宋体"/>
          <w:color w:val="000000"/>
          <w:sz w:val="24"/>
        </w:rPr>
      </w:pPr>
      <w:r>
        <w:rPr>
          <w:rFonts w:hint="eastAsia" w:ascii="宋体" w:hAnsi="宋体"/>
          <w:color w:val="000000"/>
          <w:sz w:val="24"/>
        </w:rPr>
        <w:t>博士学位（毕业）论文的选题应体现学科领域的前沿性和先进性，论文开题一般应在第三个学期前完成，开题报告能够清晰表述研究内容及其研究的学术价值。</w:t>
      </w:r>
    </w:p>
    <w:p w14:paraId="603CEB53">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3.中期进展报告：</w:t>
      </w:r>
      <w:r>
        <w:rPr>
          <w:rFonts w:hint="eastAsia" w:ascii="宋体" w:hAnsi="宋体"/>
          <w:color w:val="00000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3B8D10E">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4.学位申请：</w:t>
      </w:r>
      <w:r>
        <w:rPr>
          <w:rFonts w:hint="eastAsia" w:ascii="宋体" w:hAnsi="宋体"/>
          <w:color w:val="000000"/>
          <w:sz w:val="24"/>
        </w:rPr>
        <w:t>达到学位授予条件的申请人，经导师同意后，应于答辩前三个月，向所属学位评定分委员会提出学位申请，提交学位申请材料。</w:t>
      </w:r>
    </w:p>
    <w:p w14:paraId="6918E44F">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5.预答辩：</w:t>
      </w:r>
      <w:r>
        <w:rPr>
          <w:rFonts w:hint="eastAsia" w:ascii="宋体" w:hAnsi="宋体"/>
          <w:color w:val="000000"/>
          <w:sz w:val="24"/>
        </w:rPr>
        <w:t>学位申请人须进行学位论文预答辩。预答辩通过者，方可进入学位论文评阅、学位论文答辩等环节。学位（毕业）论文预答辩在正式答辩前3个月进行。</w:t>
      </w:r>
    </w:p>
    <w:p w14:paraId="0C6BD6AF">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6.论文评阅：</w:t>
      </w:r>
      <w:r>
        <w:rPr>
          <w:rFonts w:hint="eastAsia" w:ascii="宋体" w:hAnsi="宋体"/>
          <w:color w:val="000000"/>
          <w:sz w:val="24"/>
        </w:rPr>
        <w:t>学位（毕业）论文在获得导师组认可，经培养单位形式审查合格，并通过预答辩，方可提出进入评阅程序的申请。论文评阅在正式答辩前40天由研究生提出，并进行匿名评审。评阅结果及异议处理按照《河北大学研究生学位论文或者实践成果评审管理办法》（校政字〔2025〕8号）执行。</w:t>
      </w:r>
    </w:p>
    <w:p w14:paraId="6E85BDF5">
      <w:pPr>
        <w:widowControl/>
        <w:spacing w:line="360" w:lineRule="auto"/>
        <w:ind w:firstLine="480" w:firstLineChars="200"/>
        <w:jc w:val="left"/>
        <w:rPr>
          <w:rFonts w:ascii="宋体" w:hAnsi="宋体"/>
          <w:color w:val="000000"/>
          <w:sz w:val="24"/>
        </w:rPr>
      </w:pPr>
      <w:r>
        <w:rPr>
          <w:rFonts w:hint="eastAsia" w:ascii="微软雅黑" w:hAnsi="微软雅黑" w:eastAsia="微软雅黑" w:cs="微软雅黑"/>
          <w:bCs/>
          <w:kern w:val="0"/>
          <w:sz w:val="24"/>
        </w:rPr>
        <w:t>7.答辩：</w:t>
      </w:r>
      <w:r>
        <w:rPr>
          <w:rFonts w:hint="eastAsia" w:ascii="宋体" w:hAnsi="宋体"/>
          <w:color w:val="000000"/>
          <w:sz w:val="24"/>
        </w:rPr>
        <w:t>学位（毕业）论文答辩按照《河北大学博士、硕士学位授予工作实施细则》（校政字〔2025〕7号）执行。</w:t>
      </w:r>
    </w:p>
    <w:p w14:paraId="2C1E45EF">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九、毕业条件</w:t>
      </w:r>
    </w:p>
    <w:p w14:paraId="2849D32E">
      <w:pPr>
        <w:spacing w:line="360" w:lineRule="auto"/>
        <w:ind w:firstLine="480" w:firstLineChars="200"/>
        <w:rPr>
          <w:rFonts w:ascii="宋体" w:hAnsi="宋体"/>
          <w:color w:val="000000"/>
          <w:sz w:val="24"/>
        </w:rPr>
      </w:pPr>
      <w:r>
        <w:rPr>
          <w:rFonts w:hint="eastAsia" w:ascii="宋体" w:hAnsi="宋体"/>
          <w:color w:val="000000"/>
          <w:sz w:val="24"/>
        </w:rPr>
        <w:t>1. 课程学习。研究生在规定修业年限内完成培养方案规定的课程学习，考核成绩合格，获得规定的学分。</w:t>
      </w:r>
    </w:p>
    <w:p w14:paraId="5B39B1AB">
      <w:pPr>
        <w:spacing w:line="360" w:lineRule="auto"/>
        <w:ind w:firstLine="480" w:firstLineChars="200"/>
        <w:rPr>
          <w:rFonts w:ascii="宋体" w:hAnsi="宋体"/>
          <w:color w:val="000000"/>
          <w:sz w:val="24"/>
        </w:rPr>
      </w:pPr>
      <w:r>
        <w:rPr>
          <w:rFonts w:hint="eastAsia" w:ascii="宋体" w:hAnsi="宋体"/>
          <w:color w:val="000000"/>
          <w:sz w:val="24"/>
        </w:rPr>
        <w:t>2. 学术活动。研究生在读期间参加不少于15次学术活动，并撰写学术报告小结；以主讲人或宣讲人身份，参加在校内外举行的学术报告或学术讲座不少于2次。</w:t>
      </w:r>
    </w:p>
    <w:p w14:paraId="40091D7D">
      <w:pPr>
        <w:spacing w:line="360" w:lineRule="auto"/>
        <w:ind w:firstLine="480" w:firstLineChars="200"/>
        <w:rPr>
          <w:rFonts w:ascii="宋体" w:hAnsi="宋体"/>
          <w:color w:val="000000"/>
          <w:sz w:val="24"/>
        </w:rPr>
      </w:pPr>
      <w:r>
        <w:rPr>
          <w:rFonts w:hint="eastAsia" w:ascii="宋体" w:hAnsi="宋体"/>
          <w:color w:val="000000"/>
          <w:sz w:val="24"/>
        </w:rPr>
        <w:t>3. 符合提前毕业条件的研究生，可按照学校相关规定申请提前毕业。</w:t>
      </w:r>
    </w:p>
    <w:p w14:paraId="45BB23B5">
      <w:pPr>
        <w:spacing w:line="360" w:lineRule="auto"/>
        <w:ind w:firstLine="480" w:firstLineChars="200"/>
        <w:rPr>
          <w:rFonts w:ascii="宋体" w:hAnsi="宋体"/>
          <w:color w:val="000000"/>
          <w:sz w:val="24"/>
        </w:rPr>
      </w:pPr>
      <w:r>
        <w:rPr>
          <w:rFonts w:hint="eastAsia" w:ascii="宋体" w:hAnsi="宋体"/>
          <w:color w:val="000000"/>
          <w:sz w:val="24"/>
        </w:rPr>
        <w:t>4. 论文答辩。学位（毕业）论文经专家评审合格、通过学位（毕业）答辩，符合毕业资格审查后，准予毕业。</w:t>
      </w:r>
    </w:p>
    <w:p w14:paraId="21531CB7">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十、创新性成果</w:t>
      </w:r>
    </w:p>
    <w:p w14:paraId="641E146E">
      <w:pPr>
        <w:spacing w:line="360" w:lineRule="auto"/>
        <w:ind w:firstLine="480" w:firstLineChars="200"/>
        <w:rPr>
          <w:rFonts w:ascii="宋体" w:hAnsi="宋体"/>
          <w:color w:val="000000"/>
          <w:sz w:val="24"/>
        </w:rPr>
      </w:pPr>
      <w:bookmarkStart w:id="1" w:name="_Hlk196413222"/>
      <w:r>
        <w:rPr>
          <w:rFonts w:hint="eastAsia"/>
          <w:bCs/>
          <w:sz w:val="24"/>
        </w:rPr>
        <w:t>研究生申请博士学位</w:t>
      </w:r>
      <w:r>
        <w:rPr>
          <w:rFonts w:hint="eastAsia" w:ascii="宋体" w:hAnsi="宋体"/>
          <w:color w:val="000000"/>
          <w:sz w:val="24"/>
        </w:rPr>
        <w:t>需满足我院对研究生申请学位取得创新性成果做出的规定，创新性成果标准另行规定</w:t>
      </w:r>
      <w:bookmarkEnd w:id="1"/>
      <w:r>
        <w:rPr>
          <w:rFonts w:hint="eastAsia" w:ascii="宋体" w:hAnsi="宋体"/>
          <w:color w:val="000000"/>
          <w:sz w:val="24"/>
        </w:rPr>
        <w:t>。</w:t>
      </w:r>
    </w:p>
    <w:p w14:paraId="3C4019BE">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十一、学位授予</w:t>
      </w:r>
    </w:p>
    <w:p w14:paraId="0F4B8E45">
      <w:pPr>
        <w:spacing w:line="360" w:lineRule="auto"/>
        <w:ind w:firstLine="480" w:firstLineChars="200"/>
        <w:rPr>
          <w:rFonts w:ascii="宋体" w:hAnsi="宋体"/>
          <w:color w:val="000000"/>
          <w:sz w:val="24"/>
        </w:rPr>
      </w:pPr>
      <w:r>
        <w:rPr>
          <w:rFonts w:hint="eastAsia" w:ascii="宋体" w:hAnsi="宋体"/>
          <w:color w:val="000000"/>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14:paraId="15B0928B">
      <w:pPr>
        <w:spacing w:line="360" w:lineRule="auto"/>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十二、学分及课程设置</w:t>
      </w:r>
    </w:p>
    <w:p w14:paraId="4EC4C34F">
      <w:pPr>
        <w:spacing w:line="360" w:lineRule="auto"/>
        <w:ind w:firstLine="480" w:firstLineChars="200"/>
        <w:rPr>
          <w:rFonts w:ascii="宋体" w:hAnsi="宋体"/>
          <w:color w:val="000000"/>
          <w:sz w:val="24"/>
        </w:rPr>
      </w:pPr>
      <w:r>
        <w:rPr>
          <w:rFonts w:hint="eastAsia" w:ascii="宋体" w:hAnsi="宋体"/>
          <w:color w:val="000000"/>
          <w:sz w:val="24"/>
        </w:rPr>
        <w:t>本专业最低毕业学分为</w:t>
      </w:r>
      <w:r>
        <w:rPr>
          <w:rFonts w:ascii="宋体" w:hAnsi="宋体"/>
          <w:color w:val="000000"/>
          <w:sz w:val="24"/>
        </w:rPr>
        <w:t>22</w:t>
      </w:r>
      <w:r>
        <w:rPr>
          <w:rFonts w:hint="eastAsia" w:ascii="宋体" w:hAnsi="宋体"/>
          <w:color w:val="000000"/>
          <w:sz w:val="24"/>
        </w:rPr>
        <w:t>分，其中学位课13学分，非学位课</w:t>
      </w:r>
      <w:r>
        <w:rPr>
          <w:rFonts w:ascii="宋体" w:hAnsi="宋体"/>
          <w:color w:val="000000"/>
          <w:sz w:val="24"/>
        </w:rPr>
        <w:t>8</w:t>
      </w:r>
      <w:r>
        <w:rPr>
          <w:rFonts w:hint="eastAsia" w:ascii="宋体" w:hAnsi="宋体"/>
          <w:color w:val="000000"/>
          <w:sz w:val="24"/>
        </w:rPr>
        <w:t>学分，必修环节</w:t>
      </w:r>
      <w:r>
        <w:rPr>
          <w:rFonts w:ascii="宋体" w:hAnsi="宋体"/>
          <w:color w:val="000000"/>
          <w:sz w:val="24"/>
        </w:rPr>
        <w:t>1</w:t>
      </w:r>
      <w:r>
        <w:rPr>
          <w:rFonts w:hint="eastAsia" w:ascii="宋体" w:hAnsi="宋体"/>
          <w:color w:val="000000"/>
          <w:sz w:val="24"/>
        </w:rPr>
        <w:t>分。</w:t>
      </w:r>
    </w:p>
    <w:p w14:paraId="3EFA3262">
      <w:pPr>
        <w:spacing w:line="360" w:lineRule="auto"/>
        <w:ind w:firstLine="480" w:firstLineChars="200"/>
        <w:rPr>
          <w:rFonts w:ascii="宋体" w:hAnsi="宋体"/>
          <w:color w:val="000000"/>
          <w:sz w:val="24"/>
        </w:rPr>
      </w:pPr>
      <w:r>
        <w:rPr>
          <w:rFonts w:hint="eastAsia" w:ascii="宋体" w:hAnsi="宋体"/>
          <w:color w:val="000000"/>
          <w:sz w:val="24"/>
        </w:rPr>
        <w:t>课程考试不设补考环节，考试成绩低于60分的需重修。</w:t>
      </w:r>
    </w:p>
    <w:p w14:paraId="2A2F1094">
      <w:pPr>
        <w:spacing w:line="360" w:lineRule="auto"/>
        <w:ind w:firstLine="480" w:firstLineChars="200"/>
        <w:rPr>
          <w:rFonts w:hint="eastAsia" w:ascii="宋体" w:hAnsi="宋体"/>
          <w:color w:val="000000"/>
          <w:sz w:val="24"/>
        </w:rPr>
      </w:pPr>
      <w:r>
        <w:rPr>
          <w:rFonts w:hint="eastAsia" w:ascii="宋体" w:hAnsi="宋体"/>
          <w:color w:val="000000"/>
          <w:sz w:val="24"/>
        </w:rPr>
        <w:t>研究生课程考核方式包括考试和考查，</w:t>
      </w:r>
      <w:r>
        <w:rPr>
          <w:rFonts w:ascii="宋体" w:hAnsi="宋体"/>
          <w:color w:val="000000"/>
          <w:sz w:val="24"/>
        </w:rPr>
        <w:t>可以采用口试、笔试或写读书报告、论文的形式，成绩均按百分制成绩评定</w:t>
      </w:r>
      <w:r>
        <w:rPr>
          <w:rFonts w:hint="eastAsia" w:ascii="宋体" w:hAnsi="宋体"/>
          <w:color w:val="000000"/>
          <w:sz w:val="24"/>
        </w:rPr>
        <w:t>。</w:t>
      </w:r>
      <w:bookmarkStart w:id="5" w:name="_GoBack"/>
      <w:bookmarkEnd w:id="5"/>
    </w:p>
    <w:p w14:paraId="55C242C3">
      <w:pPr>
        <w:spacing w:afterLines="50" w:line="440" w:lineRule="exact"/>
        <w:ind w:firstLine="480" w:firstLineChars="200"/>
        <w:jc w:val="center"/>
        <w:rPr>
          <w:rFonts w:ascii="微软雅黑" w:hAnsi="微软雅黑" w:eastAsia="微软雅黑" w:cs="微软雅黑"/>
          <w:b/>
          <w:bCs/>
          <w:sz w:val="24"/>
        </w:rPr>
      </w:pPr>
      <w:r>
        <w:rPr>
          <w:rFonts w:hint="eastAsia" w:ascii="微软雅黑" w:hAnsi="微软雅黑" w:eastAsia="微软雅黑" w:cs="微软雅黑"/>
          <w:b/>
          <w:bCs/>
          <w:sz w:val="24"/>
        </w:rPr>
        <w:t>教育</w:t>
      </w:r>
      <w:r>
        <w:rPr>
          <w:rFonts w:hint="eastAsia" w:ascii="微软雅黑" w:hAnsi="微软雅黑" w:eastAsia="微软雅黑" w:cs="微软雅黑"/>
          <w:b/>
          <w:bCs/>
          <w:sz w:val="24"/>
          <w:lang w:val="en-US" w:eastAsia="zh-CN"/>
        </w:rPr>
        <w:t>心理与学生发展</w:t>
      </w:r>
      <w:r>
        <w:rPr>
          <w:rFonts w:hint="eastAsia" w:ascii="微软雅黑" w:hAnsi="微软雅黑" w:eastAsia="微软雅黑" w:cs="微软雅黑"/>
          <w:b/>
          <w:bCs/>
          <w:sz w:val="24"/>
        </w:rPr>
        <w:t>专业学术学位博士研究生课程及培养环节设置一览表</w:t>
      </w:r>
    </w:p>
    <w:tbl>
      <w:tblPr>
        <w:tblStyle w:val="6"/>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66"/>
        <w:gridCol w:w="1231"/>
        <w:gridCol w:w="709"/>
        <w:gridCol w:w="709"/>
        <w:gridCol w:w="1045"/>
      </w:tblGrid>
      <w:tr w14:paraId="14C020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75C087D">
            <w:pPr>
              <w:jc w:val="center"/>
              <w:rPr>
                <w:rFonts w:ascii="微软雅黑" w:hAnsi="微软雅黑" w:eastAsia="微软雅黑" w:cs="微软雅黑"/>
                <w:b/>
                <w:szCs w:val="21"/>
              </w:rPr>
            </w:pPr>
            <w:r>
              <w:rPr>
                <w:rFonts w:hint="eastAsia" w:ascii="微软雅黑" w:hAnsi="微软雅黑" w:eastAsia="微软雅黑" w:cs="微软雅黑"/>
                <w:b/>
                <w:szCs w:val="21"/>
              </w:rPr>
              <w:t>课程类别</w:t>
            </w:r>
          </w:p>
        </w:tc>
        <w:tc>
          <w:tcPr>
            <w:tcW w:w="3366" w:type="dxa"/>
            <w:vAlign w:val="center"/>
          </w:tcPr>
          <w:p w14:paraId="23E5B116">
            <w:pPr>
              <w:jc w:val="center"/>
              <w:rPr>
                <w:rFonts w:ascii="微软雅黑" w:hAnsi="微软雅黑" w:eastAsia="微软雅黑" w:cs="微软雅黑"/>
                <w:b/>
                <w:szCs w:val="21"/>
              </w:rPr>
            </w:pPr>
            <w:r>
              <w:rPr>
                <w:rFonts w:hint="eastAsia" w:ascii="微软雅黑" w:hAnsi="微软雅黑" w:eastAsia="微软雅黑" w:cs="微软雅黑"/>
                <w:b/>
                <w:szCs w:val="21"/>
              </w:rPr>
              <w:t>课程说明</w:t>
            </w:r>
          </w:p>
        </w:tc>
        <w:tc>
          <w:tcPr>
            <w:tcW w:w="1231" w:type="dxa"/>
            <w:vAlign w:val="center"/>
          </w:tcPr>
          <w:p w14:paraId="0304C1BA">
            <w:pPr>
              <w:jc w:val="center"/>
              <w:rPr>
                <w:rFonts w:ascii="微软雅黑" w:hAnsi="微软雅黑" w:eastAsia="微软雅黑" w:cs="微软雅黑"/>
                <w:b/>
                <w:szCs w:val="21"/>
              </w:rPr>
            </w:pPr>
            <w:r>
              <w:rPr>
                <w:rFonts w:hint="eastAsia" w:ascii="微软雅黑" w:hAnsi="微软雅黑" w:eastAsia="微软雅黑" w:cs="微软雅黑"/>
                <w:b/>
                <w:szCs w:val="21"/>
              </w:rPr>
              <w:t>课程编号</w:t>
            </w:r>
          </w:p>
        </w:tc>
        <w:tc>
          <w:tcPr>
            <w:tcW w:w="709" w:type="dxa"/>
            <w:vAlign w:val="center"/>
          </w:tcPr>
          <w:p w14:paraId="488F7179">
            <w:pPr>
              <w:jc w:val="center"/>
              <w:rPr>
                <w:rFonts w:ascii="微软雅黑" w:hAnsi="微软雅黑" w:eastAsia="微软雅黑" w:cs="微软雅黑"/>
                <w:b/>
                <w:szCs w:val="21"/>
              </w:rPr>
            </w:pPr>
            <w:r>
              <w:rPr>
                <w:rFonts w:hint="eastAsia" w:ascii="微软雅黑" w:hAnsi="微软雅黑" w:eastAsia="微软雅黑" w:cs="微软雅黑"/>
                <w:b/>
                <w:szCs w:val="21"/>
              </w:rPr>
              <w:t>学分</w:t>
            </w:r>
          </w:p>
        </w:tc>
        <w:tc>
          <w:tcPr>
            <w:tcW w:w="709" w:type="dxa"/>
            <w:vAlign w:val="center"/>
          </w:tcPr>
          <w:p w14:paraId="379349F6">
            <w:pPr>
              <w:jc w:val="center"/>
              <w:rPr>
                <w:rFonts w:ascii="微软雅黑" w:hAnsi="微软雅黑" w:eastAsia="微软雅黑" w:cs="微软雅黑"/>
                <w:b/>
                <w:szCs w:val="21"/>
              </w:rPr>
            </w:pPr>
            <w:r>
              <w:rPr>
                <w:rFonts w:hint="eastAsia" w:ascii="微软雅黑" w:hAnsi="微软雅黑" w:eastAsia="微软雅黑" w:cs="微软雅黑"/>
                <w:b/>
                <w:szCs w:val="21"/>
              </w:rPr>
              <w:t>学期</w:t>
            </w:r>
          </w:p>
        </w:tc>
        <w:tc>
          <w:tcPr>
            <w:tcW w:w="1045" w:type="dxa"/>
            <w:vAlign w:val="center"/>
          </w:tcPr>
          <w:p w14:paraId="799F2932">
            <w:pPr>
              <w:jc w:val="center"/>
              <w:rPr>
                <w:rFonts w:ascii="微软雅黑" w:hAnsi="微软雅黑" w:eastAsia="微软雅黑" w:cs="微软雅黑"/>
                <w:b/>
                <w:szCs w:val="21"/>
              </w:rPr>
            </w:pPr>
            <w:r>
              <w:rPr>
                <w:rFonts w:hint="eastAsia" w:ascii="微软雅黑" w:hAnsi="微软雅黑" w:eastAsia="微软雅黑" w:cs="微软雅黑"/>
                <w:b/>
                <w:szCs w:val="21"/>
              </w:rPr>
              <w:t>备注</w:t>
            </w:r>
          </w:p>
        </w:tc>
      </w:tr>
      <w:tr w14:paraId="6683F2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05A60FE">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学位课</w:t>
            </w:r>
          </w:p>
        </w:tc>
        <w:tc>
          <w:tcPr>
            <w:tcW w:w="1226" w:type="dxa"/>
            <w:vMerge w:val="restart"/>
            <w:vAlign w:val="center"/>
          </w:tcPr>
          <w:p w14:paraId="7A715A17">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公共必修课</w:t>
            </w:r>
          </w:p>
          <w:p w14:paraId="4999EAF6">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（4学分）</w:t>
            </w:r>
          </w:p>
        </w:tc>
        <w:tc>
          <w:tcPr>
            <w:tcW w:w="3366" w:type="dxa"/>
            <w:vAlign w:val="center"/>
          </w:tcPr>
          <w:p w14:paraId="7F903445">
            <w:pPr>
              <w:jc w:val="left"/>
              <w:rPr>
                <w:rFonts w:ascii="微软雅黑" w:hAnsi="微软雅黑" w:eastAsia="微软雅黑" w:cs="微软雅黑"/>
                <w:sz w:val="18"/>
                <w:szCs w:val="18"/>
              </w:rPr>
            </w:pPr>
            <w:r>
              <w:rPr>
                <w:rFonts w:hint="eastAsia" w:ascii="微软雅黑" w:hAnsi="微软雅黑" w:eastAsia="微软雅黑" w:cs="微软雅黑"/>
                <w:sz w:val="18"/>
                <w:szCs w:val="18"/>
              </w:rPr>
              <w:t>中国马克思主义与当代</w:t>
            </w:r>
          </w:p>
        </w:tc>
        <w:tc>
          <w:tcPr>
            <w:tcW w:w="1231" w:type="dxa"/>
            <w:vAlign w:val="center"/>
          </w:tcPr>
          <w:p w14:paraId="4D7DBC34">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TB0000001</w:t>
            </w:r>
          </w:p>
        </w:tc>
        <w:tc>
          <w:tcPr>
            <w:tcW w:w="709" w:type="dxa"/>
            <w:vAlign w:val="center"/>
          </w:tcPr>
          <w:p w14:paraId="26F9A553">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709" w:type="dxa"/>
            <w:vAlign w:val="center"/>
          </w:tcPr>
          <w:p w14:paraId="739B0B30">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152C0E88">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1A0798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6F52F0AF">
            <w:pPr>
              <w:jc w:val="center"/>
              <w:rPr>
                <w:rFonts w:ascii="微软雅黑" w:hAnsi="微软雅黑" w:eastAsia="微软雅黑" w:cs="微软雅黑"/>
                <w:b/>
                <w:sz w:val="18"/>
                <w:szCs w:val="18"/>
              </w:rPr>
            </w:pPr>
          </w:p>
        </w:tc>
        <w:tc>
          <w:tcPr>
            <w:tcW w:w="1226" w:type="dxa"/>
            <w:vMerge w:val="continue"/>
            <w:vAlign w:val="center"/>
          </w:tcPr>
          <w:p w14:paraId="0B0E95E2">
            <w:pPr>
              <w:jc w:val="center"/>
              <w:rPr>
                <w:rFonts w:ascii="微软雅黑" w:hAnsi="微软雅黑" w:eastAsia="微软雅黑" w:cs="微软雅黑"/>
                <w:b/>
                <w:sz w:val="18"/>
                <w:szCs w:val="18"/>
              </w:rPr>
            </w:pPr>
          </w:p>
        </w:tc>
        <w:tc>
          <w:tcPr>
            <w:tcW w:w="3366" w:type="dxa"/>
            <w:vAlign w:val="center"/>
          </w:tcPr>
          <w:p w14:paraId="7A4F17F5">
            <w:pPr>
              <w:jc w:val="left"/>
              <w:rPr>
                <w:rFonts w:ascii="微软雅黑" w:hAnsi="微软雅黑" w:eastAsia="微软雅黑" w:cs="微软雅黑"/>
                <w:sz w:val="18"/>
                <w:szCs w:val="18"/>
              </w:rPr>
            </w:pPr>
            <w:r>
              <w:rPr>
                <w:rFonts w:hint="eastAsia" w:ascii="微软雅黑" w:hAnsi="微软雅黑" w:eastAsia="微软雅黑" w:cs="微软雅黑"/>
                <w:sz w:val="18"/>
                <w:szCs w:val="18"/>
              </w:rPr>
              <w:t>学术英语阅读与写作</w:t>
            </w:r>
          </w:p>
        </w:tc>
        <w:tc>
          <w:tcPr>
            <w:tcW w:w="1231" w:type="dxa"/>
            <w:vAlign w:val="center"/>
          </w:tcPr>
          <w:p w14:paraId="2367AE28">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TB0000004</w:t>
            </w:r>
          </w:p>
        </w:tc>
        <w:tc>
          <w:tcPr>
            <w:tcW w:w="709" w:type="dxa"/>
            <w:vAlign w:val="center"/>
          </w:tcPr>
          <w:p w14:paraId="3E224FFA">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709" w:type="dxa"/>
            <w:vAlign w:val="center"/>
          </w:tcPr>
          <w:p w14:paraId="530F5989">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43D47FDF">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2E344F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5B2ACFA">
            <w:pPr>
              <w:jc w:val="center"/>
              <w:rPr>
                <w:rFonts w:ascii="微软雅黑" w:hAnsi="微软雅黑" w:eastAsia="微软雅黑" w:cs="微软雅黑"/>
                <w:b/>
                <w:sz w:val="18"/>
                <w:szCs w:val="18"/>
              </w:rPr>
            </w:pPr>
            <w:bookmarkStart w:id="2" w:name="_Hlk195550908"/>
          </w:p>
        </w:tc>
        <w:tc>
          <w:tcPr>
            <w:tcW w:w="1226" w:type="dxa"/>
            <w:vMerge w:val="restart"/>
            <w:vAlign w:val="center"/>
          </w:tcPr>
          <w:p w14:paraId="367D3AB9">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学科基础课</w:t>
            </w:r>
          </w:p>
          <w:p w14:paraId="3C02BC9B">
            <w:pPr>
              <w:rPr>
                <w:rFonts w:ascii="微软雅黑" w:hAnsi="微软雅黑" w:eastAsia="微软雅黑" w:cs="微软雅黑"/>
                <w:b/>
                <w:sz w:val="18"/>
                <w:szCs w:val="18"/>
              </w:rPr>
            </w:pPr>
            <w:r>
              <w:rPr>
                <w:rFonts w:hint="eastAsia" w:ascii="微软雅黑" w:hAnsi="微软雅黑" w:eastAsia="微软雅黑" w:cs="微软雅黑"/>
                <w:b/>
                <w:sz w:val="18"/>
                <w:szCs w:val="18"/>
              </w:rPr>
              <w:t>（</w:t>
            </w:r>
            <w:r>
              <w:rPr>
                <w:rFonts w:ascii="微软雅黑" w:hAnsi="微软雅黑" w:eastAsia="微软雅黑" w:cs="微软雅黑"/>
                <w:b/>
                <w:sz w:val="18"/>
                <w:szCs w:val="18"/>
              </w:rPr>
              <w:t>5</w:t>
            </w:r>
            <w:r>
              <w:rPr>
                <w:rFonts w:hint="eastAsia" w:ascii="微软雅黑" w:hAnsi="微软雅黑" w:eastAsia="微软雅黑" w:cs="微软雅黑"/>
                <w:b/>
                <w:sz w:val="18"/>
                <w:szCs w:val="18"/>
              </w:rPr>
              <w:t>学分）</w:t>
            </w:r>
          </w:p>
        </w:tc>
        <w:tc>
          <w:tcPr>
            <w:tcW w:w="3366" w:type="dxa"/>
            <w:vAlign w:val="center"/>
          </w:tcPr>
          <w:p w14:paraId="084B175F">
            <w:pPr>
              <w:rPr>
                <w:rFonts w:ascii="微软雅黑" w:hAnsi="微软雅黑" w:eastAsia="微软雅黑" w:cs="微软雅黑"/>
                <w:sz w:val="18"/>
                <w:szCs w:val="18"/>
              </w:rPr>
            </w:pPr>
            <w:r>
              <w:rPr>
                <w:rFonts w:hint="eastAsia" w:ascii="微软雅黑" w:hAnsi="微软雅黑" w:eastAsia="微软雅黑" w:cs="微软雅黑"/>
                <w:sz w:val="18"/>
                <w:szCs w:val="18"/>
              </w:rPr>
              <w:t>习近平总书记关于教育的重要论述研究</w:t>
            </w:r>
          </w:p>
        </w:tc>
        <w:tc>
          <w:tcPr>
            <w:tcW w:w="1231" w:type="dxa"/>
            <w:vAlign w:val="center"/>
          </w:tcPr>
          <w:p w14:paraId="26711E6C">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ZB0600001</w:t>
            </w:r>
          </w:p>
        </w:tc>
        <w:tc>
          <w:tcPr>
            <w:tcW w:w="709" w:type="dxa"/>
            <w:vAlign w:val="center"/>
          </w:tcPr>
          <w:p w14:paraId="09E20F1B">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709" w:type="dxa"/>
            <w:vAlign w:val="center"/>
          </w:tcPr>
          <w:p w14:paraId="0C563BD8">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1392BE77">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bookmarkEnd w:id="2"/>
      <w:tr w14:paraId="2358C9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214C2A9">
            <w:pPr>
              <w:jc w:val="center"/>
              <w:rPr>
                <w:rFonts w:ascii="微软雅黑" w:hAnsi="微软雅黑" w:eastAsia="微软雅黑" w:cs="微软雅黑"/>
                <w:b/>
                <w:sz w:val="18"/>
                <w:szCs w:val="18"/>
              </w:rPr>
            </w:pPr>
          </w:p>
        </w:tc>
        <w:tc>
          <w:tcPr>
            <w:tcW w:w="1226" w:type="dxa"/>
            <w:vMerge w:val="continue"/>
            <w:vAlign w:val="center"/>
          </w:tcPr>
          <w:p w14:paraId="30C0AC8D">
            <w:pPr>
              <w:jc w:val="center"/>
              <w:rPr>
                <w:rFonts w:ascii="微软雅黑" w:hAnsi="微软雅黑" w:eastAsia="微软雅黑" w:cs="微软雅黑"/>
                <w:b/>
                <w:sz w:val="18"/>
                <w:szCs w:val="18"/>
              </w:rPr>
            </w:pPr>
          </w:p>
        </w:tc>
        <w:tc>
          <w:tcPr>
            <w:tcW w:w="3366" w:type="dxa"/>
            <w:vAlign w:val="center"/>
          </w:tcPr>
          <w:p w14:paraId="22E496BD">
            <w:pPr>
              <w:adjustRightInd w:val="0"/>
              <w:snapToGrid w:val="0"/>
              <w:rPr>
                <w:rFonts w:ascii="微软雅黑" w:hAnsi="微软雅黑" w:eastAsia="微软雅黑" w:cs="微软雅黑"/>
                <w:sz w:val="18"/>
                <w:szCs w:val="18"/>
                <w:highlight w:val="yellow"/>
              </w:rPr>
            </w:pPr>
            <w:r>
              <w:rPr>
                <w:color w:val="000000" w:themeColor="text1"/>
                <w:sz w:val="18"/>
                <w:szCs w:val="18"/>
                <w14:textFill>
                  <w14:solidFill>
                    <w14:schemeClr w14:val="tx1"/>
                  </w14:solidFill>
                </w14:textFill>
              </w:rPr>
              <w:t>学术道德与论文写作</w:t>
            </w:r>
          </w:p>
        </w:tc>
        <w:tc>
          <w:tcPr>
            <w:tcW w:w="1231" w:type="dxa"/>
            <w:vAlign w:val="center"/>
          </w:tcPr>
          <w:p w14:paraId="0FA6C36A">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XB0600006</w:t>
            </w:r>
          </w:p>
        </w:tc>
        <w:tc>
          <w:tcPr>
            <w:tcW w:w="709" w:type="dxa"/>
            <w:vAlign w:val="center"/>
          </w:tcPr>
          <w:p w14:paraId="25561CF7">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709" w:type="dxa"/>
            <w:vAlign w:val="center"/>
          </w:tcPr>
          <w:p w14:paraId="422BE26D">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411437FE">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322A39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A4CD22B">
            <w:pPr>
              <w:jc w:val="center"/>
              <w:rPr>
                <w:rFonts w:ascii="微软雅黑" w:hAnsi="微软雅黑" w:eastAsia="微软雅黑" w:cs="微软雅黑"/>
                <w:b/>
                <w:sz w:val="18"/>
                <w:szCs w:val="18"/>
              </w:rPr>
            </w:pPr>
          </w:p>
        </w:tc>
        <w:tc>
          <w:tcPr>
            <w:tcW w:w="1226" w:type="dxa"/>
            <w:vMerge w:val="continue"/>
            <w:vAlign w:val="center"/>
          </w:tcPr>
          <w:p w14:paraId="546E5B33">
            <w:pPr>
              <w:jc w:val="center"/>
              <w:rPr>
                <w:rFonts w:ascii="微软雅黑" w:hAnsi="微软雅黑" w:eastAsia="微软雅黑" w:cs="微软雅黑"/>
                <w:b/>
                <w:sz w:val="18"/>
                <w:szCs w:val="18"/>
              </w:rPr>
            </w:pPr>
          </w:p>
        </w:tc>
        <w:tc>
          <w:tcPr>
            <w:tcW w:w="3366" w:type="dxa"/>
          </w:tcPr>
          <w:p w14:paraId="2244320F">
            <w:pPr>
              <w:rPr>
                <w:rFonts w:ascii="微软雅黑" w:hAnsi="微软雅黑" w:eastAsia="微软雅黑" w:cs="微软雅黑"/>
                <w:sz w:val="18"/>
                <w:szCs w:val="18"/>
              </w:rPr>
            </w:pPr>
            <w:r>
              <w:rPr>
                <w:rFonts w:hint="eastAsia" w:ascii="微软雅黑" w:hAnsi="微软雅黑" w:eastAsia="微软雅黑" w:cs="微软雅黑"/>
                <w:sz w:val="18"/>
                <w:szCs w:val="18"/>
              </w:rPr>
              <w:t>教育与心理前沿专题</w:t>
            </w:r>
          </w:p>
        </w:tc>
        <w:tc>
          <w:tcPr>
            <w:tcW w:w="1231" w:type="dxa"/>
            <w:vAlign w:val="center"/>
          </w:tcPr>
          <w:p w14:paraId="1A625ECD">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XB060000</w:t>
            </w:r>
            <w:r>
              <w:rPr>
                <w:rFonts w:ascii="微软雅黑" w:hAnsi="微软雅黑" w:eastAsia="微软雅黑" w:cs="微软雅黑"/>
                <w:sz w:val="18"/>
                <w:szCs w:val="18"/>
              </w:rPr>
              <w:t>3</w:t>
            </w:r>
          </w:p>
        </w:tc>
        <w:tc>
          <w:tcPr>
            <w:tcW w:w="709" w:type="dxa"/>
            <w:vAlign w:val="center"/>
          </w:tcPr>
          <w:p w14:paraId="0A0ED962">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709" w:type="dxa"/>
            <w:vAlign w:val="center"/>
          </w:tcPr>
          <w:p w14:paraId="4E010692">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1045" w:type="dxa"/>
            <w:vAlign w:val="center"/>
          </w:tcPr>
          <w:p w14:paraId="0C50DA50">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339F5F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2B23DA8">
            <w:pPr>
              <w:jc w:val="center"/>
              <w:rPr>
                <w:rFonts w:ascii="微软雅黑" w:hAnsi="微软雅黑" w:eastAsia="微软雅黑" w:cs="微软雅黑"/>
                <w:b/>
                <w:sz w:val="18"/>
                <w:szCs w:val="18"/>
              </w:rPr>
            </w:pPr>
          </w:p>
        </w:tc>
        <w:tc>
          <w:tcPr>
            <w:tcW w:w="1226" w:type="dxa"/>
            <w:vMerge w:val="restart"/>
            <w:vAlign w:val="center"/>
          </w:tcPr>
          <w:p w14:paraId="76E7A9A7">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专业必修课</w:t>
            </w:r>
          </w:p>
          <w:p w14:paraId="15338226">
            <w:pPr>
              <w:rPr>
                <w:rFonts w:ascii="微软雅黑" w:hAnsi="微软雅黑" w:eastAsia="微软雅黑" w:cs="微软雅黑"/>
                <w:b/>
                <w:sz w:val="18"/>
                <w:szCs w:val="18"/>
              </w:rPr>
            </w:pPr>
            <w:r>
              <w:rPr>
                <w:rFonts w:hint="eastAsia" w:ascii="微软雅黑" w:hAnsi="微软雅黑" w:eastAsia="微软雅黑" w:cs="微软雅黑"/>
                <w:b/>
                <w:sz w:val="18"/>
                <w:szCs w:val="18"/>
              </w:rPr>
              <w:t>（</w:t>
            </w:r>
            <w:r>
              <w:rPr>
                <w:rFonts w:ascii="微软雅黑" w:hAnsi="微软雅黑" w:eastAsia="微软雅黑" w:cs="微软雅黑"/>
                <w:b/>
                <w:sz w:val="18"/>
                <w:szCs w:val="18"/>
              </w:rPr>
              <w:t>4</w:t>
            </w:r>
            <w:r>
              <w:rPr>
                <w:rFonts w:hint="eastAsia" w:ascii="微软雅黑" w:hAnsi="微软雅黑" w:eastAsia="微软雅黑" w:cs="微软雅黑"/>
                <w:b/>
                <w:sz w:val="18"/>
                <w:szCs w:val="18"/>
              </w:rPr>
              <w:t>学分）</w:t>
            </w:r>
          </w:p>
        </w:tc>
        <w:tc>
          <w:tcPr>
            <w:tcW w:w="3366" w:type="dxa"/>
          </w:tcPr>
          <w:p w14:paraId="232210D7">
            <w:pPr>
              <w:rPr>
                <w:rFonts w:ascii="微软雅黑" w:hAnsi="微软雅黑" w:eastAsia="微软雅黑" w:cs="微软雅黑"/>
                <w:sz w:val="18"/>
                <w:szCs w:val="18"/>
              </w:rPr>
            </w:pPr>
            <w:r>
              <w:rPr>
                <w:rFonts w:hint="eastAsia" w:ascii="微软雅黑" w:hAnsi="微软雅黑" w:eastAsia="微软雅黑" w:cs="微软雅黑"/>
                <w:sz w:val="18"/>
                <w:szCs w:val="18"/>
              </w:rPr>
              <w:t>教育科学与心理研究方法</w:t>
            </w:r>
          </w:p>
        </w:tc>
        <w:tc>
          <w:tcPr>
            <w:tcW w:w="1231" w:type="dxa"/>
            <w:vAlign w:val="center"/>
          </w:tcPr>
          <w:p w14:paraId="4D042170">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XB060000</w:t>
            </w:r>
            <w:r>
              <w:rPr>
                <w:rFonts w:ascii="微软雅黑" w:hAnsi="微软雅黑" w:eastAsia="微软雅黑" w:cs="微软雅黑"/>
                <w:sz w:val="18"/>
                <w:szCs w:val="18"/>
              </w:rPr>
              <w:t>4</w:t>
            </w:r>
          </w:p>
        </w:tc>
        <w:tc>
          <w:tcPr>
            <w:tcW w:w="709" w:type="dxa"/>
            <w:vAlign w:val="center"/>
          </w:tcPr>
          <w:p w14:paraId="5274E6DF">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709" w:type="dxa"/>
            <w:vAlign w:val="center"/>
          </w:tcPr>
          <w:p w14:paraId="031B3256">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10E5AE40">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3AFCDE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D41E648">
            <w:pPr>
              <w:jc w:val="center"/>
              <w:rPr>
                <w:rFonts w:ascii="微软雅黑" w:hAnsi="微软雅黑" w:eastAsia="微软雅黑" w:cs="微软雅黑"/>
                <w:b/>
                <w:sz w:val="18"/>
                <w:szCs w:val="18"/>
              </w:rPr>
            </w:pPr>
          </w:p>
        </w:tc>
        <w:tc>
          <w:tcPr>
            <w:tcW w:w="1226" w:type="dxa"/>
            <w:vMerge w:val="continue"/>
            <w:vAlign w:val="center"/>
          </w:tcPr>
          <w:p w14:paraId="78357602">
            <w:pPr>
              <w:jc w:val="center"/>
              <w:rPr>
                <w:rFonts w:ascii="微软雅黑" w:hAnsi="微软雅黑" w:eastAsia="微软雅黑" w:cs="微软雅黑"/>
                <w:b/>
                <w:sz w:val="18"/>
                <w:szCs w:val="18"/>
              </w:rPr>
            </w:pPr>
          </w:p>
        </w:tc>
        <w:tc>
          <w:tcPr>
            <w:tcW w:w="3366" w:type="dxa"/>
          </w:tcPr>
          <w:p w14:paraId="488716A5">
            <w:pPr>
              <w:rPr>
                <w:rFonts w:ascii="微软雅黑" w:hAnsi="微软雅黑" w:eastAsia="微软雅黑" w:cs="微软雅黑"/>
                <w:sz w:val="18"/>
                <w:szCs w:val="18"/>
              </w:rPr>
            </w:pPr>
            <w:r>
              <w:rPr>
                <w:rFonts w:hint="eastAsia" w:ascii="微软雅黑" w:hAnsi="微软雅黑" w:eastAsia="微软雅黑" w:cs="微软雅黑"/>
                <w:sz w:val="18"/>
                <w:szCs w:val="18"/>
              </w:rPr>
              <w:t>数字教育专题</w:t>
            </w:r>
          </w:p>
        </w:tc>
        <w:tc>
          <w:tcPr>
            <w:tcW w:w="1231" w:type="dxa"/>
            <w:vAlign w:val="center"/>
          </w:tcPr>
          <w:p w14:paraId="3972B523">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XB060000</w:t>
            </w:r>
            <w:r>
              <w:rPr>
                <w:rFonts w:ascii="微软雅黑" w:hAnsi="微软雅黑" w:eastAsia="微软雅黑" w:cs="微软雅黑"/>
                <w:sz w:val="18"/>
                <w:szCs w:val="18"/>
              </w:rPr>
              <w:t>5</w:t>
            </w:r>
          </w:p>
        </w:tc>
        <w:tc>
          <w:tcPr>
            <w:tcW w:w="709" w:type="dxa"/>
            <w:vAlign w:val="center"/>
          </w:tcPr>
          <w:p w14:paraId="591C7B49">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709" w:type="dxa"/>
            <w:vAlign w:val="center"/>
          </w:tcPr>
          <w:p w14:paraId="20ED5C79">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1045" w:type="dxa"/>
            <w:vAlign w:val="center"/>
          </w:tcPr>
          <w:p w14:paraId="3CA426BF">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51581B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751A992E">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非学位课</w:t>
            </w:r>
          </w:p>
        </w:tc>
        <w:tc>
          <w:tcPr>
            <w:tcW w:w="1226" w:type="dxa"/>
            <w:vMerge w:val="restart"/>
            <w:vAlign w:val="center"/>
          </w:tcPr>
          <w:p w14:paraId="5A15C36C">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公共通识课</w:t>
            </w:r>
          </w:p>
          <w:p w14:paraId="6B06302B">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（2学分）</w:t>
            </w:r>
          </w:p>
        </w:tc>
        <w:tc>
          <w:tcPr>
            <w:tcW w:w="3366" w:type="dxa"/>
            <w:vAlign w:val="center"/>
          </w:tcPr>
          <w:p w14:paraId="2F830DAD">
            <w:pPr>
              <w:jc w:val="left"/>
              <w:rPr>
                <w:rFonts w:ascii="微软雅黑" w:hAnsi="微软雅黑" w:eastAsia="微软雅黑" w:cs="微软雅黑"/>
                <w:sz w:val="18"/>
                <w:szCs w:val="18"/>
              </w:rPr>
            </w:pPr>
            <w:r>
              <w:rPr>
                <w:rFonts w:hint="eastAsia" w:ascii="微软雅黑" w:hAnsi="微软雅黑" w:eastAsia="微软雅黑" w:cs="微软雅黑"/>
                <w:sz w:val="18"/>
                <w:szCs w:val="18"/>
              </w:rPr>
              <w:t>《习近平谈治国理政》研读</w:t>
            </w:r>
          </w:p>
        </w:tc>
        <w:tc>
          <w:tcPr>
            <w:tcW w:w="1231" w:type="dxa"/>
            <w:vAlign w:val="center"/>
          </w:tcPr>
          <w:p w14:paraId="1E27F074">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TT0000101</w:t>
            </w:r>
          </w:p>
        </w:tc>
        <w:tc>
          <w:tcPr>
            <w:tcW w:w="709" w:type="dxa"/>
            <w:vAlign w:val="center"/>
          </w:tcPr>
          <w:p w14:paraId="4998536D">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709" w:type="dxa"/>
            <w:vAlign w:val="center"/>
          </w:tcPr>
          <w:p w14:paraId="798ED925">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3422E0B9">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7E1951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9012E01">
            <w:pPr>
              <w:jc w:val="center"/>
              <w:rPr>
                <w:rFonts w:ascii="微软雅黑" w:hAnsi="微软雅黑" w:eastAsia="微软雅黑" w:cs="微软雅黑"/>
                <w:b/>
                <w:sz w:val="18"/>
                <w:szCs w:val="18"/>
              </w:rPr>
            </w:pPr>
          </w:p>
        </w:tc>
        <w:tc>
          <w:tcPr>
            <w:tcW w:w="1226" w:type="dxa"/>
            <w:vMerge w:val="continue"/>
            <w:vAlign w:val="center"/>
          </w:tcPr>
          <w:p w14:paraId="6BD9DB2E">
            <w:pPr>
              <w:jc w:val="center"/>
              <w:rPr>
                <w:rFonts w:ascii="微软雅黑" w:hAnsi="微软雅黑" w:eastAsia="微软雅黑" w:cs="微软雅黑"/>
                <w:b/>
                <w:sz w:val="18"/>
                <w:szCs w:val="18"/>
              </w:rPr>
            </w:pPr>
          </w:p>
        </w:tc>
        <w:tc>
          <w:tcPr>
            <w:tcW w:w="3366" w:type="dxa"/>
            <w:vAlign w:val="center"/>
          </w:tcPr>
          <w:p w14:paraId="224820EE">
            <w:pPr>
              <w:jc w:val="left"/>
              <w:rPr>
                <w:rFonts w:ascii="微软雅黑" w:hAnsi="微软雅黑" w:eastAsia="微软雅黑" w:cs="微软雅黑"/>
                <w:sz w:val="18"/>
                <w:szCs w:val="18"/>
              </w:rPr>
            </w:pPr>
            <w:r>
              <w:rPr>
                <w:rFonts w:hint="eastAsia" w:ascii="微软雅黑" w:hAnsi="微软雅黑" w:eastAsia="微软雅黑" w:cs="微软雅黑"/>
                <w:sz w:val="18"/>
                <w:szCs w:val="18"/>
              </w:rPr>
              <w:t>马克思恩格斯列宁经典著作选读</w:t>
            </w:r>
          </w:p>
        </w:tc>
        <w:tc>
          <w:tcPr>
            <w:tcW w:w="1231" w:type="dxa"/>
            <w:vAlign w:val="center"/>
          </w:tcPr>
          <w:p w14:paraId="19FC7E79">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TB0000103</w:t>
            </w:r>
          </w:p>
        </w:tc>
        <w:tc>
          <w:tcPr>
            <w:tcW w:w="709" w:type="dxa"/>
            <w:vAlign w:val="center"/>
          </w:tcPr>
          <w:p w14:paraId="25AB253F">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709" w:type="dxa"/>
            <w:vAlign w:val="center"/>
          </w:tcPr>
          <w:p w14:paraId="0403904B">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Align w:val="center"/>
          </w:tcPr>
          <w:p w14:paraId="4BAB970C">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考查</w:t>
            </w:r>
          </w:p>
        </w:tc>
      </w:tr>
      <w:tr w14:paraId="173456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0B7A57">
            <w:pPr>
              <w:rPr>
                <w:rFonts w:ascii="微软雅黑" w:hAnsi="微软雅黑" w:eastAsia="微软雅黑" w:cs="微软雅黑"/>
                <w:b/>
                <w:sz w:val="18"/>
                <w:szCs w:val="18"/>
              </w:rPr>
            </w:pPr>
          </w:p>
        </w:tc>
        <w:tc>
          <w:tcPr>
            <w:tcW w:w="1226" w:type="dxa"/>
            <w:vMerge w:val="restart"/>
            <w:vAlign w:val="center"/>
          </w:tcPr>
          <w:p w14:paraId="7A4339AD">
            <w:pPr>
              <w:adjustRightInd w:val="0"/>
              <w:snapToGrid w:val="0"/>
              <w:jc w:val="center"/>
              <w:rPr>
                <w:rFonts w:hint="eastAsia" w:ascii="微软雅黑" w:hAnsi="微软雅黑" w:eastAsia="微软雅黑" w:cs="微软雅黑"/>
                <w:b/>
                <w:sz w:val="18"/>
                <w:szCs w:val="18"/>
              </w:rPr>
            </w:pPr>
            <w:r>
              <w:rPr>
                <w:rFonts w:hint="eastAsia" w:ascii="微软雅黑" w:hAnsi="微软雅黑" w:eastAsia="微软雅黑" w:cs="微软雅黑"/>
                <w:b/>
                <w:sz w:val="18"/>
                <w:szCs w:val="18"/>
              </w:rPr>
              <w:t>选修课</w:t>
            </w:r>
          </w:p>
          <w:p w14:paraId="5D084D31">
            <w:pPr>
              <w:adjustRightInd w:val="0"/>
              <w:snapToGrid w:val="0"/>
              <w:jc w:val="center"/>
              <w:rPr>
                <w:rFonts w:hint="eastAsia" w:ascii="微软雅黑" w:hAnsi="微软雅黑" w:eastAsia="微软雅黑" w:cs="微软雅黑"/>
                <w:b/>
                <w:sz w:val="18"/>
                <w:szCs w:val="18"/>
                <w:lang w:eastAsia="zh-CN"/>
              </w:rPr>
            </w:pPr>
            <w:r>
              <w:rPr>
                <w:rFonts w:hint="eastAsia" w:ascii="微软雅黑" w:hAnsi="微软雅黑" w:eastAsia="微软雅黑" w:cs="微软雅黑"/>
                <w:b/>
                <w:sz w:val="18"/>
                <w:szCs w:val="18"/>
                <w:lang w:eastAsia="zh-CN"/>
              </w:rPr>
              <w:t>（</w:t>
            </w:r>
            <w:r>
              <w:rPr>
                <w:rFonts w:hint="eastAsia" w:ascii="微软雅黑" w:hAnsi="微软雅黑" w:eastAsia="微软雅黑" w:cs="微软雅黑"/>
                <w:b/>
                <w:sz w:val="18"/>
                <w:szCs w:val="18"/>
                <w:lang w:val="en-US" w:eastAsia="zh-CN"/>
              </w:rPr>
              <w:t>6学分</w:t>
            </w:r>
            <w:r>
              <w:rPr>
                <w:rFonts w:hint="eastAsia" w:ascii="微软雅黑" w:hAnsi="微软雅黑" w:eastAsia="微软雅黑" w:cs="微软雅黑"/>
                <w:b/>
                <w:sz w:val="18"/>
                <w:szCs w:val="18"/>
                <w:lang w:eastAsia="zh-CN"/>
              </w:rPr>
              <w:t>）</w:t>
            </w:r>
          </w:p>
        </w:tc>
        <w:tc>
          <w:tcPr>
            <w:tcW w:w="3366" w:type="dxa"/>
            <w:vAlign w:val="center"/>
          </w:tcPr>
          <w:p w14:paraId="11B19C2E">
            <w:pPr>
              <w:rPr>
                <w:rFonts w:ascii="微软雅黑" w:hAnsi="微软雅黑" w:eastAsia="微软雅黑" w:cs="微软雅黑"/>
                <w:sz w:val="18"/>
                <w:szCs w:val="18"/>
              </w:rPr>
            </w:pPr>
            <w:r>
              <w:rPr>
                <w:rFonts w:hint="eastAsia" w:ascii="微软雅黑" w:hAnsi="微软雅黑" w:eastAsia="微软雅黑" w:cs="微软雅黑"/>
                <w:sz w:val="18"/>
                <w:szCs w:val="18"/>
              </w:rPr>
              <w:t>学习与发展专题</w:t>
            </w:r>
          </w:p>
        </w:tc>
        <w:tc>
          <w:tcPr>
            <w:tcW w:w="1231" w:type="dxa"/>
            <w:vAlign w:val="center"/>
          </w:tcPr>
          <w:p w14:paraId="00914E49">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XB0645104</w:t>
            </w:r>
          </w:p>
        </w:tc>
        <w:tc>
          <w:tcPr>
            <w:tcW w:w="709" w:type="dxa"/>
            <w:vAlign w:val="center"/>
          </w:tcPr>
          <w:p w14:paraId="56F4E8FF">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709" w:type="dxa"/>
            <w:vAlign w:val="center"/>
          </w:tcPr>
          <w:p w14:paraId="6A28D17F">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Merge w:val="restart"/>
            <w:vAlign w:val="center"/>
          </w:tcPr>
          <w:p w14:paraId="49095610">
            <w:pPr>
              <w:adjustRightInd w:val="0"/>
              <w:snapToGrid w:val="0"/>
              <w:jc w:val="center"/>
              <w:rPr>
                <w:rFonts w:ascii="微软雅黑" w:hAnsi="微软雅黑" w:eastAsia="微软雅黑" w:cs="微软雅黑"/>
                <w:sz w:val="18"/>
                <w:szCs w:val="18"/>
              </w:rPr>
            </w:pPr>
          </w:p>
        </w:tc>
      </w:tr>
      <w:tr w14:paraId="7CC4EE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C0B98C">
            <w:pPr>
              <w:rPr>
                <w:rFonts w:ascii="微软雅黑" w:hAnsi="微软雅黑" w:eastAsia="微软雅黑" w:cs="微软雅黑"/>
                <w:b/>
                <w:sz w:val="18"/>
                <w:szCs w:val="18"/>
              </w:rPr>
            </w:pPr>
          </w:p>
        </w:tc>
        <w:tc>
          <w:tcPr>
            <w:tcW w:w="1226" w:type="dxa"/>
            <w:vMerge w:val="continue"/>
            <w:vAlign w:val="center"/>
          </w:tcPr>
          <w:p w14:paraId="2A7CD51E">
            <w:pPr>
              <w:adjustRightInd w:val="0"/>
              <w:snapToGrid w:val="0"/>
              <w:jc w:val="center"/>
              <w:rPr>
                <w:rFonts w:ascii="微软雅黑" w:hAnsi="微软雅黑" w:eastAsia="微软雅黑" w:cs="微软雅黑"/>
                <w:b/>
                <w:sz w:val="18"/>
                <w:szCs w:val="18"/>
              </w:rPr>
            </w:pPr>
          </w:p>
        </w:tc>
        <w:tc>
          <w:tcPr>
            <w:tcW w:w="3366" w:type="dxa"/>
            <w:vAlign w:val="center"/>
          </w:tcPr>
          <w:p w14:paraId="18D91BF3">
            <w:pPr>
              <w:rPr>
                <w:rFonts w:ascii="微软雅黑" w:hAnsi="微软雅黑" w:eastAsia="微软雅黑" w:cs="微软雅黑"/>
                <w:sz w:val="18"/>
                <w:szCs w:val="18"/>
              </w:rPr>
            </w:pPr>
            <w:r>
              <w:rPr>
                <w:rFonts w:hint="eastAsia" w:ascii="微软雅黑" w:hAnsi="微软雅黑" w:eastAsia="微软雅黑" w:cs="微软雅黑"/>
                <w:sz w:val="18"/>
                <w:szCs w:val="18"/>
              </w:rPr>
              <w:t>教育心理学理论建构与研究设计</w:t>
            </w:r>
          </w:p>
        </w:tc>
        <w:tc>
          <w:tcPr>
            <w:tcW w:w="1231" w:type="dxa"/>
            <w:vAlign w:val="center"/>
          </w:tcPr>
          <w:p w14:paraId="67CEE20D">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XB0645101</w:t>
            </w:r>
          </w:p>
        </w:tc>
        <w:tc>
          <w:tcPr>
            <w:tcW w:w="709" w:type="dxa"/>
            <w:vAlign w:val="center"/>
          </w:tcPr>
          <w:p w14:paraId="32EDD517">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709" w:type="dxa"/>
            <w:vAlign w:val="center"/>
          </w:tcPr>
          <w:p w14:paraId="0F349DDF">
            <w:pPr>
              <w:jc w:val="center"/>
              <w:rPr>
                <w:rFonts w:ascii="微软雅黑" w:hAnsi="微软雅黑" w:eastAsia="微软雅黑" w:cs="微软雅黑"/>
                <w:sz w:val="18"/>
                <w:szCs w:val="18"/>
              </w:rPr>
            </w:pPr>
            <w:r>
              <w:rPr>
                <w:rFonts w:ascii="微软雅黑" w:hAnsi="微软雅黑" w:eastAsia="微软雅黑" w:cs="微软雅黑"/>
                <w:sz w:val="18"/>
                <w:szCs w:val="18"/>
              </w:rPr>
              <w:t>2</w:t>
            </w:r>
          </w:p>
        </w:tc>
        <w:tc>
          <w:tcPr>
            <w:tcW w:w="1045" w:type="dxa"/>
            <w:vMerge w:val="continue"/>
            <w:vAlign w:val="center"/>
          </w:tcPr>
          <w:p w14:paraId="39C58F66">
            <w:pPr>
              <w:adjustRightInd w:val="0"/>
              <w:snapToGrid w:val="0"/>
              <w:jc w:val="center"/>
              <w:rPr>
                <w:rFonts w:ascii="微软雅黑" w:hAnsi="微软雅黑" w:eastAsia="微软雅黑" w:cs="微软雅黑"/>
                <w:sz w:val="18"/>
                <w:szCs w:val="18"/>
              </w:rPr>
            </w:pPr>
          </w:p>
        </w:tc>
      </w:tr>
      <w:tr w14:paraId="079EC1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C32613">
            <w:pPr>
              <w:rPr>
                <w:rFonts w:ascii="微软雅黑" w:hAnsi="微软雅黑" w:eastAsia="微软雅黑" w:cs="微软雅黑"/>
                <w:b/>
                <w:sz w:val="18"/>
                <w:szCs w:val="18"/>
              </w:rPr>
            </w:pPr>
          </w:p>
        </w:tc>
        <w:tc>
          <w:tcPr>
            <w:tcW w:w="1226" w:type="dxa"/>
            <w:vMerge w:val="continue"/>
            <w:vAlign w:val="center"/>
          </w:tcPr>
          <w:p w14:paraId="30E24C52">
            <w:pPr>
              <w:adjustRightInd w:val="0"/>
              <w:snapToGrid w:val="0"/>
              <w:jc w:val="center"/>
              <w:rPr>
                <w:rFonts w:ascii="微软雅黑" w:hAnsi="微软雅黑" w:eastAsia="微软雅黑" w:cs="微软雅黑"/>
                <w:b/>
                <w:sz w:val="18"/>
                <w:szCs w:val="18"/>
              </w:rPr>
            </w:pPr>
          </w:p>
        </w:tc>
        <w:tc>
          <w:tcPr>
            <w:tcW w:w="3366" w:type="dxa"/>
            <w:vAlign w:val="center"/>
          </w:tcPr>
          <w:p w14:paraId="563655AB">
            <w:pPr>
              <w:rPr>
                <w:rFonts w:ascii="微软雅黑" w:hAnsi="微软雅黑" w:eastAsia="微软雅黑" w:cs="微软雅黑"/>
                <w:sz w:val="18"/>
                <w:szCs w:val="18"/>
              </w:rPr>
            </w:pPr>
            <w:r>
              <w:rPr>
                <w:rFonts w:hint="eastAsia" w:ascii="微软雅黑" w:hAnsi="微软雅黑" w:eastAsia="微软雅黑" w:cs="微软雅黑"/>
                <w:sz w:val="18"/>
                <w:szCs w:val="18"/>
              </w:rPr>
              <w:t>高级心理统计</w:t>
            </w:r>
          </w:p>
        </w:tc>
        <w:tc>
          <w:tcPr>
            <w:tcW w:w="1231" w:type="dxa"/>
            <w:vAlign w:val="center"/>
          </w:tcPr>
          <w:p w14:paraId="451A09D2">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XB0645102</w:t>
            </w:r>
          </w:p>
        </w:tc>
        <w:tc>
          <w:tcPr>
            <w:tcW w:w="709" w:type="dxa"/>
            <w:vAlign w:val="center"/>
          </w:tcPr>
          <w:p w14:paraId="14C475A2">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2</w:t>
            </w:r>
          </w:p>
        </w:tc>
        <w:tc>
          <w:tcPr>
            <w:tcW w:w="709" w:type="dxa"/>
            <w:vAlign w:val="center"/>
          </w:tcPr>
          <w:p w14:paraId="4266C560">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Merge w:val="continue"/>
            <w:vAlign w:val="center"/>
          </w:tcPr>
          <w:p w14:paraId="4327E193">
            <w:pPr>
              <w:adjustRightInd w:val="0"/>
              <w:snapToGrid w:val="0"/>
              <w:jc w:val="center"/>
              <w:rPr>
                <w:rFonts w:ascii="微软雅黑" w:hAnsi="微软雅黑" w:eastAsia="微软雅黑" w:cs="微软雅黑"/>
                <w:sz w:val="18"/>
                <w:szCs w:val="18"/>
              </w:rPr>
            </w:pPr>
          </w:p>
        </w:tc>
      </w:tr>
      <w:tr w14:paraId="3FAC7B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7D64A39">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必修环节</w:t>
            </w:r>
          </w:p>
          <w:p w14:paraId="072F95D8">
            <w:pPr>
              <w:jc w:val="center"/>
              <w:rPr>
                <w:rFonts w:ascii="微软雅黑" w:hAnsi="微软雅黑" w:eastAsia="微软雅黑" w:cs="微软雅黑"/>
                <w:b/>
                <w:sz w:val="18"/>
                <w:szCs w:val="18"/>
              </w:rPr>
            </w:pPr>
          </w:p>
        </w:tc>
        <w:tc>
          <w:tcPr>
            <w:tcW w:w="1226" w:type="dxa"/>
            <w:vMerge w:val="restart"/>
            <w:vAlign w:val="center"/>
          </w:tcPr>
          <w:p w14:paraId="137686BB">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素质拓展</w:t>
            </w:r>
          </w:p>
        </w:tc>
        <w:tc>
          <w:tcPr>
            <w:tcW w:w="3366" w:type="dxa"/>
            <w:vAlign w:val="center"/>
          </w:tcPr>
          <w:p w14:paraId="706DA648">
            <w:pPr>
              <w:rPr>
                <w:rFonts w:ascii="微软雅黑" w:hAnsi="微软雅黑" w:eastAsia="微软雅黑" w:cs="微软雅黑"/>
                <w:sz w:val="18"/>
                <w:szCs w:val="18"/>
              </w:rPr>
            </w:pPr>
            <w:r>
              <w:rPr>
                <w:rFonts w:hint="eastAsia" w:ascii="微软雅黑" w:hAnsi="微软雅黑" w:eastAsia="微软雅黑" w:cs="微软雅黑"/>
                <w:sz w:val="18"/>
                <w:szCs w:val="18"/>
              </w:rPr>
              <w:t>入学教育</w:t>
            </w:r>
          </w:p>
        </w:tc>
        <w:tc>
          <w:tcPr>
            <w:tcW w:w="1231" w:type="dxa"/>
            <w:vAlign w:val="center"/>
          </w:tcPr>
          <w:p w14:paraId="1A57AFDA">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XB060000</w:t>
            </w:r>
            <w:r>
              <w:rPr>
                <w:rFonts w:ascii="微软雅黑" w:hAnsi="微软雅黑" w:eastAsia="微软雅黑" w:cs="微软雅黑"/>
                <w:sz w:val="18"/>
                <w:szCs w:val="18"/>
              </w:rPr>
              <w:t>6</w:t>
            </w:r>
          </w:p>
        </w:tc>
        <w:tc>
          <w:tcPr>
            <w:tcW w:w="709" w:type="dxa"/>
            <w:vAlign w:val="center"/>
          </w:tcPr>
          <w:p w14:paraId="5A081410">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w:t>
            </w:r>
          </w:p>
        </w:tc>
        <w:tc>
          <w:tcPr>
            <w:tcW w:w="709" w:type="dxa"/>
            <w:vAlign w:val="center"/>
          </w:tcPr>
          <w:p w14:paraId="0F29CFE9">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1045" w:type="dxa"/>
            <w:vMerge w:val="restart"/>
            <w:vAlign w:val="center"/>
          </w:tcPr>
          <w:p w14:paraId="1CF56CEA">
            <w:pPr>
              <w:jc w:val="center"/>
              <w:rPr>
                <w:rFonts w:ascii="微软雅黑" w:hAnsi="微软雅黑" w:eastAsia="微软雅黑" w:cs="微软雅黑"/>
                <w:i/>
                <w:sz w:val="18"/>
                <w:szCs w:val="18"/>
              </w:rPr>
            </w:pPr>
          </w:p>
        </w:tc>
      </w:tr>
      <w:tr w14:paraId="4B8581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29127DB4">
            <w:pPr>
              <w:jc w:val="center"/>
              <w:rPr>
                <w:rFonts w:ascii="微软雅黑" w:hAnsi="微软雅黑" w:eastAsia="微软雅黑" w:cs="微软雅黑"/>
                <w:b/>
                <w:sz w:val="18"/>
                <w:szCs w:val="18"/>
              </w:rPr>
            </w:pPr>
            <w:bookmarkStart w:id="3" w:name="_Hlk196468981"/>
          </w:p>
        </w:tc>
        <w:tc>
          <w:tcPr>
            <w:tcW w:w="1226" w:type="dxa"/>
            <w:vMerge w:val="continue"/>
            <w:vAlign w:val="center"/>
          </w:tcPr>
          <w:p w14:paraId="3ABAA046">
            <w:pPr>
              <w:jc w:val="center"/>
              <w:rPr>
                <w:rFonts w:ascii="微软雅黑" w:hAnsi="微软雅黑" w:eastAsia="微软雅黑" w:cs="微软雅黑"/>
                <w:b/>
                <w:sz w:val="18"/>
                <w:szCs w:val="18"/>
              </w:rPr>
            </w:pPr>
          </w:p>
        </w:tc>
        <w:tc>
          <w:tcPr>
            <w:tcW w:w="3366" w:type="dxa"/>
            <w:vAlign w:val="center"/>
          </w:tcPr>
          <w:p w14:paraId="7E954EB4">
            <w:pPr>
              <w:rPr>
                <w:rFonts w:ascii="微软雅黑" w:hAnsi="微软雅黑" w:eastAsia="微软雅黑" w:cs="微软雅黑"/>
                <w:sz w:val="18"/>
                <w:szCs w:val="18"/>
              </w:rPr>
            </w:pPr>
            <w:r>
              <w:rPr>
                <w:rFonts w:hint="eastAsia" w:ascii="微软雅黑" w:hAnsi="微软雅黑" w:eastAsia="微软雅黑" w:cs="微软雅黑"/>
                <w:sz w:val="18"/>
                <w:szCs w:val="18"/>
              </w:rPr>
              <w:t>学术活动</w:t>
            </w:r>
          </w:p>
        </w:tc>
        <w:tc>
          <w:tcPr>
            <w:tcW w:w="1231" w:type="dxa"/>
            <w:vAlign w:val="center"/>
          </w:tcPr>
          <w:p w14:paraId="6E6561EC">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w:t>
            </w:r>
          </w:p>
        </w:tc>
        <w:tc>
          <w:tcPr>
            <w:tcW w:w="709" w:type="dxa"/>
            <w:vAlign w:val="center"/>
          </w:tcPr>
          <w:p w14:paraId="5AEB49F5">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w:t>
            </w:r>
          </w:p>
        </w:tc>
        <w:tc>
          <w:tcPr>
            <w:tcW w:w="709" w:type="dxa"/>
            <w:vAlign w:val="center"/>
          </w:tcPr>
          <w:p w14:paraId="6B8A3805">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1-4</w:t>
            </w:r>
          </w:p>
        </w:tc>
        <w:tc>
          <w:tcPr>
            <w:tcW w:w="1045" w:type="dxa"/>
            <w:vMerge w:val="continue"/>
            <w:vAlign w:val="center"/>
          </w:tcPr>
          <w:p w14:paraId="4182A9C5">
            <w:pPr>
              <w:jc w:val="center"/>
              <w:rPr>
                <w:rFonts w:ascii="微软雅黑" w:hAnsi="微软雅黑" w:eastAsia="微软雅黑" w:cs="微软雅黑"/>
                <w:sz w:val="18"/>
                <w:szCs w:val="18"/>
              </w:rPr>
            </w:pPr>
          </w:p>
        </w:tc>
      </w:tr>
      <w:tr w14:paraId="40486B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A76896">
            <w:pPr>
              <w:rPr>
                <w:rFonts w:ascii="微软雅黑" w:hAnsi="微软雅黑" w:eastAsia="微软雅黑" w:cs="微软雅黑"/>
                <w:b/>
                <w:sz w:val="18"/>
                <w:szCs w:val="18"/>
              </w:rPr>
            </w:pPr>
            <w:bookmarkStart w:id="4" w:name="_Hlk196464078"/>
          </w:p>
        </w:tc>
        <w:tc>
          <w:tcPr>
            <w:tcW w:w="1226" w:type="dxa"/>
            <w:vMerge w:val="restart"/>
            <w:vAlign w:val="center"/>
          </w:tcPr>
          <w:p w14:paraId="207C12BC">
            <w:pPr>
              <w:jc w:val="center"/>
              <w:rPr>
                <w:rFonts w:ascii="微软雅黑" w:hAnsi="微软雅黑" w:eastAsia="微软雅黑" w:cs="微软雅黑"/>
                <w:b/>
                <w:sz w:val="18"/>
                <w:szCs w:val="18"/>
              </w:rPr>
            </w:pPr>
            <w:r>
              <w:rPr>
                <w:rFonts w:hint="eastAsia" w:ascii="微软雅黑" w:hAnsi="微软雅黑" w:eastAsia="微软雅黑" w:cs="微软雅黑"/>
                <w:b/>
                <w:sz w:val="18"/>
                <w:szCs w:val="18"/>
              </w:rPr>
              <w:t>学术训练</w:t>
            </w:r>
          </w:p>
        </w:tc>
        <w:tc>
          <w:tcPr>
            <w:tcW w:w="3366" w:type="dxa"/>
            <w:vAlign w:val="center"/>
          </w:tcPr>
          <w:p w14:paraId="59EEFE04">
            <w:pPr>
              <w:rPr>
                <w:rFonts w:ascii="微软雅黑" w:hAnsi="微软雅黑" w:eastAsia="微软雅黑" w:cs="微软雅黑"/>
                <w:sz w:val="18"/>
                <w:szCs w:val="18"/>
              </w:rPr>
            </w:pPr>
            <w:r>
              <w:rPr>
                <w:rFonts w:hint="eastAsia" w:ascii="微软雅黑" w:hAnsi="微软雅黑" w:eastAsia="微软雅黑" w:cs="微软雅黑"/>
                <w:sz w:val="18"/>
                <w:szCs w:val="18"/>
              </w:rPr>
              <w:t>中期筛选</w:t>
            </w:r>
          </w:p>
        </w:tc>
        <w:tc>
          <w:tcPr>
            <w:tcW w:w="1231" w:type="dxa"/>
          </w:tcPr>
          <w:p w14:paraId="66C82331">
            <w:pPr>
              <w:jc w:val="center"/>
            </w:pPr>
            <w:r>
              <w:rPr>
                <w:rFonts w:hint="eastAsia" w:ascii="微软雅黑" w:hAnsi="微软雅黑" w:eastAsia="微软雅黑" w:cs="微软雅黑"/>
                <w:sz w:val="18"/>
                <w:szCs w:val="18"/>
              </w:rPr>
              <w:t>—</w:t>
            </w:r>
          </w:p>
        </w:tc>
        <w:tc>
          <w:tcPr>
            <w:tcW w:w="709" w:type="dxa"/>
            <w:vAlign w:val="center"/>
          </w:tcPr>
          <w:p w14:paraId="53F99F7D">
            <w:pPr>
              <w:jc w:val="center"/>
              <w:rPr>
                <w:rFonts w:ascii="微软雅黑" w:hAnsi="微软雅黑" w:eastAsia="微软雅黑" w:cs="微软雅黑"/>
                <w:sz w:val="18"/>
                <w:szCs w:val="18"/>
              </w:rPr>
            </w:pPr>
          </w:p>
        </w:tc>
        <w:tc>
          <w:tcPr>
            <w:tcW w:w="709" w:type="dxa"/>
            <w:vAlign w:val="center"/>
          </w:tcPr>
          <w:p w14:paraId="690B03D2">
            <w:pPr>
              <w:jc w:val="center"/>
              <w:rPr>
                <w:rFonts w:ascii="微软雅黑" w:hAnsi="微软雅黑" w:eastAsia="微软雅黑" w:cs="微软雅黑"/>
                <w:sz w:val="18"/>
                <w:szCs w:val="18"/>
              </w:rPr>
            </w:pPr>
            <w:r>
              <w:rPr>
                <w:rFonts w:ascii="微软雅黑" w:hAnsi="微软雅黑" w:eastAsia="微软雅黑" w:cs="微软雅黑"/>
                <w:sz w:val="18"/>
                <w:szCs w:val="18"/>
              </w:rPr>
              <w:t>3</w:t>
            </w:r>
          </w:p>
        </w:tc>
        <w:tc>
          <w:tcPr>
            <w:tcW w:w="1045" w:type="dxa"/>
            <w:vMerge w:val="restart"/>
            <w:vAlign w:val="center"/>
          </w:tcPr>
          <w:p w14:paraId="19222954">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过程管理</w:t>
            </w:r>
          </w:p>
          <w:p w14:paraId="7DAA875D">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无学分</w:t>
            </w:r>
          </w:p>
        </w:tc>
      </w:tr>
      <w:tr w14:paraId="563130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8EDC50">
            <w:pPr>
              <w:rPr>
                <w:rFonts w:ascii="微软雅黑" w:hAnsi="微软雅黑" w:eastAsia="微软雅黑" w:cs="微软雅黑"/>
                <w:b/>
                <w:sz w:val="18"/>
                <w:szCs w:val="18"/>
              </w:rPr>
            </w:pPr>
          </w:p>
        </w:tc>
        <w:tc>
          <w:tcPr>
            <w:tcW w:w="1226" w:type="dxa"/>
            <w:vMerge w:val="continue"/>
            <w:vAlign w:val="center"/>
          </w:tcPr>
          <w:p w14:paraId="2AAF672B">
            <w:pPr>
              <w:jc w:val="center"/>
              <w:rPr>
                <w:rFonts w:ascii="微软雅黑" w:hAnsi="微软雅黑" w:eastAsia="微软雅黑" w:cs="微软雅黑"/>
                <w:b/>
                <w:sz w:val="18"/>
                <w:szCs w:val="18"/>
              </w:rPr>
            </w:pPr>
          </w:p>
        </w:tc>
        <w:tc>
          <w:tcPr>
            <w:tcW w:w="3366" w:type="dxa"/>
            <w:vAlign w:val="center"/>
          </w:tcPr>
          <w:p w14:paraId="48B8F9E9">
            <w:pPr>
              <w:rPr>
                <w:rFonts w:ascii="微软雅黑" w:hAnsi="微软雅黑" w:eastAsia="微软雅黑" w:cs="微软雅黑"/>
                <w:sz w:val="18"/>
                <w:szCs w:val="18"/>
              </w:rPr>
            </w:pPr>
            <w:r>
              <w:rPr>
                <w:rFonts w:hint="eastAsia" w:ascii="微软雅黑" w:hAnsi="微软雅黑" w:eastAsia="微软雅黑" w:cs="微软雅黑"/>
                <w:sz w:val="18"/>
                <w:szCs w:val="18"/>
              </w:rPr>
              <w:t>论文开题</w:t>
            </w:r>
          </w:p>
        </w:tc>
        <w:tc>
          <w:tcPr>
            <w:tcW w:w="1231" w:type="dxa"/>
          </w:tcPr>
          <w:p w14:paraId="02A7902C">
            <w:pPr>
              <w:jc w:val="center"/>
            </w:pPr>
            <w:r>
              <w:rPr>
                <w:rFonts w:hint="eastAsia" w:ascii="微软雅黑" w:hAnsi="微软雅黑" w:eastAsia="微软雅黑" w:cs="微软雅黑"/>
                <w:sz w:val="18"/>
                <w:szCs w:val="18"/>
              </w:rPr>
              <w:t>—</w:t>
            </w:r>
          </w:p>
        </w:tc>
        <w:tc>
          <w:tcPr>
            <w:tcW w:w="709" w:type="dxa"/>
            <w:vAlign w:val="center"/>
          </w:tcPr>
          <w:p w14:paraId="750708DD">
            <w:pPr>
              <w:jc w:val="center"/>
              <w:rPr>
                <w:rFonts w:ascii="微软雅黑" w:hAnsi="微软雅黑" w:eastAsia="微软雅黑" w:cs="微软雅黑"/>
                <w:sz w:val="18"/>
                <w:szCs w:val="18"/>
              </w:rPr>
            </w:pPr>
          </w:p>
        </w:tc>
        <w:tc>
          <w:tcPr>
            <w:tcW w:w="709" w:type="dxa"/>
            <w:vAlign w:val="center"/>
          </w:tcPr>
          <w:p w14:paraId="0089B234">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3</w:t>
            </w:r>
            <w:r>
              <w:rPr>
                <w:rFonts w:ascii="微软雅黑" w:hAnsi="微软雅黑" w:eastAsia="微软雅黑" w:cs="微软雅黑"/>
                <w:sz w:val="18"/>
                <w:szCs w:val="18"/>
              </w:rPr>
              <w:t>-4</w:t>
            </w:r>
          </w:p>
        </w:tc>
        <w:tc>
          <w:tcPr>
            <w:tcW w:w="1045" w:type="dxa"/>
            <w:vMerge w:val="continue"/>
            <w:vAlign w:val="center"/>
          </w:tcPr>
          <w:p w14:paraId="240FE644">
            <w:pPr>
              <w:jc w:val="center"/>
              <w:rPr>
                <w:rFonts w:ascii="微软雅黑" w:hAnsi="微软雅黑" w:eastAsia="微软雅黑" w:cs="微软雅黑"/>
                <w:sz w:val="18"/>
                <w:szCs w:val="18"/>
              </w:rPr>
            </w:pPr>
          </w:p>
        </w:tc>
      </w:tr>
      <w:tr w14:paraId="1B2805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2C39EB3">
            <w:pPr>
              <w:rPr>
                <w:rFonts w:ascii="微软雅黑" w:hAnsi="微软雅黑" w:eastAsia="微软雅黑" w:cs="微软雅黑"/>
                <w:b/>
                <w:sz w:val="18"/>
                <w:szCs w:val="18"/>
              </w:rPr>
            </w:pPr>
          </w:p>
        </w:tc>
        <w:tc>
          <w:tcPr>
            <w:tcW w:w="1226" w:type="dxa"/>
            <w:vMerge w:val="continue"/>
            <w:vAlign w:val="center"/>
          </w:tcPr>
          <w:p w14:paraId="6544F122">
            <w:pPr>
              <w:jc w:val="center"/>
              <w:rPr>
                <w:rFonts w:ascii="微软雅黑" w:hAnsi="微软雅黑" w:eastAsia="微软雅黑" w:cs="微软雅黑"/>
                <w:b/>
                <w:sz w:val="18"/>
                <w:szCs w:val="18"/>
              </w:rPr>
            </w:pPr>
          </w:p>
        </w:tc>
        <w:tc>
          <w:tcPr>
            <w:tcW w:w="3366" w:type="dxa"/>
            <w:vAlign w:val="center"/>
          </w:tcPr>
          <w:p w14:paraId="40485A7E">
            <w:pPr>
              <w:rPr>
                <w:rFonts w:ascii="微软雅黑" w:hAnsi="微软雅黑" w:eastAsia="微软雅黑" w:cs="微软雅黑"/>
                <w:sz w:val="18"/>
                <w:szCs w:val="18"/>
              </w:rPr>
            </w:pPr>
            <w:r>
              <w:rPr>
                <w:rFonts w:hint="eastAsia" w:ascii="微软雅黑" w:hAnsi="微软雅黑" w:eastAsia="微软雅黑" w:cs="微软雅黑"/>
                <w:sz w:val="18"/>
                <w:szCs w:val="18"/>
              </w:rPr>
              <w:t>论文中期进展报告</w:t>
            </w:r>
          </w:p>
        </w:tc>
        <w:tc>
          <w:tcPr>
            <w:tcW w:w="1231" w:type="dxa"/>
          </w:tcPr>
          <w:p w14:paraId="0EBCDC37">
            <w:pPr>
              <w:jc w:val="center"/>
            </w:pPr>
            <w:r>
              <w:rPr>
                <w:rFonts w:hint="eastAsia" w:ascii="微软雅黑" w:hAnsi="微软雅黑" w:eastAsia="微软雅黑" w:cs="微软雅黑"/>
                <w:sz w:val="18"/>
                <w:szCs w:val="18"/>
              </w:rPr>
              <w:t>—</w:t>
            </w:r>
          </w:p>
        </w:tc>
        <w:tc>
          <w:tcPr>
            <w:tcW w:w="709" w:type="dxa"/>
            <w:vAlign w:val="center"/>
          </w:tcPr>
          <w:p w14:paraId="0B9C7DAC">
            <w:pPr>
              <w:jc w:val="center"/>
              <w:rPr>
                <w:rFonts w:ascii="微软雅黑" w:hAnsi="微软雅黑" w:eastAsia="微软雅黑" w:cs="微软雅黑"/>
                <w:sz w:val="18"/>
                <w:szCs w:val="18"/>
              </w:rPr>
            </w:pPr>
          </w:p>
        </w:tc>
        <w:tc>
          <w:tcPr>
            <w:tcW w:w="709" w:type="dxa"/>
            <w:vAlign w:val="center"/>
          </w:tcPr>
          <w:p w14:paraId="2644334C">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5</w:t>
            </w:r>
          </w:p>
        </w:tc>
        <w:tc>
          <w:tcPr>
            <w:tcW w:w="1045" w:type="dxa"/>
            <w:vMerge w:val="continue"/>
          </w:tcPr>
          <w:p w14:paraId="2A1B8728">
            <w:pPr>
              <w:jc w:val="center"/>
              <w:rPr>
                <w:rFonts w:ascii="微软雅黑" w:hAnsi="微软雅黑" w:eastAsia="微软雅黑" w:cs="微软雅黑"/>
                <w:sz w:val="18"/>
                <w:szCs w:val="18"/>
              </w:rPr>
            </w:pPr>
          </w:p>
        </w:tc>
      </w:tr>
      <w:tr w14:paraId="0C178E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8008E1B">
            <w:pPr>
              <w:rPr>
                <w:rFonts w:ascii="微软雅黑" w:hAnsi="微软雅黑" w:eastAsia="微软雅黑" w:cs="微软雅黑"/>
                <w:b/>
                <w:sz w:val="18"/>
                <w:szCs w:val="18"/>
              </w:rPr>
            </w:pPr>
          </w:p>
        </w:tc>
        <w:tc>
          <w:tcPr>
            <w:tcW w:w="1226" w:type="dxa"/>
            <w:vMerge w:val="continue"/>
            <w:vAlign w:val="center"/>
          </w:tcPr>
          <w:p w14:paraId="2B131E9E">
            <w:pPr>
              <w:jc w:val="center"/>
              <w:rPr>
                <w:rFonts w:ascii="微软雅黑" w:hAnsi="微软雅黑" w:eastAsia="微软雅黑" w:cs="微软雅黑"/>
                <w:b/>
                <w:sz w:val="18"/>
                <w:szCs w:val="18"/>
              </w:rPr>
            </w:pPr>
          </w:p>
        </w:tc>
        <w:tc>
          <w:tcPr>
            <w:tcW w:w="3366" w:type="dxa"/>
            <w:vAlign w:val="center"/>
          </w:tcPr>
          <w:p w14:paraId="23B008F1">
            <w:pPr>
              <w:rPr>
                <w:rFonts w:ascii="微软雅黑" w:hAnsi="微软雅黑" w:eastAsia="微软雅黑" w:cs="微软雅黑"/>
                <w:sz w:val="18"/>
                <w:szCs w:val="18"/>
              </w:rPr>
            </w:pPr>
            <w:r>
              <w:rPr>
                <w:rFonts w:hint="eastAsia" w:ascii="微软雅黑" w:hAnsi="微软雅黑" w:eastAsia="微软雅黑" w:cs="微软雅黑"/>
                <w:sz w:val="18"/>
                <w:szCs w:val="18"/>
              </w:rPr>
              <w:t>论文预答辩</w:t>
            </w:r>
          </w:p>
        </w:tc>
        <w:tc>
          <w:tcPr>
            <w:tcW w:w="1231" w:type="dxa"/>
          </w:tcPr>
          <w:p w14:paraId="4E8229D1">
            <w:pPr>
              <w:jc w:val="center"/>
            </w:pPr>
            <w:r>
              <w:rPr>
                <w:rFonts w:hint="eastAsia" w:ascii="微软雅黑" w:hAnsi="微软雅黑" w:eastAsia="微软雅黑" w:cs="微软雅黑"/>
                <w:sz w:val="18"/>
                <w:szCs w:val="18"/>
              </w:rPr>
              <w:t>—</w:t>
            </w:r>
          </w:p>
        </w:tc>
        <w:tc>
          <w:tcPr>
            <w:tcW w:w="709" w:type="dxa"/>
            <w:vAlign w:val="center"/>
          </w:tcPr>
          <w:p w14:paraId="620BFB06">
            <w:pPr>
              <w:jc w:val="center"/>
              <w:rPr>
                <w:rFonts w:ascii="微软雅黑" w:hAnsi="微软雅黑" w:eastAsia="微软雅黑" w:cs="微软雅黑"/>
                <w:sz w:val="18"/>
                <w:szCs w:val="18"/>
              </w:rPr>
            </w:pPr>
          </w:p>
        </w:tc>
        <w:tc>
          <w:tcPr>
            <w:tcW w:w="709" w:type="dxa"/>
            <w:vAlign w:val="center"/>
          </w:tcPr>
          <w:p w14:paraId="1BB2EDA1">
            <w:pPr>
              <w:jc w:val="center"/>
              <w:rPr>
                <w:rFonts w:hint="eastAsia" w:ascii="微软雅黑" w:hAnsi="微软雅黑" w:eastAsia="微软雅黑" w:cs="微软雅黑"/>
                <w:sz w:val="18"/>
                <w:szCs w:val="18"/>
                <w:lang w:val="en-US" w:eastAsia="zh-CN"/>
              </w:rPr>
            </w:pPr>
            <w:r>
              <w:rPr>
                <w:rFonts w:hint="eastAsia" w:ascii="微软雅黑" w:hAnsi="微软雅黑" w:eastAsia="微软雅黑" w:cs="微软雅黑"/>
                <w:sz w:val="18"/>
                <w:szCs w:val="18"/>
                <w:lang w:val="en-US" w:eastAsia="zh-CN"/>
              </w:rPr>
              <w:t>7</w:t>
            </w:r>
          </w:p>
        </w:tc>
        <w:tc>
          <w:tcPr>
            <w:tcW w:w="1045" w:type="dxa"/>
            <w:vMerge w:val="continue"/>
          </w:tcPr>
          <w:p w14:paraId="5192CCB3">
            <w:pPr>
              <w:jc w:val="center"/>
              <w:rPr>
                <w:rFonts w:ascii="微软雅黑" w:hAnsi="微软雅黑" w:eastAsia="微软雅黑" w:cs="微软雅黑"/>
                <w:sz w:val="18"/>
                <w:szCs w:val="18"/>
              </w:rPr>
            </w:pPr>
          </w:p>
        </w:tc>
      </w:tr>
      <w:tr w14:paraId="58C24F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4261D9">
            <w:pPr>
              <w:rPr>
                <w:rFonts w:ascii="微软雅黑" w:hAnsi="微软雅黑" w:eastAsia="微软雅黑" w:cs="微软雅黑"/>
                <w:sz w:val="18"/>
                <w:szCs w:val="18"/>
              </w:rPr>
            </w:pPr>
          </w:p>
        </w:tc>
        <w:tc>
          <w:tcPr>
            <w:tcW w:w="1226" w:type="dxa"/>
            <w:vMerge w:val="continue"/>
          </w:tcPr>
          <w:p w14:paraId="66439EB3">
            <w:pPr>
              <w:jc w:val="center"/>
              <w:rPr>
                <w:rFonts w:ascii="微软雅黑" w:hAnsi="微软雅黑" w:eastAsia="微软雅黑" w:cs="微软雅黑"/>
                <w:sz w:val="18"/>
                <w:szCs w:val="18"/>
              </w:rPr>
            </w:pPr>
          </w:p>
        </w:tc>
        <w:tc>
          <w:tcPr>
            <w:tcW w:w="3366" w:type="dxa"/>
            <w:vAlign w:val="center"/>
          </w:tcPr>
          <w:p w14:paraId="48CAC67A">
            <w:pPr>
              <w:rPr>
                <w:rFonts w:ascii="微软雅黑" w:hAnsi="微软雅黑" w:eastAsia="微软雅黑" w:cs="微软雅黑"/>
                <w:sz w:val="18"/>
                <w:szCs w:val="18"/>
              </w:rPr>
            </w:pPr>
            <w:r>
              <w:rPr>
                <w:rFonts w:hint="eastAsia" w:ascii="微软雅黑" w:hAnsi="微软雅黑" w:eastAsia="微软雅黑" w:cs="微软雅黑"/>
                <w:sz w:val="18"/>
                <w:szCs w:val="18"/>
              </w:rPr>
              <w:t>论文评审</w:t>
            </w:r>
          </w:p>
        </w:tc>
        <w:tc>
          <w:tcPr>
            <w:tcW w:w="1231" w:type="dxa"/>
          </w:tcPr>
          <w:p w14:paraId="56A30AC5">
            <w:pPr>
              <w:jc w:val="center"/>
            </w:pPr>
            <w:r>
              <w:rPr>
                <w:rFonts w:hint="eastAsia" w:ascii="微软雅黑" w:hAnsi="微软雅黑" w:eastAsia="微软雅黑" w:cs="微软雅黑"/>
                <w:sz w:val="18"/>
                <w:szCs w:val="18"/>
              </w:rPr>
              <w:t>—</w:t>
            </w:r>
          </w:p>
        </w:tc>
        <w:tc>
          <w:tcPr>
            <w:tcW w:w="709" w:type="dxa"/>
            <w:vAlign w:val="center"/>
          </w:tcPr>
          <w:p w14:paraId="6C4CF7D5">
            <w:pPr>
              <w:jc w:val="center"/>
              <w:rPr>
                <w:rFonts w:ascii="微软雅黑" w:hAnsi="微软雅黑" w:eastAsia="微软雅黑" w:cs="微软雅黑"/>
                <w:sz w:val="18"/>
                <w:szCs w:val="18"/>
              </w:rPr>
            </w:pPr>
          </w:p>
        </w:tc>
        <w:tc>
          <w:tcPr>
            <w:tcW w:w="709" w:type="dxa"/>
            <w:vAlign w:val="center"/>
          </w:tcPr>
          <w:p w14:paraId="125682C1">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8</w:t>
            </w:r>
          </w:p>
        </w:tc>
        <w:tc>
          <w:tcPr>
            <w:tcW w:w="1045" w:type="dxa"/>
            <w:vMerge w:val="continue"/>
          </w:tcPr>
          <w:p w14:paraId="5968E18F">
            <w:pPr>
              <w:jc w:val="center"/>
              <w:rPr>
                <w:rFonts w:ascii="微软雅黑" w:hAnsi="微软雅黑" w:eastAsia="微软雅黑" w:cs="微软雅黑"/>
                <w:sz w:val="18"/>
                <w:szCs w:val="18"/>
              </w:rPr>
            </w:pPr>
          </w:p>
        </w:tc>
      </w:tr>
      <w:tr w14:paraId="4ED51D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5F58EF">
            <w:pPr>
              <w:rPr>
                <w:rFonts w:ascii="微软雅黑" w:hAnsi="微软雅黑" w:eastAsia="微软雅黑" w:cs="微软雅黑"/>
                <w:sz w:val="18"/>
                <w:szCs w:val="18"/>
              </w:rPr>
            </w:pPr>
          </w:p>
        </w:tc>
        <w:tc>
          <w:tcPr>
            <w:tcW w:w="1226" w:type="dxa"/>
            <w:vMerge w:val="continue"/>
          </w:tcPr>
          <w:p w14:paraId="20C358C7">
            <w:pPr>
              <w:jc w:val="center"/>
              <w:rPr>
                <w:rFonts w:ascii="微软雅黑" w:hAnsi="微软雅黑" w:eastAsia="微软雅黑" w:cs="微软雅黑"/>
                <w:sz w:val="18"/>
                <w:szCs w:val="18"/>
              </w:rPr>
            </w:pPr>
          </w:p>
        </w:tc>
        <w:tc>
          <w:tcPr>
            <w:tcW w:w="3366" w:type="dxa"/>
            <w:vAlign w:val="center"/>
          </w:tcPr>
          <w:p w14:paraId="2C9BC288">
            <w:pPr>
              <w:rPr>
                <w:rFonts w:ascii="微软雅黑" w:hAnsi="微软雅黑" w:eastAsia="微软雅黑" w:cs="微软雅黑"/>
                <w:sz w:val="18"/>
                <w:szCs w:val="18"/>
              </w:rPr>
            </w:pPr>
            <w:r>
              <w:rPr>
                <w:rFonts w:hint="eastAsia" w:ascii="微软雅黑" w:hAnsi="微软雅黑" w:eastAsia="微软雅黑" w:cs="微软雅黑"/>
                <w:sz w:val="18"/>
                <w:szCs w:val="18"/>
              </w:rPr>
              <w:t>论文答辩</w:t>
            </w:r>
          </w:p>
        </w:tc>
        <w:tc>
          <w:tcPr>
            <w:tcW w:w="1231" w:type="dxa"/>
          </w:tcPr>
          <w:p w14:paraId="3933D81B">
            <w:pPr>
              <w:jc w:val="center"/>
            </w:pPr>
            <w:r>
              <w:rPr>
                <w:rFonts w:hint="eastAsia" w:ascii="微软雅黑" w:hAnsi="微软雅黑" w:eastAsia="微软雅黑" w:cs="微软雅黑"/>
                <w:sz w:val="18"/>
                <w:szCs w:val="18"/>
              </w:rPr>
              <w:t>—</w:t>
            </w:r>
          </w:p>
        </w:tc>
        <w:tc>
          <w:tcPr>
            <w:tcW w:w="709" w:type="dxa"/>
            <w:vAlign w:val="center"/>
          </w:tcPr>
          <w:p w14:paraId="43A37E03">
            <w:pPr>
              <w:jc w:val="center"/>
              <w:rPr>
                <w:rFonts w:ascii="微软雅黑" w:hAnsi="微软雅黑" w:eastAsia="微软雅黑" w:cs="微软雅黑"/>
                <w:sz w:val="18"/>
                <w:szCs w:val="18"/>
              </w:rPr>
            </w:pPr>
          </w:p>
        </w:tc>
        <w:tc>
          <w:tcPr>
            <w:tcW w:w="709" w:type="dxa"/>
            <w:vAlign w:val="center"/>
          </w:tcPr>
          <w:p w14:paraId="404B348C">
            <w:pPr>
              <w:jc w:val="center"/>
              <w:rPr>
                <w:rFonts w:ascii="微软雅黑" w:hAnsi="微软雅黑" w:eastAsia="微软雅黑" w:cs="微软雅黑"/>
                <w:sz w:val="18"/>
                <w:szCs w:val="18"/>
              </w:rPr>
            </w:pPr>
            <w:r>
              <w:rPr>
                <w:rFonts w:hint="eastAsia" w:ascii="微软雅黑" w:hAnsi="微软雅黑" w:eastAsia="微软雅黑" w:cs="微软雅黑"/>
                <w:sz w:val="18"/>
                <w:szCs w:val="18"/>
              </w:rPr>
              <w:t>8</w:t>
            </w:r>
          </w:p>
        </w:tc>
        <w:tc>
          <w:tcPr>
            <w:tcW w:w="1045" w:type="dxa"/>
            <w:vMerge w:val="continue"/>
          </w:tcPr>
          <w:p w14:paraId="38608300">
            <w:pPr>
              <w:jc w:val="center"/>
              <w:rPr>
                <w:rFonts w:ascii="微软雅黑" w:hAnsi="微软雅黑" w:eastAsia="微软雅黑" w:cs="微软雅黑"/>
                <w:sz w:val="18"/>
                <w:szCs w:val="18"/>
              </w:rPr>
            </w:pPr>
          </w:p>
        </w:tc>
      </w:tr>
      <w:bookmarkEnd w:id="3"/>
      <w:bookmarkEnd w:id="4"/>
    </w:tbl>
    <w:p w14:paraId="184B5C4B">
      <w:pPr>
        <w:spacing w:line="440" w:lineRule="exact"/>
        <w:ind w:firstLine="480" w:firstLineChars="200"/>
        <w:rPr>
          <w:rFonts w:ascii="微软雅黑" w:hAnsi="微软雅黑" w:eastAsia="微软雅黑" w:cs="微软雅黑"/>
          <w:bCs/>
          <w:sz w:val="24"/>
        </w:rPr>
      </w:pPr>
      <w:r>
        <w:rPr>
          <w:rFonts w:hint="eastAsia" w:ascii="微软雅黑" w:hAnsi="微软雅黑" w:eastAsia="微软雅黑" w:cs="微软雅黑"/>
          <w:bCs/>
          <w:sz w:val="24"/>
        </w:rPr>
        <w:t>*公共外语课程按入学时的外国语考试科目修读相关语种。</w:t>
      </w:r>
    </w:p>
    <w:p w14:paraId="230CC969">
      <w:pPr>
        <w:spacing w:line="440" w:lineRule="exact"/>
        <w:ind w:firstLine="560" w:firstLineChars="200"/>
        <w:rPr>
          <w:rFonts w:ascii="微软雅黑" w:hAnsi="微软雅黑" w:eastAsia="微软雅黑" w:cs="微软雅黑"/>
          <w:bCs/>
          <w:sz w:val="28"/>
          <w:szCs w:val="28"/>
        </w:rPr>
      </w:pPr>
      <w:r>
        <w:rPr>
          <w:rFonts w:hint="eastAsia" w:ascii="微软雅黑" w:hAnsi="微软雅黑" w:eastAsia="微软雅黑" w:cs="微软雅黑"/>
          <w:bCs/>
          <w:sz w:val="28"/>
          <w:szCs w:val="28"/>
        </w:rPr>
        <w:t>十三、其他需要说明事项</w:t>
      </w:r>
    </w:p>
    <w:p w14:paraId="295CBE1A">
      <w:pPr>
        <w:spacing w:line="360" w:lineRule="auto"/>
        <w:ind w:firstLine="480" w:firstLineChars="200"/>
        <w:rPr>
          <w:rFonts w:ascii="宋体" w:hAnsi="宋体"/>
          <w:color w:val="000000"/>
          <w:sz w:val="24"/>
        </w:rPr>
      </w:pPr>
      <w:r>
        <w:rPr>
          <w:rFonts w:hint="eastAsia" w:ascii="宋体" w:hAnsi="宋体"/>
          <w:color w:val="000000"/>
          <w:sz w:val="24"/>
        </w:rPr>
        <w:t>1. 非学位课中的方向选修课模块由各培养单位自行设置，并给出具体选修学分要求。</w:t>
      </w:r>
    </w:p>
    <w:p w14:paraId="699D4232">
      <w:pPr>
        <w:spacing w:line="360" w:lineRule="auto"/>
        <w:ind w:firstLine="480" w:firstLineChars="200"/>
        <w:rPr>
          <w:rFonts w:ascii="宋体" w:hAnsi="宋体"/>
          <w:color w:val="000000"/>
          <w:sz w:val="24"/>
        </w:rPr>
      </w:pPr>
      <w:r>
        <w:rPr>
          <w:rFonts w:hint="eastAsia" w:ascii="宋体" w:hAnsi="宋体"/>
          <w:color w:val="000000"/>
          <w:sz w:val="24"/>
        </w:rPr>
        <w:t>2. 毕业总学分：学位课+非学位课+必修环节。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CA2585-825C-4489-B140-1A8D7F4757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embedRegular r:id="rId2" w:fontKey="{DB3525F9-F2AE-403E-82E3-39168D3597E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5A4"/>
    <w:rsid w:val="00035ECA"/>
    <w:rsid w:val="000C7DB5"/>
    <w:rsid w:val="000F598D"/>
    <w:rsid w:val="00125CB0"/>
    <w:rsid w:val="00163060"/>
    <w:rsid w:val="0023286B"/>
    <w:rsid w:val="00240C73"/>
    <w:rsid w:val="002A57FF"/>
    <w:rsid w:val="002C0EC0"/>
    <w:rsid w:val="002F01DD"/>
    <w:rsid w:val="002F3CB5"/>
    <w:rsid w:val="002F6DBC"/>
    <w:rsid w:val="00314153"/>
    <w:rsid w:val="0037494D"/>
    <w:rsid w:val="003D794A"/>
    <w:rsid w:val="004107F5"/>
    <w:rsid w:val="004374CD"/>
    <w:rsid w:val="004C74A9"/>
    <w:rsid w:val="00506662"/>
    <w:rsid w:val="005354BC"/>
    <w:rsid w:val="0055397E"/>
    <w:rsid w:val="005B766D"/>
    <w:rsid w:val="00602D50"/>
    <w:rsid w:val="00602F07"/>
    <w:rsid w:val="006A04BB"/>
    <w:rsid w:val="00707211"/>
    <w:rsid w:val="00722C76"/>
    <w:rsid w:val="007351CD"/>
    <w:rsid w:val="007B3CE8"/>
    <w:rsid w:val="00834F51"/>
    <w:rsid w:val="0085590C"/>
    <w:rsid w:val="00877F51"/>
    <w:rsid w:val="00947EBD"/>
    <w:rsid w:val="009E5C5E"/>
    <w:rsid w:val="00A125EF"/>
    <w:rsid w:val="00A545B8"/>
    <w:rsid w:val="00A95073"/>
    <w:rsid w:val="00B506F2"/>
    <w:rsid w:val="00C00FC2"/>
    <w:rsid w:val="00C777DB"/>
    <w:rsid w:val="00D01004"/>
    <w:rsid w:val="00D43640"/>
    <w:rsid w:val="00D60C67"/>
    <w:rsid w:val="00D85557"/>
    <w:rsid w:val="00EB4F0E"/>
    <w:rsid w:val="00EC55A4"/>
    <w:rsid w:val="00FA5EAD"/>
    <w:rsid w:val="00FB263C"/>
    <w:rsid w:val="032317AA"/>
    <w:rsid w:val="034072E4"/>
    <w:rsid w:val="06EE1483"/>
    <w:rsid w:val="0AF142C5"/>
    <w:rsid w:val="119A28FB"/>
    <w:rsid w:val="14824234"/>
    <w:rsid w:val="154A2F50"/>
    <w:rsid w:val="199D6B10"/>
    <w:rsid w:val="1DBE52A5"/>
    <w:rsid w:val="20B41BC5"/>
    <w:rsid w:val="223C4D2B"/>
    <w:rsid w:val="2B9E01A0"/>
    <w:rsid w:val="2DEC6E42"/>
    <w:rsid w:val="3022676F"/>
    <w:rsid w:val="31B0719C"/>
    <w:rsid w:val="32A80C5C"/>
    <w:rsid w:val="39981C2C"/>
    <w:rsid w:val="3ABF6015"/>
    <w:rsid w:val="3AD36FA6"/>
    <w:rsid w:val="3D4F4CF8"/>
    <w:rsid w:val="3E7A319D"/>
    <w:rsid w:val="4B396433"/>
    <w:rsid w:val="5D702DC9"/>
    <w:rsid w:val="638231B5"/>
    <w:rsid w:val="797C025F"/>
    <w:rsid w:val="79EE16FE"/>
    <w:rsid w:val="7A3D3E0A"/>
    <w:rsid w:val="7F0B7D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3483</Words>
  <Characters>3663</Characters>
  <Lines>44</Lines>
  <Paragraphs>12</Paragraphs>
  <TotalTime>10</TotalTime>
  <ScaleCrop>false</ScaleCrop>
  <LinksUpToDate>false</LinksUpToDate>
  <CharactersWithSpaces>3671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2025-04-14T10:52:00Z</dcterms:created>
  <dc:creator>教育学院1</dc:creator>
  <cp:lastModifiedBy>xl100128</cp:lastModifiedBy>
  <cp:lastPrinted>2025-06-16T00:59:00Z</cp:lastPrinted>
  <dcterms:modified xsi:type="dcterms:W3CDTF">2025-12-30T09:56:05Z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eyJoZGlkIjoiYzI5OGNmNmM2YjgzNTJlNTY1MDUzMDUzYzg0MTViMjUiLCJ1c2VySWQiOiI0NDEwODg3MTMifQ==</vt:lpwstr>
  </property>
  <property fmtid="{D5CDD505-2E9C-101B-9397-08002B2CF9AE}" pid="4" name="ICV">
    <vt:lpwstr>30B5EA09C7114541875033E901600D7F_13</vt:lpwstr>
  </property>
</Properties>
</file>