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21" w:leftChars="153" w:right="227"/>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u w:val="single"/>
        </w:rPr>
        <w:t>教育</w:t>
      </w:r>
      <w:r>
        <w:rPr>
          <w:rFonts w:hint="eastAsia" w:ascii="方正小标宋简体" w:hAnsi="方正小标宋简体" w:eastAsia="方正小标宋简体" w:cs="方正小标宋简体"/>
          <w:b/>
          <w:bCs/>
          <w:sz w:val="36"/>
          <w:szCs w:val="36"/>
        </w:rPr>
        <w:t>专业全日制专业学位博士研究生培养方案</w:t>
      </w:r>
      <w:r>
        <w:rPr>
          <w:rFonts w:hint="eastAsia" w:ascii="方正小标宋简体" w:hAnsi="方正小标宋简体" w:eastAsia="方正小标宋简体" w:cs="方正小标宋简体"/>
          <w:b/>
          <w:bCs/>
          <w:sz w:val="36"/>
          <w:szCs w:val="36"/>
          <w:lang w:eastAsia="zh-CN"/>
        </w:rPr>
        <w:t>（</w:t>
      </w:r>
      <w:r>
        <w:rPr>
          <w:rFonts w:hint="eastAsia" w:ascii="方正小标宋简体" w:hAnsi="方正小标宋简体" w:eastAsia="方正小标宋简体" w:cs="方正小标宋简体"/>
          <w:b/>
          <w:bCs/>
          <w:sz w:val="36"/>
          <w:szCs w:val="36"/>
        </w:rPr>
        <w:t>学生发展与教育领域</w:t>
      </w:r>
      <w:r>
        <w:rPr>
          <w:rFonts w:hint="eastAsia" w:ascii="方正小标宋简体" w:hAnsi="方正小标宋简体" w:eastAsia="方正小标宋简体" w:cs="方正小标宋简体"/>
          <w:b/>
          <w:bCs/>
          <w:sz w:val="36"/>
          <w:szCs w:val="36"/>
          <w:lang w:eastAsia="zh-CN"/>
        </w:rPr>
        <w:t>）</w:t>
      </w:r>
    </w:p>
    <w:p>
      <w:pPr>
        <w:ind w:left="321" w:leftChars="153" w:right="227"/>
        <w:jc w:val="center"/>
        <w:rPr>
          <w:rFonts w:ascii="方正小标宋简体" w:hAnsi="方正小标宋简体" w:eastAsia="方正小标宋简体" w:cs="方正小标宋简体"/>
          <w:b/>
          <w:bCs/>
          <w:sz w:val="28"/>
          <w:szCs w:val="28"/>
        </w:rPr>
      </w:pPr>
      <w:r>
        <w:rPr>
          <w:rFonts w:hint="eastAsia" w:ascii="方正小标宋简体" w:hAnsi="方正小标宋简体" w:eastAsia="方正小标宋简体" w:cs="方正小标宋简体"/>
          <w:b/>
          <w:bCs/>
          <w:sz w:val="28"/>
          <w:szCs w:val="28"/>
        </w:rPr>
        <w:t>（教育学院)</w:t>
      </w:r>
      <w:bookmarkStart w:id="6" w:name="_GoBack"/>
      <w:bookmarkEnd w:id="6"/>
    </w:p>
    <w:p>
      <w:pPr>
        <w:spacing w:line="440" w:lineRule="exact"/>
        <w:ind w:firstLine="560"/>
        <w:rPr>
          <w:rFonts w:ascii="方正小标宋简体" w:hAnsi="方正小标宋简体" w:eastAsia="方正小标宋简体" w:cs="方正小标宋简体"/>
          <w:sz w:val="28"/>
          <w:szCs w:val="28"/>
        </w:rPr>
      </w:pPr>
    </w:p>
    <w:p>
      <w:pPr>
        <w:spacing w:line="440" w:lineRule="exact"/>
        <w:ind w:firstLine="56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一、专业名称、代码</w:t>
      </w:r>
    </w:p>
    <w:p>
      <w:pPr>
        <w:widowControl/>
        <w:spacing w:line="360" w:lineRule="auto"/>
        <w:ind w:firstLine="960" w:firstLineChars="400"/>
        <w:jc w:val="left"/>
        <w:rPr>
          <w:rFonts w:ascii="宋体" w:hAnsi="宋体" w:cs="方正小标宋简体"/>
          <w:kern w:val="0"/>
          <w:sz w:val="18"/>
          <w:szCs w:val="18"/>
        </w:rPr>
      </w:pPr>
      <w:r>
        <w:rPr>
          <w:rFonts w:hint="eastAsia" w:ascii="宋体" w:hAnsi="宋体" w:cs="方正小标宋简体"/>
          <w:kern w:val="0"/>
          <w:sz w:val="24"/>
        </w:rPr>
        <w:t>专业名称：教育</w:t>
      </w:r>
    </w:p>
    <w:p>
      <w:pPr>
        <w:widowControl/>
        <w:spacing w:line="360" w:lineRule="auto"/>
        <w:ind w:firstLine="960" w:firstLineChars="400"/>
        <w:jc w:val="left"/>
        <w:rPr>
          <w:rFonts w:ascii="宋体" w:hAnsi="宋体" w:cs="方正小标宋简体"/>
          <w:kern w:val="0"/>
          <w:sz w:val="18"/>
          <w:szCs w:val="18"/>
        </w:rPr>
      </w:pPr>
      <w:r>
        <w:rPr>
          <w:rFonts w:hint="eastAsia" w:ascii="宋体" w:hAnsi="宋体" w:cs="方正小标宋简体"/>
          <w:kern w:val="0"/>
          <w:sz w:val="24"/>
        </w:rPr>
        <w:t>专业代码：</w:t>
      </w:r>
      <w:r>
        <w:rPr>
          <w:rFonts w:ascii="宋体" w:hAnsi="宋体" w:cs="方正小标宋简体"/>
          <w:kern w:val="0"/>
          <w:sz w:val="24"/>
        </w:rPr>
        <w:t>0451</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二、专业简介</w:t>
      </w:r>
    </w:p>
    <w:p>
      <w:pPr>
        <w:spacing w:line="360" w:lineRule="auto"/>
        <w:ind w:firstLine="480" w:firstLineChars="200"/>
        <w:rPr>
          <w:rFonts w:ascii="宋体" w:hAnsi="宋体"/>
          <w:sz w:val="24"/>
        </w:rPr>
      </w:pPr>
      <w:r>
        <w:rPr>
          <w:rFonts w:hint="eastAsia" w:ascii="宋体" w:hAnsi="宋体"/>
          <w:sz w:val="24"/>
        </w:rPr>
        <w:t>2024年，国务院学位委员会下发《关于下达2023年审核增列的博士、硕士学位授权点名单的通知》（学位〔2024〕20号），公布了2023年度审核增列的博士、硕士学位授权点名单，教育学院新增教育博士专业学位授权点，实现了学校博士专业学位授权点的“零”突破。教育专业学位博士是高等学校根据国家和区域经济与社会发展对教育学类人才培养的需求提出申请，经国务院学位委员会审核批准而设置的博士研究生专业门类。</w:t>
      </w:r>
    </w:p>
    <w:p>
      <w:pPr>
        <w:spacing w:line="360" w:lineRule="auto"/>
        <w:ind w:firstLine="480" w:firstLineChars="200"/>
        <w:rPr>
          <w:rFonts w:ascii="宋体" w:hAnsi="宋体"/>
          <w:sz w:val="24"/>
        </w:rPr>
      </w:pPr>
      <w:r>
        <w:rPr>
          <w:rFonts w:hint="eastAsia" w:ascii="宋体" w:hAnsi="宋体"/>
          <w:sz w:val="24"/>
        </w:rPr>
        <w:t>本教育博士专业学位点涵盖教育领导与管理、学生发展与教育</w:t>
      </w:r>
      <w:r>
        <w:rPr>
          <w:rFonts w:ascii="宋体" w:hAnsi="宋体"/>
          <w:sz w:val="24"/>
        </w:rPr>
        <w:t>2</w:t>
      </w:r>
      <w:r>
        <w:rPr>
          <w:rFonts w:hint="eastAsia" w:ascii="宋体" w:hAnsi="宋体"/>
          <w:sz w:val="24"/>
        </w:rPr>
        <w:t>个学科方向，立足河北，服务教育强国国家战略，面向京津冀教育协同发展和雄安新区高质量教育体系构建，打造教育领军人才培养高地，引领河北教育高质量发展。旨在培养思想政治素养过硬，具有教育家精神、家国情怀、扎实学识和实践创新能力的教育领导与管理、学生发展与教育领域复合型、职业型高级专门人才。</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三、研究方向</w:t>
      </w:r>
    </w:p>
    <w:p>
      <w:pPr>
        <w:spacing w:line="360" w:lineRule="auto"/>
        <w:ind w:firstLine="480" w:firstLineChars="200"/>
        <w:rPr>
          <w:sz w:val="24"/>
        </w:rPr>
      </w:pPr>
      <w:r>
        <w:rPr>
          <w:rFonts w:hint="eastAsia"/>
          <w:sz w:val="24"/>
        </w:rPr>
        <w:t>学生发展与教育专业领域包括心理健康教育、思想品德教育、学生发展与管理三个方向，在有意遗忘、增强现实学习、睡眠与健康、幸福研究等领域优势明显。本领域研究聚焦实证方法探究人类的认知特点及其规律，并在此基础上致力于将研究的成果应用于教育教学、咨询与辅导等实践领域。依据个体和群体心理与发展规律，采用新模型、新范式和新理念，开展学生发展与教育方面的理论和实践研究。其中，“心关爱”心理志愿服务团队获中国青年报、河北新闻网的报道。思政课微电影教学改革被新闻联播、光明日报等报道。</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四、学制及学习年限</w:t>
      </w:r>
    </w:p>
    <w:p>
      <w:pPr>
        <w:spacing w:line="440" w:lineRule="exact"/>
        <w:ind w:firstLine="480" w:firstLineChars="200"/>
        <w:rPr>
          <w:rFonts w:ascii="宋体" w:hAnsi="宋体"/>
          <w:color w:val="000000"/>
          <w:sz w:val="24"/>
        </w:rPr>
      </w:pPr>
      <w:r>
        <w:rPr>
          <w:rFonts w:hint="eastAsia" w:ascii="宋体" w:hAnsi="宋体"/>
          <w:color w:val="000000"/>
          <w:sz w:val="24"/>
        </w:rPr>
        <w:t>基本学制为4年</w:t>
      </w:r>
      <w:r>
        <w:rPr>
          <w:rFonts w:hint="eastAsia" w:ascii="宋体" w:hAnsi="宋体"/>
          <w:sz w:val="24"/>
        </w:rPr>
        <w:t>，学习年限最多可延伸至8年</w:t>
      </w:r>
      <w:r>
        <w:rPr>
          <w:rFonts w:hint="eastAsia" w:ascii="宋体" w:hAnsi="宋体"/>
          <w:color w:val="000000"/>
          <w:sz w:val="24"/>
        </w:rPr>
        <w:t>。其中，脱产在校学习和研究时间累计不少于1年。</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五、培养目标</w:t>
      </w:r>
    </w:p>
    <w:p>
      <w:pPr>
        <w:spacing w:line="360" w:lineRule="auto"/>
        <w:ind w:firstLine="480" w:firstLineChars="200"/>
        <w:rPr>
          <w:sz w:val="24"/>
        </w:rPr>
      </w:pPr>
      <w:r>
        <w:rPr>
          <w:rFonts w:hint="eastAsia"/>
          <w:sz w:val="24"/>
        </w:rPr>
        <w:t>教育博士专业学位教育旨在培养造就教育、教学和教育管理领域复合型、职业型高级专门人才，教育、教学和教育管理实践改革创新的先行者和引领者。</w:t>
      </w:r>
      <w:r>
        <w:rPr>
          <w:rFonts w:hint="eastAsia" w:ascii="宋体" w:hAnsi="宋体"/>
          <w:sz w:val="24"/>
        </w:rPr>
        <w:t>其中，</w:t>
      </w:r>
      <w:bookmarkStart w:id="0" w:name="_Hlk195535833"/>
      <w:r>
        <w:rPr>
          <w:rFonts w:hint="eastAsia"/>
          <w:sz w:val="24"/>
        </w:rPr>
        <w:t>学生发展与教育</w:t>
      </w:r>
      <w:r>
        <w:rPr>
          <w:rFonts w:hint="eastAsia" w:ascii="宋体" w:hAnsi="宋体"/>
          <w:sz w:val="24"/>
        </w:rPr>
        <w:t>专业</w:t>
      </w:r>
      <w:bookmarkEnd w:id="0"/>
      <w:r>
        <w:rPr>
          <w:rFonts w:hint="eastAsia" w:ascii="宋体" w:hAnsi="宋体"/>
          <w:sz w:val="24"/>
        </w:rPr>
        <w:t>方向的培养目标是，造就适应各级各类学校从事思想品德教育、心理健康教育和学生管理工作的复合型、职业型的高级专门人才。</w:t>
      </w:r>
    </w:p>
    <w:p>
      <w:pPr>
        <w:spacing w:line="360" w:lineRule="auto"/>
        <w:ind w:firstLine="480" w:firstLineChars="200"/>
        <w:rPr>
          <w:sz w:val="24"/>
        </w:rPr>
      </w:pPr>
      <w:r>
        <w:rPr>
          <w:rFonts w:hint="eastAsia"/>
          <w:sz w:val="24"/>
        </w:rPr>
        <w:t>教育博士专业学位获得者应具有如下基本素质：</w:t>
      </w:r>
    </w:p>
    <w:p>
      <w:pPr>
        <w:spacing w:line="360" w:lineRule="auto"/>
        <w:ind w:firstLine="480" w:firstLineChars="200"/>
        <w:rPr>
          <w:sz w:val="24"/>
        </w:rPr>
      </w:pPr>
      <w:r>
        <w:rPr>
          <w:rFonts w:hint="eastAsia"/>
          <w:sz w:val="24"/>
        </w:rPr>
        <w:t>1.热爱教育事业，对教育事业具有强烈的责任感和使命感；恪守学术道德，具有严谨的科研作风和锲而不舍的钻研精神。</w:t>
      </w:r>
    </w:p>
    <w:p>
      <w:pPr>
        <w:spacing w:line="360" w:lineRule="auto"/>
        <w:ind w:firstLine="480" w:firstLineChars="200"/>
        <w:rPr>
          <w:sz w:val="24"/>
        </w:rPr>
      </w:pPr>
      <w:r>
        <w:rPr>
          <w:rFonts w:hint="eastAsia"/>
          <w:sz w:val="24"/>
        </w:rPr>
        <w:t>2.具备宽广的人文与社会科学视野和系统扎实的教育学科理论素养，深入了解本专业领域的基本问题和学术研究前沿。</w:t>
      </w:r>
    </w:p>
    <w:p>
      <w:pPr>
        <w:spacing w:line="360" w:lineRule="auto"/>
        <w:ind w:firstLine="480" w:firstLineChars="200"/>
        <w:rPr>
          <w:rFonts w:ascii="宋体" w:hAnsi="宋体"/>
          <w:sz w:val="24"/>
        </w:rPr>
      </w:pPr>
      <w:r>
        <w:rPr>
          <w:rFonts w:hint="eastAsia"/>
          <w:sz w:val="24"/>
        </w:rPr>
        <w:t>3.能有效运用科学方法研究和解决教育实践中的复杂问题，能够创造性地开展教育、教学和教育管理等领域改革创新的高层次实践工作。</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六、培养方式</w:t>
      </w:r>
    </w:p>
    <w:p>
      <w:pPr>
        <w:spacing w:line="440" w:lineRule="exact"/>
        <w:ind w:firstLine="480" w:firstLineChars="200"/>
        <w:rPr>
          <w:rFonts w:ascii="宋体" w:hAnsi="宋体"/>
          <w:sz w:val="24"/>
        </w:rPr>
      </w:pPr>
      <w:r>
        <w:rPr>
          <w:rFonts w:hint="eastAsia" w:ascii="宋体" w:hAnsi="宋体"/>
          <w:sz w:val="24"/>
        </w:rPr>
        <w:t>教育博士培养采用学分制和弹性学制。具体分为两个阶段：第一阶段为课程学习，在2年内完成；第二阶段为学位论文的撰写，在2-3年内完成。</w:t>
      </w:r>
    </w:p>
    <w:p>
      <w:pPr>
        <w:spacing w:line="440" w:lineRule="exact"/>
        <w:ind w:firstLine="480" w:firstLineChars="200"/>
        <w:rPr>
          <w:rFonts w:ascii="宋体" w:hAnsi="宋体"/>
          <w:sz w:val="24"/>
        </w:rPr>
      </w:pPr>
      <w:r>
        <w:rPr>
          <w:rFonts w:hint="eastAsia" w:ascii="宋体" w:hAnsi="宋体"/>
          <w:sz w:val="24"/>
        </w:rPr>
        <w:t>学习方式采取脱产集中学习与分散自主学习的教学方式。培养过程包括课程学习、专业实践、中期考核、开题报告、论文写作与论文答辩等环节。</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七、中期筛选</w:t>
      </w:r>
    </w:p>
    <w:p>
      <w:pPr>
        <w:spacing w:line="440" w:lineRule="exact"/>
        <w:ind w:firstLine="480" w:firstLineChars="200"/>
        <w:rPr>
          <w:bCs/>
          <w:sz w:val="24"/>
        </w:rPr>
      </w:pPr>
      <w:r>
        <w:rPr>
          <w:rFonts w:hint="eastAsia" w:ascii="宋体" w:hAnsi="宋体"/>
          <w:color w:val="000000"/>
          <w:sz w:val="24"/>
        </w:rPr>
        <w:t>在完成培养方案规定的课程学习、考核成绩合格、获得规定的学分后，按照《河北大学研究生中期筛选管理办法》（校政字〔2021〕15号）的相关规定，组织开展中期筛选工作</w:t>
      </w:r>
      <w:r>
        <w:rPr>
          <w:rFonts w:hint="eastAsia"/>
          <w:bCs/>
          <w:sz w:val="24"/>
        </w:rPr>
        <w:t>。</w:t>
      </w:r>
    </w:p>
    <w:p>
      <w:pPr>
        <w:spacing w:before="156" w:beforeLines="50"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八、学位（毕业）论文</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1.总体要求：</w:t>
      </w:r>
      <w:r>
        <w:rPr>
          <w:rFonts w:hint="eastAsia"/>
          <w:bCs/>
          <w:sz w:val="24"/>
        </w:rPr>
        <w:t>按照《河北大学关于开展2025版研究生培养方案修订工作的指导意见》（校政字〔2025〕9号）规定，博士研究生论文开题与答辩时间间隔原则上不少于18个月。学位（毕业）论文应当表明作者具有独立从事学术研究工作的能力， 在学术研究领域做出创新性成果。</w:t>
      </w:r>
    </w:p>
    <w:p>
      <w:pPr>
        <w:spacing w:line="360" w:lineRule="auto"/>
        <w:ind w:firstLine="480" w:firstLineChars="200"/>
        <w:rPr>
          <w:bCs/>
          <w:sz w:val="24"/>
        </w:rPr>
      </w:pPr>
      <w:r>
        <w:rPr>
          <w:rFonts w:hint="eastAsia" w:ascii="方正小标宋简体" w:hAnsi="方正小标宋简体" w:eastAsia="方正小标宋简体" w:cs="方正小标宋简体"/>
          <w:bCs/>
          <w:kern w:val="0"/>
          <w:sz w:val="24"/>
        </w:rPr>
        <w:t>2.开题：</w:t>
      </w:r>
      <w:r>
        <w:rPr>
          <w:rFonts w:hint="eastAsia"/>
          <w:bCs/>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pPr>
        <w:spacing w:line="360" w:lineRule="auto"/>
        <w:ind w:firstLine="480" w:firstLineChars="200"/>
        <w:rPr>
          <w:bCs/>
          <w:sz w:val="24"/>
        </w:rPr>
      </w:pPr>
      <w:r>
        <w:rPr>
          <w:rFonts w:hint="eastAsia"/>
          <w:bCs/>
          <w:sz w:val="24"/>
        </w:rPr>
        <w:t>原则上在入学后第4学期完成开题。开题由3-5名具有正高级专业技术职务的人员参加，以学术报告的方式进行。</w:t>
      </w:r>
    </w:p>
    <w:p>
      <w:pPr>
        <w:spacing w:line="360" w:lineRule="auto"/>
        <w:ind w:firstLine="480" w:firstLineChars="200"/>
        <w:rPr>
          <w:bCs/>
          <w:sz w:val="24"/>
        </w:rPr>
      </w:pPr>
      <w:r>
        <w:rPr>
          <w:rFonts w:hint="eastAsia"/>
          <w:bCs/>
          <w:sz w:val="24"/>
        </w:rPr>
        <w:t>通过开题报告确定学位论文选题。贯彻理论联系实际的原则，论文选题应来源于教育、教学和管理实践中具有重要现实意义和应用价值的关键问题，或是具体教育情境中的紧迫问题，应密切结合学生的本职工作和已有的研究基础，论文选题须与所学专业领域（方向）相一致。</w:t>
      </w:r>
    </w:p>
    <w:p>
      <w:pPr>
        <w:spacing w:line="360" w:lineRule="auto"/>
        <w:ind w:firstLine="480" w:firstLineChars="200"/>
        <w:rPr>
          <w:bCs/>
          <w:sz w:val="24"/>
        </w:rPr>
      </w:pPr>
      <w:r>
        <w:rPr>
          <w:rFonts w:hint="eastAsia"/>
          <w:bCs/>
          <w:sz w:val="24"/>
        </w:rPr>
        <w:t xml:space="preserve">论文选题应来源于学校教育、教学和管理实践中具有重要现实意义和应用价值的关键问题，应密切结合学生的本职工作。论文的研究应该强调综合运用相关理论和科学方法分析、解决教育实践中的真实问题；应该注重研究成果的实践意义，注重通过实践探索创生知识。 </w:t>
      </w:r>
    </w:p>
    <w:p>
      <w:pPr>
        <w:spacing w:line="360" w:lineRule="auto"/>
        <w:ind w:firstLine="480" w:firstLineChars="200"/>
        <w:rPr>
          <w:bCs/>
          <w:sz w:val="24"/>
        </w:rPr>
      </w:pPr>
      <w:r>
        <w:rPr>
          <w:rFonts w:hint="eastAsia"/>
          <w:bCs/>
          <w:sz w:val="24"/>
        </w:rPr>
        <w:t>学位论文应符合论文形式和规范要求。参照教指委的指导原则制定论文写作格式。严格遵守学术研究的基本规范，严格遵守学术道德。</w:t>
      </w:r>
    </w:p>
    <w:p>
      <w:pPr>
        <w:spacing w:line="360" w:lineRule="auto"/>
        <w:ind w:firstLine="480" w:firstLineChars="200"/>
        <w:rPr>
          <w:bCs/>
          <w:sz w:val="24"/>
        </w:rPr>
      </w:pPr>
      <w:r>
        <w:rPr>
          <w:rFonts w:hint="eastAsia"/>
          <w:bCs/>
          <w:sz w:val="24"/>
        </w:rPr>
        <w:t>学位论文篇幅不少于8万字，各部分之间保持紧密的逻辑关系和合理的篇幅比例。论文应系统完整、结构合理、写作工作量饱满。学位论文应反映扎实的专业理论基础、明确的研究假设、系统的研究方法和周密的逻辑论证，论文结构应包括问题提出、文献综述、理论框架、研究方法、研究发现与讨论、研究结论与反思等部分，能够表现作者系统运用相关理论和方法研究并解决复杂的实践问题的能力。学位论文在研究取向、研究主题、理论视角、研究方法、研究数据和研究结果等某些方面具有较强的实践创新性，研究结论应揭示教育实践中蕴藏的规律，或发现解决具体问题的新方法、新策略和新技术，对完善专业实践和改进教育政策作出重要的应用贡献。</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3.中期进展报告：</w:t>
      </w:r>
      <w:r>
        <w:rPr>
          <w:rFonts w:hint="eastAsia"/>
          <w:bCs/>
          <w:sz w:val="24"/>
        </w:rPr>
        <w:t>中期进展报告是检查研究生个人综合能力及学位论文进展、指导研究生把握学位（毕业）论文方向、提高学位（毕业）论文质量的必要环节。中期进展报告原则上在第4学期进行；</w:t>
      </w:r>
      <w:r>
        <w:rPr>
          <w:rFonts w:hint="eastAsia"/>
          <w:bCs/>
          <w:sz w:val="24"/>
          <w:lang w:val="en-US" w:eastAsia="zh-CN"/>
        </w:rPr>
        <w:t>由</w:t>
      </w:r>
      <w:r>
        <w:rPr>
          <w:rFonts w:hint="eastAsia"/>
          <w:bCs/>
          <w:sz w:val="24"/>
        </w:rPr>
        <w:t>学位点制定中期考核办法并组织考核。</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4.学位申请：</w:t>
      </w:r>
      <w:r>
        <w:rPr>
          <w:rFonts w:hint="eastAsia"/>
          <w:bCs/>
          <w:sz w:val="24"/>
        </w:rPr>
        <w:t>达到学位授予条件的申请人，经导师同意后，应于答辩前三个月，向学院学位评定分委员会提出学位申请，提交学位申请材料。</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5.预答辩：</w:t>
      </w:r>
      <w:r>
        <w:rPr>
          <w:rFonts w:hint="eastAsia"/>
          <w:bCs/>
          <w:sz w:val="24"/>
        </w:rPr>
        <w:t>学位申请人须进行学位论文预答辩。预答辩通过者，方可进入学位论文评阅、学位论文答辩等环节。学位（毕业）论文预答辩在正式答辩前3个月进行。</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6.论文评阅：</w:t>
      </w:r>
      <w:r>
        <w:rPr>
          <w:rFonts w:hint="eastAsia"/>
          <w:bCs/>
          <w:sz w:val="24"/>
        </w:rPr>
        <w:t>学位（毕业）论文在获得导师组认可，经培养单位形式审查合格，并通过预答辩，方可提出进入评阅程序的申请。论文评阅在正式答辩前40天由研究生提出，并进行匿名评审。评阅结果及异议处理按照《河北大学研究生学位论文或者实践成果评审管理办法》（校政字〔2025〕8号）执行。</w:t>
      </w:r>
    </w:p>
    <w:p>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7.答辩：</w:t>
      </w:r>
      <w:r>
        <w:rPr>
          <w:rFonts w:hint="eastAsia"/>
          <w:bCs/>
          <w:sz w:val="24"/>
        </w:rPr>
        <w:t>学位（毕业）论文答辩按照《河北大学博士、硕士学位授予工作实施细则》（校政字〔2025〕7号）执行。</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九、毕业条件</w:t>
      </w:r>
    </w:p>
    <w:p>
      <w:pPr>
        <w:spacing w:line="440" w:lineRule="exact"/>
        <w:ind w:firstLine="480" w:firstLineChars="200"/>
        <w:rPr>
          <w:bCs/>
          <w:sz w:val="24"/>
        </w:rPr>
      </w:pPr>
      <w:r>
        <w:rPr>
          <w:rFonts w:hint="eastAsia"/>
          <w:bCs/>
          <w:sz w:val="24"/>
        </w:rPr>
        <w:t>1.课程学习。研究生在规定修业年限内完成培养方案规定的课程学习，考核成绩合格，获得规定的学分。</w:t>
      </w:r>
    </w:p>
    <w:p>
      <w:pPr>
        <w:ind w:firstLine="480" w:firstLineChars="200"/>
        <w:rPr>
          <w:bCs/>
          <w:sz w:val="24"/>
        </w:rPr>
      </w:pPr>
      <w:r>
        <w:rPr>
          <w:rFonts w:hint="eastAsia"/>
          <w:bCs/>
          <w:sz w:val="24"/>
        </w:rPr>
        <w:t>2.学术/实践活动。研究生在读期间至少需要完成两类活动中的一类：</w:t>
      </w:r>
    </w:p>
    <w:p>
      <w:pPr>
        <w:spacing w:line="440" w:lineRule="exact"/>
        <w:ind w:firstLine="480" w:firstLineChars="200"/>
        <w:rPr>
          <w:bCs/>
          <w:sz w:val="24"/>
        </w:rPr>
      </w:pPr>
      <w:r>
        <w:rPr>
          <w:rFonts w:hint="eastAsia"/>
          <w:bCs/>
          <w:sz w:val="24"/>
        </w:rPr>
        <w:t>（1）学术活动：研究生在读期间参加不少15次学术活动，并撰写学术报告小结；以主讲人或宣讲人身份，参加在校内外举行的学术报告或学术讲座不少于2次；参与本专业领域的科研项目；主持开展与本专业领域相关的自主研究课题。</w:t>
      </w:r>
    </w:p>
    <w:p>
      <w:pPr>
        <w:spacing w:line="440" w:lineRule="exact"/>
        <w:ind w:firstLine="480" w:firstLineChars="200"/>
        <w:rPr>
          <w:bCs/>
          <w:sz w:val="24"/>
        </w:rPr>
      </w:pPr>
      <w:r>
        <w:rPr>
          <w:rFonts w:hint="eastAsia"/>
          <w:bCs/>
          <w:sz w:val="24"/>
        </w:rPr>
        <w:t>（2）实践活动：参与本专业相关的社会实践，由相关单位出具相关实践证明材料；或组织开展与本专业相关的调查、考察等活动，并提交相关报告。</w:t>
      </w:r>
    </w:p>
    <w:p>
      <w:pPr>
        <w:spacing w:line="440" w:lineRule="exact"/>
        <w:ind w:firstLine="480" w:firstLineChars="200"/>
        <w:rPr>
          <w:bCs/>
          <w:sz w:val="24"/>
        </w:rPr>
      </w:pPr>
      <w:r>
        <w:rPr>
          <w:rFonts w:hint="eastAsia"/>
          <w:bCs/>
          <w:sz w:val="24"/>
        </w:rPr>
        <w:t>3.符合提前毕业条件的研究生，可按照学校相关规定申请提前毕业。</w:t>
      </w:r>
    </w:p>
    <w:p>
      <w:pPr>
        <w:spacing w:line="440" w:lineRule="exact"/>
        <w:ind w:firstLine="480" w:firstLineChars="200"/>
        <w:rPr>
          <w:bCs/>
          <w:sz w:val="24"/>
        </w:rPr>
      </w:pPr>
      <w:r>
        <w:rPr>
          <w:rFonts w:hint="eastAsia"/>
          <w:bCs/>
          <w:sz w:val="24"/>
        </w:rPr>
        <w:t>4.论文答辩。学位（毕业）论文经专家评审合格、通过学位（毕业）答辩，符合毕业资格审查后，准予毕业。</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十、创新性成果</w:t>
      </w:r>
    </w:p>
    <w:p>
      <w:pPr>
        <w:spacing w:line="440" w:lineRule="exact"/>
        <w:ind w:firstLine="480" w:firstLineChars="200"/>
        <w:rPr>
          <w:rFonts w:ascii="方正小标宋简体" w:hAnsi="方正小标宋简体" w:eastAsia="方正小标宋简体" w:cs="方正小标宋简体"/>
          <w:sz w:val="24"/>
        </w:rPr>
      </w:pPr>
      <w:bookmarkStart w:id="1" w:name="OLE_LINK1"/>
      <w:bookmarkStart w:id="2" w:name="OLE_LINK4"/>
      <w:r>
        <w:rPr>
          <w:rFonts w:hint="eastAsia"/>
          <w:bCs/>
          <w:sz w:val="24"/>
        </w:rPr>
        <w:t>研究生申请博士学位</w:t>
      </w:r>
      <w:bookmarkEnd w:id="1"/>
      <w:bookmarkEnd w:id="2"/>
      <w:r>
        <w:rPr>
          <w:rFonts w:hint="eastAsia" w:ascii="宋体" w:hAnsi="宋体"/>
          <w:color w:val="000000"/>
          <w:sz w:val="24"/>
        </w:rPr>
        <w:t>需满足我院对研究生申请学位取得创新性成果做出的规定，创新性成果标准另行规定</w:t>
      </w:r>
      <w:r>
        <w:rPr>
          <w:rFonts w:hint="eastAsia" w:ascii="方正小标宋简体" w:hAnsi="方正小标宋简体" w:eastAsia="方正小标宋简体" w:cs="方正小标宋简体"/>
          <w:sz w:val="24"/>
        </w:rPr>
        <w:t>。</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十一、学位授予</w:t>
      </w:r>
    </w:p>
    <w:p>
      <w:pPr>
        <w:spacing w:line="440" w:lineRule="exact"/>
        <w:ind w:firstLine="480" w:firstLineChars="200"/>
        <w:rPr>
          <w:bCs/>
          <w:sz w:val="24"/>
        </w:rPr>
      </w:pPr>
      <w:r>
        <w:rPr>
          <w:rFonts w:hint="eastAsia"/>
          <w:bCs/>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十二、学分及课程设置</w:t>
      </w:r>
    </w:p>
    <w:p>
      <w:pPr>
        <w:spacing w:line="440" w:lineRule="exact"/>
        <w:ind w:firstLine="480" w:firstLineChars="200"/>
        <w:rPr>
          <w:bCs/>
          <w:sz w:val="24"/>
        </w:rPr>
      </w:pPr>
      <w:r>
        <w:rPr>
          <w:rFonts w:hint="eastAsia"/>
          <w:bCs/>
          <w:sz w:val="24"/>
        </w:rPr>
        <w:t>本专业最低毕业学分为</w:t>
      </w:r>
      <w:r>
        <w:rPr>
          <w:bCs/>
          <w:sz w:val="24"/>
        </w:rPr>
        <w:t>25</w:t>
      </w:r>
      <w:r>
        <w:rPr>
          <w:rFonts w:hint="eastAsia"/>
          <w:bCs/>
          <w:sz w:val="24"/>
        </w:rPr>
        <w:t>分，其中学位课</w:t>
      </w:r>
      <w:r>
        <w:rPr>
          <w:bCs/>
          <w:sz w:val="24"/>
        </w:rPr>
        <w:t>10</w:t>
      </w:r>
      <w:r>
        <w:rPr>
          <w:rFonts w:hint="eastAsia"/>
          <w:bCs/>
          <w:sz w:val="24"/>
        </w:rPr>
        <w:t>学分，非学位课</w:t>
      </w:r>
      <w:r>
        <w:rPr>
          <w:bCs/>
          <w:sz w:val="24"/>
        </w:rPr>
        <w:t>14</w:t>
      </w:r>
      <w:r>
        <w:rPr>
          <w:rFonts w:hint="eastAsia"/>
          <w:bCs/>
          <w:sz w:val="24"/>
        </w:rPr>
        <w:t>学分，必修环节</w:t>
      </w:r>
      <w:r>
        <w:rPr>
          <w:bCs/>
          <w:sz w:val="24"/>
        </w:rPr>
        <w:t>1</w:t>
      </w:r>
      <w:r>
        <w:rPr>
          <w:rFonts w:hint="eastAsia"/>
          <w:bCs/>
          <w:sz w:val="24"/>
        </w:rPr>
        <w:t>分。</w:t>
      </w:r>
    </w:p>
    <w:p>
      <w:pPr>
        <w:spacing w:line="440" w:lineRule="exact"/>
        <w:ind w:firstLine="480" w:firstLineChars="200"/>
        <w:rPr>
          <w:bCs/>
          <w:sz w:val="24"/>
        </w:rPr>
      </w:pPr>
      <w:r>
        <w:rPr>
          <w:rFonts w:hint="eastAsia"/>
          <w:bCs/>
          <w:sz w:val="24"/>
        </w:rPr>
        <w:t>课程考试不设补考环节，考试成绩低于60分的需重修。</w:t>
      </w:r>
    </w:p>
    <w:p>
      <w:pPr>
        <w:spacing w:line="440" w:lineRule="exact"/>
        <w:ind w:firstLine="480" w:firstLineChars="200"/>
        <w:rPr>
          <w:bCs/>
          <w:sz w:val="24"/>
        </w:rPr>
      </w:pPr>
      <w:r>
        <w:rPr>
          <w:rFonts w:hint="eastAsia"/>
          <w:bCs/>
          <w:sz w:val="24"/>
        </w:rPr>
        <w:t>根据教育发展对专业化管理者培养的总体要求，科学设置课程体系。课程内容反映教育理论研究的最新进展，课程结构体现综合性、专业性，突出实践研究特点，课程教学采用模块课程学分制，注重运用团队学习、专题研讨、现场研究、案例分析及教育调查等方法，加强自学、作业、辅导和文献阅读等环节，提高学生实际运用所学知识的能力。</w:t>
      </w:r>
    </w:p>
    <w:p>
      <w:pPr>
        <w:spacing w:after="156" w:afterLines="50" w:line="440" w:lineRule="exact"/>
        <w:ind w:firstLine="482" w:firstLineChars="200"/>
        <w:jc w:val="center"/>
        <w:rPr>
          <w:rFonts w:ascii="方正小标宋简体" w:hAnsi="方正小标宋简体" w:eastAsia="方正小标宋简体" w:cs="方正小标宋简体"/>
          <w:b/>
          <w:bCs/>
          <w:sz w:val="24"/>
        </w:rPr>
      </w:pPr>
      <w:r>
        <w:rPr>
          <w:rFonts w:hint="eastAsia" w:ascii="方正小标宋简体" w:hAnsi="方正小标宋简体" w:eastAsia="方正小标宋简体" w:cs="方正小标宋简体"/>
          <w:b/>
          <w:bCs/>
          <w:sz w:val="24"/>
        </w:rPr>
        <w:t>教育专业全日制专业学位博士研究生课程及培养环节设置一览表</w:t>
      </w:r>
    </w:p>
    <w:tbl>
      <w:tblPr>
        <w:tblStyle w:val="5"/>
        <w:tblW w:w="8857"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55"/>
        <w:gridCol w:w="1242"/>
        <w:gridCol w:w="709"/>
        <w:gridCol w:w="709"/>
        <w:gridCol w:w="104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797" w:type="dxa"/>
            <w:gridSpan w:val="2"/>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课程类别</w:t>
            </w:r>
          </w:p>
        </w:tc>
        <w:tc>
          <w:tcPr>
            <w:tcW w:w="3355" w:type="dxa"/>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课程说明</w:t>
            </w:r>
          </w:p>
        </w:tc>
        <w:tc>
          <w:tcPr>
            <w:tcW w:w="1242" w:type="dxa"/>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课程编号</w:t>
            </w:r>
          </w:p>
        </w:tc>
        <w:tc>
          <w:tcPr>
            <w:tcW w:w="709" w:type="dxa"/>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学分</w:t>
            </w:r>
          </w:p>
        </w:tc>
        <w:tc>
          <w:tcPr>
            <w:tcW w:w="709" w:type="dxa"/>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学期</w:t>
            </w:r>
          </w:p>
        </w:tc>
        <w:tc>
          <w:tcPr>
            <w:tcW w:w="1045" w:type="dxa"/>
            <w:vAlign w:val="center"/>
          </w:tcPr>
          <w:p>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45" w:hRule="atLeast"/>
          <w:jc w:val="center"/>
        </w:trPr>
        <w:tc>
          <w:tcPr>
            <w:tcW w:w="571"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学位课</w:t>
            </w: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公共必修课</w:t>
            </w:r>
          </w:p>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（4学分）</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中国马克思主义与当代</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45" w:hRule="atLeast"/>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学术英语阅读与写作</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TB0000004</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bookmarkStart w:id="3" w:name="OLE_LINK5"/>
            <w:r>
              <w:rPr>
                <w:rFonts w:hint="eastAsia" w:ascii="方正小标宋简体" w:hAnsi="方正小标宋简体" w:eastAsia="方正小标宋简体" w:cs="方正小标宋简体"/>
                <w:sz w:val="18"/>
                <w:szCs w:val="18"/>
              </w:rPr>
              <w:t>1</w:t>
            </w:r>
            <w:bookmarkEnd w:id="3"/>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学科基础课</w:t>
            </w:r>
          </w:p>
          <w:p>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2</w:t>
            </w:r>
            <w:r>
              <w:rPr>
                <w:rFonts w:hint="eastAsia" w:ascii="方正小标宋简体" w:hAnsi="方正小标宋简体" w:eastAsia="方正小标宋简体" w:cs="方正小标宋简体"/>
                <w:b/>
                <w:sz w:val="18"/>
                <w:szCs w:val="18"/>
              </w:rPr>
              <w:t>学分）</w:t>
            </w:r>
          </w:p>
        </w:tc>
        <w:tc>
          <w:tcPr>
            <w:tcW w:w="3355" w:type="dxa"/>
            <w:vAlign w:val="center"/>
          </w:tcPr>
          <w:p>
            <w:pPr>
              <w:adjustRightInd w:val="0"/>
              <w:snapToGrid w:val="0"/>
              <w:rPr>
                <w:rFonts w:ascii="方正小标宋简体" w:hAnsi="方正小标宋简体" w:eastAsia="方正小标宋简体" w:cs="方正小标宋简体"/>
                <w:sz w:val="18"/>
                <w:szCs w:val="18"/>
              </w:rPr>
            </w:pPr>
            <w:bookmarkStart w:id="4" w:name="OLE_LINK2"/>
            <w:bookmarkStart w:id="5" w:name="OLE_LINK3"/>
            <w:r>
              <w:rPr>
                <w:rFonts w:hint="eastAsia" w:ascii="方正小标宋简体" w:hAnsi="方正小标宋简体" w:eastAsia="方正小标宋简体" w:cs="方正小标宋简体"/>
                <w:sz w:val="18"/>
                <w:szCs w:val="18"/>
              </w:rPr>
              <w:t>习近平总书记关于教育的重要论述研究</w:t>
            </w:r>
            <w:bookmarkEnd w:id="4"/>
            <w:bookmarkEnd w:id="5"/>
          </w:p>
        </w:tc>
        <w:tc>
          <w:tcPr>
            <w:tcW w:w="1242"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lang w:val="en-US" w:eastAsia="zh-CN"/>
              </w:rPr>
              <w:t>Z</w:t>
            </w:r>
            <w:r>
              <w:rPr>
                <w:rFonts w:hint="eastAsia" w:ascii="方正小标宋简体" w:hAnsi="方正小标宋简体" w:eastAsia="方正小标宋简体" w:cs="方正小标宋简体"/>
                <w:sz w:val="18"/>
                <w:szCs w:val="18"/>
              </w:rPr>
              <w:t>B0600001</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人文与科学技术前沿专题</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专业必修课</w:t>
            </w:r>
          </w:p>
          <w:p>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4</w:t>
            </w:r>
            <w:r>
              <w:rPr>
                <w:rFonts w:hint="eastAsia" w:ascii="方正小标宋简体" w:hAnsi="方正小标宋简体" w:eastAsia="方正小标宋简体" w:cs="方正小标宋简体"/>
                <w:b/>
                <w:sz w:val="18"/>
                <w:szCs w:val="18"/>
              </w:rPr>
              <w:t>学分）</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教育科学与心理研究方法</w:t>
            </w:r>
          </w:p>
        </w:tc>
        <w:tc>
          <w:tcPr>
            <w:tcW w:w="1242"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4</w:t>
            </w:r>
          </w:p>
        </w:tc>
        <w:tc>
          <w:tcPr>
            <w:tcW w:w="709" w:type="dxa"/>
            <w:vAlign w:val="center"/>
          </w:tcPr>
          <w:p>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定量研究方法</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B0600004</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质性研究方法</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B0600005</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39" w:hRule="atLeast"/>
          <w:jc w:val="center"/>
        </w:trPr>
        <w:tc>
          <w:tcPr>
            <w:tcW w:w="571"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非学位课</w:t>
            </w: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公共通识课</w:t>
            </w:r>
          </w:p>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（2学分）</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《习近平谈治国理政》研读</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TT0000101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416" w:hRule="atLeast"/>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马克思恩格斯列宁经典著作选读</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TB0000103</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restart"/>
            <w:vAlign w:val="center"/>
          </w:tcPr>
          <w:p>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学生发展与教育方向</w:t>
            </w:r>
          </w:p>
          <w:p>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学校心理健康教育研究</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12</w:t>
            </w:r>
            <w:r>
              <w:rPr>
                <w:rFonts w:hint="eastAsia" w:ascii="方正小标宋简体" w:hAnsi="方正小标宋简体" w:eastAsia="方正小标宋简体" w:cs="方正小标宋简体"/>
                <w:sz w:val="18"/>
                <w:szCs w:val="18"/>
              </w:rPr>
              <w:t>学分</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青少年认知心理研究</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学生发展与教育理论前沿</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ZB0602003</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学术规范与论文写作</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ZB0602004</w:t>
            </w:r>
          </w:p>
        </w:tc>
        <w:tc>
          <w:tcPr>
            <w:tcW w:w="709" w:type="dxa"/>
            <w:vAlign w:val="center"/>
          </w:tcPr>
          <w:p>
            <w:pPr>
              <w:adjustRightInd w:val="0"/>
              <w:snapToGrid w:val="0"/>
              <w:jc w:val="center"/>
              <w:rPr>
                <w:rFonts w:hint="eastAsia" w:ascii="方正小标宋简体" w:hAnsi="方正小标宋简体" w:eastAsia="方正小标宋简体" w:cs="方正小标宋简体"/>
                <w:sz w:val="18"/>
                <w:szCs w:val="18"/>
                <w:lang w:eastAsia="zh-CN"/>
              </w:rPr>
            </w:pPr>
            <w:r>
              <w:rPr>
                <w:rFonts w:hint="eastAsia" w:ascii="方正小标宋简体" w:hAnsi="方正小标宋简体" w:eastAsia="方正小标宋简体" w:cs="方正小标宋简体"/>
                <w:sz w:val="18"/>
                <w:szCs w:val="18"/>
                <w:lang w:val="en-US" w:eastAsia="zh-CN"/>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学生心理健康教育实践指导</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ZB0602005</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学生发展与教育案例分析</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ZB0602006</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3</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adjustRightInd w:val="0"/>
              <w:snapToGrid w:val="0"/>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学生心理问题与危机干预</w:t>
            </w:r>
          </w:p>
        </w:tc>
        <w:tc>
          <w:tcPr>
            <w:tcW w:w="1242"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ZB060200</w:t>
            </w:r>
            <w:r>
              <w:rPr>
                <w:rFonts w:ascii="方正小标宋简体" w:hAnsi="方正小标宋简体" w:eastAsia="方正小标宋简体" w:cs="方正小标宋简体"/>
                <w:sz w:val="18"/>
                <w:szCs w:val="18"/>
              </w:rPr>
              <w:t>7</w:t>
            </w:r>
          </w:p>
        </w:tc>
        <w:tc>
          <w:tcPr>
            <w:tcW w:w="709" w:type="dxa"/>
            <w:vAlign w:val="center"/>
          </w:tcPr>
          <w:p>
            <w:pPr>
              <w:adjustRightInd w:val="0"/>
              <w:snapToGrid w:val="0"/>
              <w:jc w:val="center"/>
              <w:rPr>
                <w:rFonts w:hint="eastAsia" w:ascii="方正小标宋简体" w:hAnsi="方正小标宋简体" w:eastAsia="方正小标宋简体" w:cs="方正小标宋简体"/>
                <w:sz w:val="18"/>
                <w:szCs w:val="18"/>
                <w:lang w:eastAsia="zh-CN"/>
              </w:rPr>
            </w:pPr>
            <w:r>
              <w:rPr>
                <w:rFonts w:hint="eastAsia" w:ascii="方正小标宋简体" w:hAnsi="方正小标宋简体" w:eastAsia="方正小标宋简体" w:cs="方正小标宋简体"/>
                <w:sz w:val="18"/>
                <w:szCs w:val="18"/>
                <w:lang w:val="en-US" w:eastAsia="zh-CN"/>
              </w:rPr>
              <w:t>2</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3</w:t>
            </w:r>
          </w:p>
        </w:tc>
        <w:tc>
          <w:tcPr>
            <w:tcW w:w="1045" w:type="dxa"/>
            <w:vMerge w:val="continue"/>
            <w:vAlign w:val="center"/>
          </w:tcPr>
          <w:p>
            <w:pPr>
              <w:adjustRightInd w:val="0"/>
              <w:snapToGrid w:val="0"/>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77" w:hRule="atLeast"/>
          <w:jc w:val="center"/>
        </w:trPr>
        <w:tc>
          <w:tcPr>
            <w:tcW w:w="571"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必修环节</w:t>
            </w:r>
          </w:p>
          <w:p>
            <w:pPr>
              <w:jc w:val="center"/>
              <w:rPr>
                <w:rFonts w:ascii="方正小标宋简体" w:hAnsi="方正小标宋简体" w:eastAsia="方正小标宋简体" w:cs="方正小标宋简体"/>
                <w:b/>
                <w:sz w:val="18"/>
                <w:szCs w:val="18"/>
              </w:rPr>
            </w:pP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素质拓展</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入学教育</w:t>
            </w:r>
          </w:p>
        </w:tc>
        <w:tc>
          <w:tcPr>
            <w:tcW w:w="1242" w:type="dxa"/>
            <w:vAlign w:val="center"/>
          </w:tcPr>
          <w:p>
            <w:pPr>
              <w:jc w:val="center"/>
              <w:rPr>
                <w:rFonts w:hint="default" w:ascii="方正小标宋简体" w:hAnsi="方正小标宋简体" w:eastAsia="方正小标宋简体" w:cs="方正小标宋简体"/>
                <w:sz w:val="18"/>
                <w:szCs w:val="18"/>
                <w:lang w:val="en-US" w:eastAsia="zh-CN"/>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hint="eastAsia" w:ascii="方正小标宋简体" w:hAnsi="方正小标宋简体" w:eastAsia="方正小标宋简体" w:cs="方正小标宋简体"/>
                <w:sz w:val="18"/>
                <w:szCs w:val="18"/>
                <w:lang w:eastAsia="zh-CN"/>
              </w:rPr>
            </w:pPr>
            <w:r>
              <w:rPr>
                <w:rFonts w:hint="eastAsia" w:ascii="方正小标宋简体" w:hAnsi="方正小标宋简体" w:eastAsia="方正小标宋简体" w:cs="方正小标宋简体"/>
                <w:sz w:val="18"/>
                <w:szCs w:val="18"/>
                <w:lang w:val="en-US" w:eastAsia="zh-CN"/>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397" w:hRule="atLeast"/>
          <w:jc w:val="center"/>
        </w:trPr>
        <w:tc>
          <w:tcPr>
            <w:tcW w:w="571" w:type="dxa"/>
            <w:vMerge w:val="continue"/>
            <w:vAlign w:val="center"/>
          </w:tcPr>
          <w:p>
            <w:pPr>
              <w:jc w:val="cente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学术/实践活动</w:t>
            </w:r>
          </w:p>
        </w:tc>
        <w:tc>
          <w:tcPr>
            <w:tcW w:w="1242"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1-4</w:t>
            </w:r>
          </w:p>
        </w:tc>
        <w:tc>
          <w:tcPr>
            <w:tcW w:w="1045" w:type="dxa"/>
            <w:vMerge w:val="continue"/>
            <w:vAlign w:val="center"/>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restart"/>
            <w:vAlign w:val="center"/>
          </w:tcPr>
          <w:p>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学术训练</w:t>
            </w: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中期筛选</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4</w:t>
            </w:r>
          </w:p>
        </w:tc>
        <w:tc>
          <w:tcPr>
            <w:tcW w:w="1045" w:type="dxa"/>
            <w:vMerge w:val="restart"/>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过程管理</w:t>
            </w:r>
          </w:p>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无学分</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论文开题</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4</w:t>
            </w:r>
          </w:p>
        </w:tc>
        <w:tc>
          <w:tcPr>
            <w:tcW w:w="1045" w:type="dxa"/>
            <w:vMerge w:val="continue"/>
            <w:vAlign w:val="center"/>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论文中期进展报告</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4</w:t>
            </w:r>
          </w:p>
        </w:tc>
        <w:tc>
          <w:tcPr>
            <w:tcW w:w="1045" w:type="dxa"/>
            <w:vMerge w:val="continue"/>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b/>
                <w:sz w:val="18"/>
                <w:szCs w:val="18"/>
              </w:rPr>
            </w:pPr>
          </w:p>
        </w:tc>
        <w:tc>
          <w:tcPr>
            <w:tcW w:w="1226" w:type="dxa"/>
            <w:vMerge w:val="continue"/>
            <w:vAlign w:val="center"/>
          </w:tcPr>
          <w:p>
            <w:pPr>
              <w:jc w:val="center"/>
              <w:rPr>
                <w:rFonts w:ascii="方正小标宋简体" w:hAnsi="方正小标宋简体" w:eastAsia="方正小标宋简体" w:cs="方正小标宋简体"/>
                <w:b/>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论文预答辩</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7</w:t>
            </w:r>
          </w:p>
        </w:tc>
        <w:tc>
          <w:tcPr>
            <w:tcW w:w="1045" w:type="dxa"/>
            <w:vMerge w:val="continue"/>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sz w:val="18"/>
                <w:szCs w:val="18"/>
              </w:rPr>
            </w:pPr>
          </w:p>
        </w:tc>
        <w:tc>
          <w:tcPr>
            <w:tcW w:w="1226" w:type="dxa"/>
            <w:vMerge w:val="continue"/>
          </w:tcPr>
          <w:p>
            <w:pPr>
              <w:jc w:val="center"/>
              <w:rPr>
                <w:rFonts w:ascii="方正小标宋简体" w:hAnsi="方正小标宋简体" w:eastAsia="方正小标宋简体" w:cs="方正小标宋简体"/>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论文评审</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pPr>
              <w:jc w:val="center"/>
              <w:rPr>
                <w:rFonts w:ascii="方正小标宋简体" w:hAnsi="方正小标宋简体" w:eastAsia="方正小标宋简体" w:cs="方正小标宋简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571" w:type="dxa"/>
            <w:vMerge w:val="continue"/>
          </w:tcPr>
          <w:p>
            <w:pPr>
              <w:rPr>
                <w:rFonts w:ascii="方正小标宋简体" w:hAnsi="方正小标宋简体" w:eastAsia="方正小标宋简体" w:cs="方正小标宋简体"/>
                <w:sz w:val="18"/>
                <w:szCs w:val="18"/>
              </w:rPr>
            </w:pPr>
          </w:p>
        </w:tc>
        <w:tc>
          <w:tcPr>
            <w:tcW w:w="1226" w:type="dxa"/>
            <w:vMerge w:val="continue"/>
          </w:tcPr>
          <w:p>
            <w:pPr>
              <w:jc w:val="center"/>
              <w:rPr>
                <w:rFonts w:ascii="方正小标宋简体" w:hAnsi="方正小标宋简体" w:eastAsia="方正小标宋简体" w:cs="方正小标宋简体"/>
                <w:sz w:val="18"/>
                <w:szCs w:val="18"/>
              </w:rPr>
            </w:pPr>
          </w:p>
        </w:tc>
        <w:tc>
          <w:tcPr>
            <w:tcW w:w="3355" w:type="dxa"/>
            <w:vAlign w:val="center"/>
          </w:tcPr>
          <w:p>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论文答辩</w:t>
            </w:r>
          </w:p>
        </w:tc>
        <w:tc>
          <w:tcPr>
            <w:tcW w:w="1242" w:type="dxa"/>
          </w:tcPr>
          <w:p>
            <w:pPr>
              <w:jc w:val="center"/>
            </w:pPr>
            <w:r>
              <w:rPr>
                <w:rFonts w:hint="eastAsia" w:ascii="方正小标宋简体" w:hAnsi="方正小标宋简体" w:eastAsia="方正小标宋简体" w:cs="方正小标宋简体"/>
                <w:sz w:val="18"/>
                <w:szCs w:val="18"/>
              </w:rPr>
              <w:t>-</w:t>
            </w:r>
          </w:p>
        </w:tc>
        <w:tc>
          <w:tcPr>
            <w:tcW w:w="709" w:type="dxa"/>
            <w:vAlign w:val="center"/>
          </w:tcPr>
          <w:p>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pPr>
              <w:jc w:val="center"/>
              <w:rPr>
                <w:rFonts w:ascii="方正小标宋简体" w:hAnsi="方正小标宋简体" w:eastAsia="方正小标宋简体" w:cs="方正小标宋简体"/>
                <w:sz w:val="18"/>
                <w:szCs w:val="18"/>
              </w:rPr>
            </w:pPr>
          </w:p>
        </w:tc>
      </w:tr>
    </w:tbl>
    <w:p>
      <w:pPr>
        <w:spacing w:line="440" w:lineRule="exact"/>
        <w:ind w:firstLine="480" w:firstLineChars="200"/>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24"/>
        </w:rPr>
        <w:t>*公共外语课程按入学时的外国语考试科目修读相关语种。</w:t>
      </w:r>
    </w:p>
    <w:p>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十三、其他需要说明事项</w:t>
      </w:r>
    </w:p>
    <w:p>
      <w:pPr>
        <w:spacing w:line="440" w:lineRule="exact"/>
        <w:ind w:firstLine="480" w:firstLineChars="200"/>
        <w:rPr>
          <w:bCs/>
          <w:sz w:val="24"/>
        </w:rPr>
      </w:pPr>
      <w:r>
        <w:rPr>
          <w:rFonts w:hint="eastAsia"/>
          <w:bCs/>
          <w:sz w:val="24"/>
        </w:rPr>
        <w:t>1.非学位课中的方向选修课模块由各培养单位自行设置，并给出具体选修学分要求。</w:t>
      </w:r>
    </w:p>
    <w:p>
      <w:pPr>
        <w:spacing w:line="440" w:lineRule="exact"/>
        <w:ind w:firstLine="480" w:firstLineChars="200"/>
        <w:rPr>
          <w:bCs/>
          <w:sz w:val="24"/>
        </w:rPr>
      </w:pPr>
      <w:r>
        <w:rPr>
          <w:rFonts w:hint="eastAsia"/>
          <w:bCs/>
          <w:sz w:val="24"/>
        </w:rPr>
        <w:t>2.毕业总学分：学位课+非学位课+必修环节。</w:t>
      </w:r>
    </w:p>
    <w:p>
      <w:pPr>
        <w:spacing w:line="440" w:lineRule="exact"/>
        <w:ind w:firstLine="480" w:firstLineChars="200"/>
        <w:rPr>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86"/>
    <w:family w:val="auto"/>
    <w:pitch w:val="default"/>
    <w:sig w:usb0="00000000" w:usb1="00000000" w:usb2="00000000" w:usb3="00000000" w:csb0="00000000" w:csb1="00000000"/>
  </w:font>
  <w:font w:name="等线">
    <w:panose1 w:val="02010600030101010101"/>
    <w:charset w:val="86"/>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embedRegular r:id="rId1" w:fontKey="{13B5E91D-7B31-4C5E-9A43-D9B4EB2E589A}"/>
  </w:font>
  <w:font w:name="等线">
    <w:panose1 w:val="02010600030101010101"/>
    <w:charset w:val="00"/>
    <w:family w:val="auto"/>
    <w:pitch w:val="default"/>
    <w:sig w:usb0="00000000" w:usb1="00000000" w:usb2="00000000" w:usb3="00000000" w:csb0="00000000" w:csb1="00000000"/>
    <w:embedRegular r:id="rId2" w:fontKey="{4A4CE931-0652-408F-AF81-9089369F798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BBD"/>
    <w:rsid w:val="00004097"/>
    <w:rsid w:val="000233F5"/>
    <w:rsid w:val="00040D33"/>
    <w:rsid w:val="000472A1"/>
    <w:rsid w:val="000A4C46"/>
    <w:rsid w:val="000E4BA9"/>
    <w:rsid w:val="0010692B"/>
    <w:rsid w:val="001206D5"/>
    <w:rsid w:val="00180BF9"/>
    <w:rsid w:val="001B1BE0"/>
    <w:rsid w:val="00221D15"/>
    <w:rsid w:val="002A737E"/>
    <w:rsid w:val="002F3C6A"/>
    <w:rsid w:val="002F5F94"/>
    <w:rsid w:val="003357F6"/>
    <w:rsid w:val="003B1BBD"/>
    <w:rsid w:val="00434FD9"/>
    <w:rsid w:val="004424DD"/>
    <w:rsid w:val="00477AB6"/>
    <w:rsid w:val="004A67BC"/>
    <w:rsid w:val="004C67FD"/>
    <w:rsid w:val="00506116"/>
    <w:rsid w:val="00512264"/>
    <w:rsid w:val="005233F7"/>
    <w:rsid w:val="00582D8E"/>
    <w:rsid w:val="00590BF5"/>
    <w:rsid w:val="005B1F24"/>
    <w:rsid w:val="006055A0"/>
    <w:rsid w:val="00661BD1"/>
    <w:rsid w:val="00695F80"/>
    <w:rsid w:val="008622E0"/>
    <w:rsid w:val="00884E5A"/>
    <w:rsid w:val="009112B4"/>
    <w:rsid w:val="009A30D2"/>
    <w:rsid w:val="00AA4439"/>
    <w:rsid w:val="00B61196"/>
    <w:rsid w:val="00B9709B"/>
    <w:rsid w:val="00BF1983"/>
    <w:rsid w:val="00C438D2"/>
    <w:rsid w:val="00D80226"/>
    <w:rsid w:val="00EE4D29"/>
    <w:rsid w:val="00EE4F06"/>
    <w:rsid w:val="00F222E4"/>
    <w:rsid w:val="00F9561D"/>
    <w:rsid w:val="00FA4D9F"/>
    <w:rsid w:val="00FC0198"/>
    <w:rsid w:val="08A16F9C"/>
    <w:rsid w:val="09A75DB6"/>
    <w:rsid w:val="17E552E5"/>
    <w:rsid w:val="1AFF5BAA"/>
    <w:rsid w:val="1B561762"/>
    <w:rsid w:val="2379444D"/>
    <w:rsid w:val="26B00AC7"/>
    <w:rsid w:val="2C765C2D"/>
    <w:rsid w:val="2F7E701D"/>
    <w:rsid w:val="31C07959"/>
    <w:rsid w:val="3D4F2AA4"/>
    <w:rsid w:val="49B52386"/>
    <w:rsid w:val="5382152B"/>
    <w:rsid w:val="55C72383"/>
    <w:rsid w:val="635D422E"/>
    <w:rsid w:val="6C3201AB"/>
    <w:rsid w:val="6F42361A"/>
    <w:rsid w:val="700F1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3777</Words>
  <Characters>3970</Characters>
  <Lines>30</Lines>
  <Paragraphs>8</Paragraphs>
  <TotalTime>0</TotalTime>
  <ScaleCrop>false</ScaleCrop>
  <LinksUpToDate>false</LinksUpToDate>
  <CharactersWithSpaces>3972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2025-04-14T08:50:00Z</dcterms:created>
  <dc:creator>教育学院1</dc:creator>
  <cp:lastModifiedBy>清秋孤客</cp:lastModifiedBy>
  <cp:lastPrinted>2025-04-27T01:58:00Z</cp:lastPrinted>
  <dcterms:modified xsi:type="dcterms:W3CDTF">2025-06-13T05:02:47Z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F8D86EAAAB664C8D8498ACE7F69656FA_12</vt:lpwstr>
  </property>
</Properties>
</file>