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023E4B">
      <w:pPr>
        <w:ind w:left="321" w:leftChars="153" w:right="227"/>
        <w:jc w:val="center"/>
        <w:rPr>
          <w:rFonts w:eastAsia="黑体"/>
          <w:b/>
          <w:bCs/>
          <w:sz w:val="36"/>
          <w:szCs w:val="36"/>
        </w:rPr>
      </w:pPr>
      <w:bookmarkStart w:id="0" w:name="OLE_LINK7"/>
      <w:bookmarkStart w:id="1" w:name="OLE_LINK6"/>
      <w:r>
        <w:rPr>
          <w:rFonts w:hint="eastAsia" w:eastAsia="黑体"/>
          <w:b/>
          <w:bCs/>
          <w:sz w:val="36"/>
          <w:szCs w:val="36"/>
        </w:rPr>
        <w:t>学前教育</w:t>
      </w:r>
      <w:r>
        <w:rPr>
          <w:rFonts w:eastAsia="黑体"/>
          <w:b/>
          <w:bCs/>
          <w:sz w:val="36"/>
          <w:szCs w:val="36"/>
        </w:rPr>
        <w:t>专业</w:t>
      </w:r>
      <w:r>
        <w:rPr>
          <w:rFonts w:hint="eastAsia" w:eastAsia="黑体"/>
          <w:b/>
          <w:bCs/>
          <w:sz w:val="36"/>
          <w:szCs w:val="36"/>
        </w:rPr>
        <w:t>学术</w:t>
      </w:r>
      <w:r>
        <w:rPr>
          <w:rFonts w:eastAsia="黑体"/>
          <w:b/>
          <w:bCs/>
          <w:sz w:val="36"/>
          <w:szCs w:val="36"/>
        </w:rPr>
        <w:t>学位硕士研究生培养方案</w:t>
      </w:r>
    </w:p>
    <w:p w14:paraId="3CC787C6">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教育学院</w:t>
      </w:r>
      <w:r>
        <w:rPr>
          <w:rFonts w:eastAsia="黑体"/>
          <w:b/>
          <w:bCs/>
          <w:sz w:val="28"/>
          <w:szCs w:val="28"/>
        </w:rPr>
        <w:t>)</w:t>
      </w:r>
    </w:p>
    <w:p w14:paraId="5DBFA55B">
      <w:pPr>
        <w:spacing w:line="360" w:lineRule="auto"/>
        <w:ind w:firstLine="560"/>
        <w:rPr>
          <w:rFonts w:eastAsia="黑体"/>
          <w:bCs/>
          <w:sz w:val="28"/>
          <w:szCs w:val="28"/>
        </w:rPr>
      </w:pPr>
      <w:r>
        <w:rPr>
          <w:rFonts w:eastAsia="黑体"/>
          <w:bCs/>
          <w:sz w:val="28"/>
          <w:szCs w:val="28"/>
        </w:rPr>
        <w:t>一、专业名称、代码</w:t>
      </w:r>
    </w:p>
    <w:p w14:paraId="429C6B3A">
      <w:pPr>
        <w:widowControl/>
        <w:spacing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学前教育学</w:t>
      </w:r>
    </w:p>
    <w:p w14:paraId="5AAE3013">
      <w:pPr>
        <w:widowControl/>
        <w:spacing w:line="360" w:lineRule="auto"/>
        <w:ind w:firstLine="960" w:firstLineChars="400"/>
        <w:jc w:val="left"/>
        <w:rPr>
          <w:color w:val="222222"/>
          <w:kern w:val="0"/>
          <w:sz w:val="18"/>
          <w:szCs w:val="18"/>
        </w:rPr>
      </w:pPr>
      <w:r>
        <w:rPr>
          <w:color w:val="222222"/>
          <w:kern w:val="0"/>
          <w:sz w:val="24"/>
        </w:rPr>
        <w:t>专业代码：</w:t>
      </w:r>
      <w:r>
        <w:rPr>
          <w:rFonts w:hint="eastAsia"/>
          <w:color w:val="222222"/>
          <w:kern w:val="0"/>
          <w:sz w:val="24"/>
        </w:rPr>
        <w:t>040105</w:t>
      </w:r>
    </w:p>
    <w:p w14:paraId="1621FF72">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750BA6BD">
      <w:pPr>
        <w:spacing w:line="360" w:lineRule="auto"/>
        <w:ind w:firstLine="480" w:firstLineChars="200"/>
        <w:rPr>
          <w:iCs/>
          <w:color w:val="FF0000"/>
          <w:sz w:val="24"/>
        </w:rPr>
      </w:pPr>
      <w:r>
        <w:rPr>
          <w:rFonts w:hint="eastAsia"/>
          <w:color w:val="000000" w:themeColor="text1"/>
          <w:sz w:val="24"/>
        </w:rPr>
        <w:t>学前教育学专业立足中国的学前教育理论和实践的发展，借鉴世界各国的学前教育经验，融合教育学、心理学、社会学等多学科视角，系统研究学前儿童发展规律、教育政策与课程改革、幼儿园管理及教师专业发展等核心领域。培养品德优良、理论知识丰富、专业能力强、实践智慧丰富，能够独立开展教育科学研究，胜任在相关机构从事儿童教育、科学研究、培训管理等工作的专业人才。该专业学科积淀深厚，平台资源优越，是我国最早开设学前教育本科的高校之一，2021年获批“国家级一流本科专业建设点”构建了本-硕-博贯通式人才培养体系，为学术研究提供高阶平台。还实现了跨学科课程体系与科研的融合，形成“理论+技能+科研”三位一体的培养模式，研究成果直接服务于《3-6岁儿童学习与发展指南》等政策制定。该专业也极具国际化视野，如引导学生参与全球学前教育前沿议题研讨，如STEM早期教育、人工智能在幼教中的应用等。</w:t>
      </w:r>
    </w:p>
    <w:p w14:paraId="50D63311">
      <w:pPr>
        <w:spacing w:line="360" w:lineRule="auto"/>
        <w:ind w:firstLine="560" w:firstLineChars="200"/>
        <w:rPr>
          <w:rFonts w:eastAsia="黑体"/>
          <w:bCs/>
          <w:sz w:val="28"/>
          <w:szCs w:val="28"/>
        </w:rPr>
      </w:pPr>
      <w:r>
        <w:rPr>
          <w:rFonts w:eastAsia="黑体"/>
          <w:bCs/>
          <w:sz w:val="28"/>
          <w:szCs w:val="28"/>
        </w:rPr>
        <w:t>三、研究方向</w:t>
      </w:r>
    </w:p>
    <w:p w14:paraId="223C92C2">
      <w:pPr>
        <w:spacing w:line="440" w:lineRule="exact"/>
        <w:ind w:firstLine="480" w:firstLineChars="200"/>
        <w:rPr>
          <w:color w:val="000000" w:themeColor="text1"/>
          <w:sz w:val="24"/>
        </w:rPr>
      </w:pPr>
      <w:r>
        <w:rPr>
          <w:rFonts w:hint="eastAsia"/>
          <w:color w:val="000000" w:themeColor="text1"/>
          <w:sz w:val="24"/>
        </w:rPr>
        <w:t>学前教育基本理论研究、学前教育比较研究和学前教育管理理论与实践研究。三个研究方向在内容和方法上既相互独立，又相互交叉和补充，共同丰富和发展学前教育的理论和实践研究。</w:t>
      </w:r>
    </w:p>
    <w:p w14:paraId="07DFD09E">
      <w:pPr>
        <w:numPr>
          <w:ilvl w:val="0"/>
          <w:numId w:val="1"/>
        </w:numPr>
        <w:spacing w:line="440" w:lineRule="exact"/>
        <w:ind w:firstLine="480" w:firstLineChars="200"/>
        <w:rPr>
          <w:color w:val="000000" w:themeColor="text1"/>
          <w:sz w:val="24"/>
        </w:rPr>
      </w:pPr>
      <w:r>
        <w:rPr>
          <w:rFonts w:hint="eastAsia"/>
          <w:color w:val="000000" w:themeColor="text1"/>
          <w:sz w:val="24"/>
        </w:rPr>
        <w:t>学前教育基本理论方向</w:t>
      </w:r>
    </w:p>
    <w:p w14:paraId="42FD6785">
      <w:pPr>
        <w:spacing w:line="440" w:lineRule="exact"/>
        <w:ind w:firstLine="480" w:firstLineChars="200"/>
        <w:rPr>
          <w:color w:val="000000" w:themeColor="text1"/>
          <w:sz w:val="24"/>
        </w:rPr>
      </w:pPr>
      <w:r>
        <w:rPr>
          <w:rFonts w:hint="eastAsia"/>
          <w:color w:val="000000" w:themeColor="text1"/>
          <w:sz w:val="24"/>
        </w:rPr>
        <w:t>该方向是学前教育学科的核心，聚焦于学前儿童身心发展规律、教育目标、内容及方法的系统性研究。</w:t>
      </w:r>
    </w:p>
    <w:p w14:paraId="32DD9D12">
      <w:pPr>
        <w:spacing w:line="440" w:lineRule="exact"/>
        <w:ind w:left="239" w:leftChars="114"/>
        <w:rPr>
          <w:color w:val="000000" w:themeColor="text1"/>
          <w:sz w:val="24"/>
        </w:rPr>
      </w:pPr>
      <w:r>
        <w:rPr>
          <w:rFonts w:hint="eastAsia"/>
          <w:color w:val="000000" w:themeColor="text1"/>
          <w:sz w:val="24"/>
        </w:rPr>
        <w:t>（1）儿童发展规律：研究学前儿童的认知、情感、社会性等发展关键期，探讨早期育对个体终身发展的影响，强调发展的整体性与连续性。</w:t>
      </w:r>
    </w:p>
    <w:p w14:paraId="39135B73">
      <w:pPr>
        <w:spacing w:line="440" w:lineRule="exact"/>
        <w:ind w:firstLine="240" w:firstLineChars="100"/>
        <w:rPr>
          <w:color w:val="000000" w:themeColor="text1"/>
          <w:sz w:val="24"/>
        </w:rPr>
      </w:pPr>
      <w:r>
        <w:rPr>
          <w:rFonts w:hint="eastAsia"/>
          <w:color w:val="000000" w:themeColor="text1"/>
          <w:sz w:val="24"/>
        </w:rPr>
        <w:t>（2）教育理念与政策：涉及教育目的、课程设计、教育评价等理论框架的构建。</w:t>
      </w:r>
    </w:p>
    <w:p w14:paraId="554FD3BB">
      <w:pPr>
        <w:spacing w:line="440" w:lineRule="exact"/>
        <w:ind w:firstLine="240" w:firstLineChars="100"/>
        <w:rPr>
          <w:color w:val="000000" w:themeColor="text1"/>
          <w:sz w:val="24"/>
        </w:rPr>
      </w:pPr>
      <w:r>
        <w:rPr>
          <w:rFonts w:hint="eastAsia"/>
          <w:color w:val="000000" w:themeColor="text1"/>
          <w:sz w:val="24"/>
        </w:rPr>
        <w:t>（3）教师专业发展：研究教师角色转型，从传统的“知识传授者”转向“支持者”和“合作者”，注重教师反思性实践能力的培养，推动教育理论与教学实践的深度融合聚焦儿童认知发展、游戏理论、早期学习机制等基础性研究，探索符合中国国情的学前教育理论体系</w:t>
      </w:r>
    </w:p>
    <w:p w14:paraId="0838B5EA">
      <w:pPr>
        <w:numPr>
          <w:ilvl w:val="0"/>
          <w:numId w:val="1"/>
        </w:numPr>
        <w:spacing w:line="440" w:lineRule="exact"/>
        <w:ind w:firstLine="480" w:firstLineChars="200"/>
        <w:rPr>
          <w:color w:val="000000" w:themeColor="text1"/>
          <w:sz w:val="24"/>
        </w:rPr>
      </w:pPr>
      <w:r>
        <w:rPr>
          <w:rFonts w:hint="eastAsia"/>
          <w:color w:val="000000" w:themeColor="text1"/>
          <w:sz w:val="24"/>
        </w:rPr>
        <w:t>学前教育比较研究方向</w:t>
      </w:r>
    </w:p>
    <w:p w14:paraId="1710B9DD">
      <w:pPr>
        <w:spacing w:line="440" w:lineRule="exact"/>
        <w:ind w:firstLine="480" w:firstLineChars="200"/>
        <w:rPr>
          <w:color w:val="000000" w:themeColor="text1"/>
          <w:sz w:val="24"/>
        </w:rPr>
      </w:pPr>
      <w:r>
        <w:rPr>
          <w:rFonts w:hint="eastAsia"/>
          <w:color w:val="000000" w:themeColor="text1"/>
          <w:sz w:val="24"/>
        </w:rPr>
        <w:t>该方向借鉴国际先进经验，分析各国学前教育政策、课程模式及文化差异，推动本土化实践创新。</w:t>
      </w:r>
    </w:p>
    <w:p w14:paraId="6C58FEE4">
      <w:pPr>
        <w:spacing w:line="440" w:lineRule="exact"/>
        <w:ind w:firstLine="240" w:firstLineChars="100"/>
        <w:rPr>
          <w:color w:val="000000" w:themeColor="text1"/>
          <w:sz w:val="24"/>
        </w:rPr>
      </w:pPr>
      <w:r>
        <w:rPr>
          <w:rFonts w:hint="eastAsia"/>
          <w:color w:val="000000" w:themeColor="text1"/>
          <w:sz w:val="24"/>
        </w:rPr>
        <w:t>（1）国际政策比较：分析各国学前教育立法、财政投入及管理机制。例如，北欧国家的高福利学前教育模式与东亚国家的集体主义教育理念差异，揭示不同社会文化背景下的政策适应性。</w:t>
      </w:r>
    </w:p>
    <w:p w14:paraId="353F0352">
      <w:pPr>
        <w:spacing w:line="440" w:lineRule="exact"/>
        <w:ind w:firstLine="240" w:firstLineChars="100"/>
        <w:rPr>
          <w:color w:val="000000" w:themeColor="text1"/>
          <w:sz w:val="24"/>
        </w:rPr>
      </w:pPr>
      <w:r>
        <w:rPr>
          <w:rFonts w:hint="eastAsia"/>
          <w:color w:val="000000" w:themeColor="text1"/>
          <w:sz w:val="24"/>
        </w:rPr>
        <w:t>（2）课程与教学模式：对比蒙台梭利、瑞吉欧、STEM早期教育等国际主流课程体系，探讨其在中国幼儿园的本土化应用。例如，美国“项目式学习”与中国传统分科教学的融合实践。</w:t>
      </w:r>
    </w:p>
    <w:p w14:paraId="1B6AD028">
      <w:pPr>
        <w:spacing w:line="440" w:lineRule="exact"/>
        <w:ind w:firstLine="240" w:firstLineChars="100"/>
        <w:rPr>
          <w:color w:val="000000" w:themeColor="text1"/>
          <w:sz w:val="24"/>
        </w:rPr>
      </w:pPr>
      <w:r>
        <w:rPr>
          <w:rFonts w:hint="eastAsia"/>
          <w:color w:val="000000" w:themeColor="text1"/>
          <w:sz w:val="24"/>
        </w:rPr>
        <w:t>（3）文化差异与教育实践：研究不同文化对儿童社会性发展的影响，如集体主义文化中的合作精神培养与个人主义文化中的自主性发展差异。</w:t>
      </w:r>
    </w:p>
    <w:p w14:paraId="27CFBF05">
      <w:pPr>
        <w:numPr>
          <w:ilvl w:val="0"/>
          <w:numId w:val="1"/>
        </w:numPr>
        <w:spacing w:line="440" w:lineRule="exact"/>
        <w:ind w:firstLine="480" w:firstLineChars="200"/>
        <w:rPr>
          <w:color w:val="000000" w:themeColor="text1"/>
          <w:sz w:val="24"/>
        </w:rPr>
      </w:pPr>
      <w:bookmarkStart w:id="2" w:name="OLE_LINK3"/>
      <w:r>
        <w:rPr>
          <w:rFonts w:hint="eastAsia"/>
          <w:color w:val="000000" w:themeColor="text1"/>
          <w:sz w:val="24"/>
        </w:rPr>
        <w:t>学前教育管理理论与实践研究方向</w:t>
      </w:r>
    </w:p>
    <w:bookmarkEnd w:id="2"/>
    <w:p w14:paraId="651081DF">
      <w:pPr>
        <w:spacing w:line="440" w:lineRule="exact"/>
        <w:ind w:firstLine="480" w:firstLineChars="200"/>
        <w:rPr>
          <w:color w:val="000000" w:themeColor="text1"/>
          <w:sz w:val="24"/>
        </w:rPr>
      </w:pPr>
      <w:r>
        <w:rPr>
          <w:rFonts w:hint="eastAsia"/>
          <w:color w:val="000000" w:themeColor="text1"/>
          <w:sz w:val="24"/>
        </w:rPr>
        <w:t>该方向聚焦学前教育机构与政策的管理效能，旨在提升教育质量与资源分配的公平性。</w:t>
      </w:r>
    </w:p>
    <w:p w14:paraId="3C2DB7F0">
      <w:pPr>
        <w:spacing w:line="440" w:lineRule="exact"/>
        <w:ind w:firstLine="240" w:firstLineChars="100"/>
        <w:rPr>
          <w:color w:val="000000" w:themeColor="text1"/>
          <w:sz w:val="24"/>
        </w:rPr>
      </w:pPr>
      <w:r>
        <w:rPr>
          <w:rFonts w:hint="eastAsia"/>
          <w:color w:val="000000" w:themeColor="text1"/>
          <w:sz w:val="24"/>
        </w:rPr>
        <w:t>（1）政策分析与执行：研究普惠性幼儿园政策、师资培养机制及教育质量评估体系。</w:t>
      </w:r>
    </w:p>
    <w:p w14:paraId="308E6B34">
      <w:pPr>
        <w:spacing w:line="440" w:lineRule="exact"/>
        <w:ind w:firstLine="240" w:firstLineChars="100"/>
        <w:rPr>
          <w:color w:val="000000" w:themeColor="text1"/>
          <w:sz w:val="24"/>
        </w:rPr>
      </w:pPr>
      <w:r>
        <w:rPr>
          <w:rFonts w:hint="eastAsia"/>
          <w:color w:val="000000" w:themeColor="text1"/>
          <w:sz w:val="24"/>
        </w:rPr>
        <w:t>（2）园所运营管理：探讨幼儿园组织架构、课程开发与家园共育策略。例如，基于《幼儿园工作规程》构建园所安全管理体系，或通过“民间游戏文化角”等特色环境创设提升教育内涵。</w:t>
      </w:r>
    </w:p>
    <w:p w14:paraId="0EA50756">
      <w:pPr>
        <w:spacing w:line="440" w:lineRule="exact"/>
        <w:ind w:firstLine="240" w:firstLineChars="100"/>
        <w:rPr>
          <w:color w:val="000000" w:themeColor="text1"/>
          <w:sz w:val="24"/>
        </w:rPr>
      </w:pPr>
      <w:r>
        <w:rPr>
          <w:rFonts w:hint="eastAsia"/>
          <w:color w:val="000000" w:themeColor="text1"/>
          <w:sz w:val="24"/>
        </w:rPr>
        <w:t>（3）质量评估与改进：设计科学的评价指标体系，如从过程性评价入手，强化自评与他评结合，推动幼儿园可持续发展。</w:t>
      </w:r>
    </w:p>
    <w:p w14:paraId="06B8FDC5">
      <w:pPr>
        <w:spacing w:line="360" w:lineRule="auto"/>
        <w:ind w:firstLine="560" w:firstLineChars="200"/>
        <w:rPr>
          <w:rFonts w:eastAsia="黑体"/>
          <w:bCs/>
          <w:sz w:val="28"/>
          <w:szCs w:val="28"/>
        </w:rPr>
      </w:pPr>
      <w:r>
        <w:rPr>
          <w:rFonts w:eastAsia="黑体"/>
          <w:bCs/>
          <w:sz w:val="28"/>
          <w:szCs w:val="28"/>
        </w:rPr>
        <w:t>四、学制及学习年限</w:t>
      </w:r>
    </w:p>
    <w:p w14:paraId="38B89659">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39664A9F">
      <w:pPr>
        <w:numPr>
          <w:ilvl w:val="0"/>
          <w:numId w:val="2"/>
        </w:numPr>
        <w:spacing w:line="360" w:lineRule="auto"/>
        <w:ind w:firstLine="560" w:firstLineChars="200"/>
        <w:rPr>
          <w:rFonts w:eastAsia="黑体"/>
          <w:bCs/>
          <w:sz w:val="28"/>
          <w:szCs w:val="28"/>
        </w:rPr>
      </w:pPr>
      <w:r>
        <w:rPr>
          <w:rFonts w:eastAsia="黑体"/>
          <w:bCs/>
          <w:sz w:val="28"/>
          <w:szCs w:val="28"/>
        </w:rPr>
        <w:t>培养目标</w:t>
      </w:r>
    </w:p>
    <w:p w14:paraId="027ABB16">
      <w:pPr>
        <w:spacing w:line="360" w:lineRule="auto"/>
        <w:ind w:firstLine="480" w:firstLineChars="200"/>
        <w:rPr>
          <w:rFonts w:eastAsiaTheme="minorEastAsia"/>
          <w:color w:val="000000"/>
          <w:sz w:val="24"/>
        </w:rPr>
      </w:pPr>
      <w:r>
        <w:rPr>
          <w:rFonts w:hint="eastAsia" w:eastAsiaTheme="minorEastAsia"/>
          <w:color w:val="000000"/>
          <w:sz w:val="24"/>
        </w:rPr>
        <w:t>学前</w:t>
      </w:r>
      <w:r>
        <w:rPr>
          <w:rFonts w:eastAsiaTheme="minorEastAsia"/>
          <w:color w:val="000000"/>
          <w:sz w:val="24"/>
        </w:rPr>
        <w:t>教育学专业学术学位研究生，需要熟练掌握教育学基本原理、理解教育学科发展的历史、现状和未来发展趋势、掌握教育科学研究方法，具备批判性思维和问题解决能力，具备团队合作意识，能够胜任教育领域的教育教学、科学研究、行政管理等能力。具体培养目标包括：</w:t>
      </w:r>
    </w:p>
    <w:p w14:paraId="69DBD3E3">
      <w:pPr>
        <w:spacing w:line="420" w:lineRule="exact"/>
        <w:ind w:firstLine="480"/>
        <w:rPr>
          <w:rFonts w:ascii="宋体" w:hAnsi="宋体"/>
          <w:color w:val="000000"/>
          <w:sz w:val="24"/>
        </w:rPr>
      </w:pPr>
      <w:r>
        <w:rPr>
          <w:rFonts w:ascii="宋体" w:hAnsi="宋体"/>
          <w:color w:val="000000"/>
          <w:sz w:val="24"/>
        </w:rPr>
        <w:t>1.树立正确的中国特色社会主义核心价值观，具有坚定的理想信念，高尚的道德情操，优良的学术作风，高度的社会责任感。</w:t>
      </w:r>
    </w:p>
    <w:p w14:paraId="6C0476FC">
      <w:pPr>
        <w:spacing w:line="420" w:lineRule="exact"/>
        <w:ind w:firstLine="480"/>
        <w:rPr>
          <w:rFonts w:ascii="宋体" w:hAnsi="宋体"/>
          <w:color w:val="000000"/>
          <w:sz w:val="24"/>
        </w:rPr>
      </w:pPr>
      <w:r>
        <w:rPr>
          <w:rFonts w:ascii="宋体" w:hAnsi="宋体"/>
          <w:color w:val="000000"/>
          <w:sz w:val="24"/>
        </w:rPr>
        <w:t>2.掌握坚实的基础理论和系统的专门知识，掌握本学科的科学研究方法及必要的现代实验方法和技能，熟悉本学科的前沿研究领域，具有独立从事科学研究和解决实际问题的能力。</w:t>
      </w:r>
    </w:p>
    <w:p w14:paraId="56E89ECC">
      <w:pPr>
        <w:spacing w:line="420" w:lineRule="exact"/>
        <w:ind w:firstLine="480"/>
        <w:rPr>
          <w:rFonts w:ascii="宋体" w:hAnsi="宋体"/>
          <w:color w:val="000000"/>
          <w:sz w:val="24"/>
        </w:rPr>
      </w:pPr>
      <w:r>
        <w:rPr>
          <w:rFonts w:ascii="宋体" w:hAnsi="宋体"/>
          <w:color w:val="000000"/>
          <w:sz w:val="24"/>
        </w:rPr>
        <w:t>3.至少掌握一门外国语，能熟练阅读本专业的外文资料，具有撰写学术论文和进行国际学术交流的能力。</w:t>
      </w:r>
    </w:p>
    <w:p w14:paraId="117BCF5F">
      <w:pPr>
        <w:spacing w:line="420" w:lineRule="exact"/>
        <w:ind w:firstLine="480"/>
        <w:rPr>
          <w:rFonts w:ascii="宋体" w:hAnsi="宋体"/>
          <w:color w:val="000000"/>
          <w:sz w:val="24"/>
        </w:rPr>
      </w:pPr>
      <w:r>
        <w:rPr>
          <w:rFonts w:ascii="宋体" w:hAnsi="宋体"/>
          <w:color w:val="000000"/>
          <w:sz w:val="24"/>
        </w:rPr>
        <w:t>4.具有良好的团队意识和团队合作精神。</w:t>
      </w:r>
    </w:p>
    <w:p w14:paraId="51A63BCB">
      <w:pPr>
        <w:spacing w:line="420" w:lineRule="exact"/>
        <w:ind w:firstLine="480"/>
        <w:rPr>
          <w:rFonts w:ascii="宋体" w:hAnsi="宋体"/>
          <w:color w:val="000000"/>
          <w:sz w:val="24"/>
        </w:rPr>
      </w:pPr>
      <w:r>
        <w:rPr>
          <w:rFonts w:ascii="宋体" w:hAnsi="宋体"/>
          <w:color w:val="000000"/>
          <w:sz w:val="24"/>
        </w:rPr>
        <w:t>5.具有健康的身体和良好的心理素质。</w:t>
      </w:r>
    </w:p>
    <w:p w14:paraId="2446AA1D">
      <w:pPr>
        <w:spacing w:line="420" w:lineRule="exact"/>
        <w:ind w:firstLine="480"/>
        <w:rPr>
          <w:rFonts w:ascii="宋体" w:hAnsi="宋体"/>
          <w:color w:val="000000"/>
          <w:sz w:val="24"/>
        </w:rPr>
      </w:pPr>
      <w:r>
        <w:rPr>
          <w:rFonts w:hint="eastAsia" w:ascii="宋体" w:hAnsi="宋体"/>
          <w:color w:val="000000"/>
          <w:sz w:val="24"/>
        </w:rPr>
        <w:t>6.德智体美劳全面发展。</w:t>
      </w:r>
    </w:p>
    <w:p w14:paraId="39C97FB3">
      <w:pPr>
        <w:spacing w:line="360" w:lineRule="auto"/>
        <w:ind w:firstLine="560" w:firstLineChars="200"/>
        <w:rPr>
          <w:rFonts w:eastAsia="黑体"/>
          <w:bCs/>
          <w:sz w:val="28"/>
          <w:szCs w:val="28"/>
        </w:rPr>
      </w:pPr>
      <w:r>
        <w:rPr>
          <w:rFonts w:eastAsia="黑体"/>
          <w:bCs/>
          <w:sz w:val="28"/>
          <w:szCs w:val="28"/>
        </w:rPr>
        <w:t>六、培养方式</w:t>
      </w:r>
    </w:p>
    <w:p w14:paraId="105634A8">
      <w:pPr>
        <w:snapToGrid w:val="0"/>
        <w:spacing w:line="420" w:lineRule="exact"/>
        <w:ind w:firstLine="480" w:firstLineChars="200"/>
        <w:rPr>
          <w:rFonts w:ascii="宋体" w:hAnsi="宋体" w:cs="宋体"/>
          <w:sz w:val="24"/>
        </w:rPr>
      </w:pPr>
      <w:r>
        <w:rPr>
          <w:rFonts w:ascii="宋体" w:hAnsi="宋体" w:cs="宋体"/>
          <w:sz w:val="24"/>
        </w:rPr>
        <w:t>有序组织开展课程教学、实践教学和学位论文撰写等培养环节，重视理论与实践相结合，注重协同育人。实行双导师制，校内外导师共同指导学生的学习、实践和研究工作。根据培养目标、课程性质和教学内容，选择案例教学、项目式教学、小组合作等适切的教学方式方法。充分利用互联网</w:t>
      </w:r>
      <w:r>
        <w:rPr>
          <w:rFonts w:hint="eastAsia" w:ascii="宋体" w:hAnsi="宋体" w:cs="宋体"/>
          <w:sz w:val="24"/>
        </w:rPr>
        <w:t>、人工智能、大数据</w:t>
      </w:r>
      <w:r>
        <w:rPr>
          <w:rFonts w:ascii="宋体" w:hAnsi="宋体" w:cs="宋体"/>
          <w:sz w:val="24"/>
        </w:rPr>
        <w:t xml:space="preserve">等现代教学技术手段，开展线上线下、课内课外相结合的混合式教学，在教学中注重实践与反思。 </w:t>
      </w:r>
    </w:p>
    <w:p w14:paraId="1F827546">
      <w:pPr>
        <w:snapToGrid w:val="0"/>
        <w:spacing w:line="420" w:lineRule="exact"/>
        <w:ind w:firstLine="480" w:firstLineChars="200"/>
        <w:rPr>
          <w:rFonts w:ascii="宋体" w:hAnsi="宋体" w:cs="宋体"/>
          <w:sz w:val="24"/>
        </w:rPr>
      </w:pPr>
      <w:r>
        <w:rPr>
          <w:rFonts w:hint="eastAsia" w:ascii="宋体" w:hAnsi="宋体" w:cs="宋体"/>
          <w:sz w:val="24"/>
        </w:rPr>
        <w:t>实践教学总学时累计不少于1学年，其中校外集中实践不少于1学期。校内实训、教育见习原则上应在第二学年内完成，教育实习在第三学年内完成。教育研习应贯穿于实践教学全过程。</w:t>
      </w:r>
    </w:p>
    <w:p w14:paraId="2D5C2D55">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0B4B4250">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w:t>
      </w:r>
      <w:r>
        <w:rPr>
          <w:rFonts w:hint="eastAsia" w:eastAsiaTheme="minorEastAsia"/>
          <w:bCs/>
          <w:sz w:val="24"/>
        </w:rPr>
        <w:t>学校和学院的相关文件</w:t>
      </w:r>
      <w:r>
        <w:rPr>
          <w:rFonts w:eastAsiaTheme="minorEastAsia"/>
          <w:bCs/>
          <w:sz w:val="24"/>
        </w:rPr>
        <w:t>，组织开展中期筛选工作。</w:t>
      </w:r>
    </w:p>
    <w:p w14:paraId="56551105">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54B13946">
      <w:pPr>
        <w:spacing w:line="360" w:lineRule="auto"/>
        <w:ind w:firstLine="480" w:firstLineChars="200"/>
        <w:rPr>
          <w:rFonts w:eastAsiaTheme="minorEastAsia"/>
          <w:bCs/>
          <w:sz w:val="24"/>
        </w:rPr>
      </w:pPr>
      <w:r>
        <w:rPr>
          <w:rFonts w:eastAsiaTheme="minorEastAsia"/>
          <w:bCs/>
          <w:sz w:val="24"/>
        </w:rPr>
        <w:t>1.总体要求：按照《河北大学关于开展2025版研究生培养方案修订工作的指导意见》（校政字〔2025〕</w:t>
      </w:r>
      <w:r>
        <w:rPr>
          <w:rFonts w:hint="eastAsia" w:eastAsiaTheme="minorEastAsia"/>
          <w:bCs/>
          <w:sz w:val="24"/>
        </w:rPr>
        <w:t>9</w:t>
      </w:r>
      <w:r>
        <w:rPr>
          <w:rFonts w:eastAsiaTheme="minorEastAsia"/>
          <w:bCs/>
          <w:sz w:val="24"/>
        </w:rPr>
        <w:t>号）规定，硕士研究生论文开题与答辩时间间隔原则上不少于12个月。学位（毕业）论文应当表明作者具有独立从事学术研究工作的能力，鼓励硕士研究生参与科学研究，取得创新性成果</w:t>
      </w:r>
      <w:r>
        <w:rPr>
          <w:rFonts w:hint="eastAsia" w:eastAsiaTheme="minorEastAsia"/>
          <w:bCs/>
          <w:sz w:val="24"/>
        </w:rPr>
        <w:t>。</w:t>
      </w:r>
    </w:p>
    <w:p w14:paraId="78693206">
      <w:pPr>
        <w:tabs>
          <w:tab w:val="left" w:pos="3819"/>
          <w:tab w:val="left" w:pos="4020"/>
        </w:tabs>
        <w:snapToGrid w:val="0"/>
        <w:spacing w:line="420" w:lineRule="exact"/>
        <w:ind w:firstLine="480" w:firstLineChars="200"/>
        <w:rPr>
          <w:rFonts w:ascii="宋体" w:hAnsi="宋体" w:cs="宋体"/>
          <w:bCs/>
          <w:kern w:val="0"/>
          <w:sz w:val="24"/>
        </w:rPr>
      </w:pPr>
      <w:r>
        <w:rPr>
          <w:rFonts w:hint="eastAsia" w:eastAsiaTheme="minorEastAsia"/>
          <w:bCs/>
          <w:sz w:val="24"/>
        </w:rPr>
        <w:t>2.</w:t>
      </w:r>
      <w:r>
        <w:rPr>
          <w:rFonts w:hint="eastAsia" w:ascii="宋体" w:hAnsi="宋体"/>
          <w:sz w:val="24"/>
        </w:rPr>
        <w:t>导师指导：</w:t>
      </w:r>
      <w:r>
        <w:rPr>
          <w:rFonts w:hint="eastAsia" w:ascii="宋体" w:hAnsi="宋体" w:cs="宋体"/>
          <w:bCs/>
          <w:kern w:val="0"/>
          <w:sz w:val="24"/>
        </w:rPr>
        <w:t>导师要切实做好学位论文开题与撰写各环节的指导工作。</w:t>
      </w:r>
    </w:p>
    <w:p w14:paraId="2E608CB9">
      <w:pPr>
        <w:tabs>
          <w:tab w:val="left" w:pos="3819"/>
          <w:tab w:val="left" w:pos="4020"/>
        </w:tabs>
        <w:snapToGrid w:val="0"/>
        <w:spacing w:line="420" w:lineRule="exact"/>
        <w:ind w:firstLine="480" w:firstLineChars="200"/>
        <w:rPr>
          <w:rFonts w:ascii="宋体" w:hAnsi="宋体" w:cs="宋体"/>
          <w:bCs/>
          <w:kern w:val="0"/>
          <w:sz w:val="24"/>
        </w:rPr>
      </w:pPr>
      <w:r>
        <w:rPr>
          <w:rFonts w:hint="eastAsia" w:ascii="宋体" w:hAnsi="宋体"/>
          <w:sz w:val="24"/>
        </w:rPr>
        <w:t>3.论文选题：</w:t>
      </w:r>
      <w:r>
        <w:rPr>
          <w:rFonts w:hint="eastAsia" w:ascii="宋体" w:hAnsi="宋体" w:cs="宋体"/>
          <w:bCs/>
          <w:kern w:val="0"/>
          <w:sz w:val="24"/>
        </w:rPr>
        <w:t>学位论文的选题应与学前教育学专业领域培养目标相一致。</w:t>
      </w:r>
    </w:p>
    <w:p w14:paraId="498D62BE">
      <w:pPr>
        <w:spacing w:line="360" w:lineRule="auto"/>
        <w:ind w:firstLine="480" w:firstLineChars="200"/>
        <w:rPr>
          <w:rFonts w:eastAsiaTheme="minorEastAsia"/>
          <w:bCs/>
          <w:sz w:val="24"/>
        </w:rPr>
      </w:pPr>
      <w:r>
        <w:rPr>
          <w:rFonts w:hint="eastAsia" w:eastAsiaTheme="minorEastAsia"/>
          <w:bCs/>
          <w:sz w:val="24"/>
        </w:rPr>
        <w:t>4</w:t>
      </w:r>
      <w:r>
        <w:rPr>
          <w:rFonts w:eastAsiaTheme="minorEastAsia"/>
          <w:bCs/>
          <w:sz w:val="24"/>
        </w:rPr>
        <w:t>.</w:t>
      </w:r>
      <w:r>
        <w:rPr>
          <w:rFonts w:hint="eastAsia" w:eastAsiaTheme="minorEastAsia"/>
          <w:bCs/>
          <w:sz w:val="24"/>
        </w:rPr>
        <w:t>论文</w:t>
      </w:r>
      <w:r>
        <w:rPr>
          <w:rFonts w:eastAsiaTheme="minorEastAsia"/>
          <w:bCs/>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5CF70B48">
      <w:pPr>
        <w:spacing w:line="360" w:lineRule="auto"/>
        <w:ind w:firstLine="480" w:firstLineChars="200"/>
        <w:rPr>
          <w:rFonts w:eastAsiaTheme="minorEastAsia"/>
          <w:bCs/>
          <w:sz w:val="24"/>
        </w:rPr>
      </w:pPr>
      <w:r>
        <w:rPr>
          <w:rFonts w:eastAsiaTheme="minorEastAsia"/>
          <w:bCs/>
          <w:sz w:val="24"/>
        </w:rPr>
        <w:t>原则上在入学后第3学期（最迟</w:t>
      </w:r>
      <w:r>
        <w:rPr>
          <w:rFonts w:hint="eastAsia" w:eastAsiaTheme="minorEastAsia"/>
          <w:bCs/>
          <w:sz w:val="24"/>
        </w:rPr>
        <w:t>在</w:t>
      </w:r>
      <w:r>
        <w:rPr>
          <w:rFonts w:eastAsiaTheme="minorEastAsia"/>
          <w:bCs/>
          <w:sz w:val="24"/>
        </w:rPr>
        <w:t>第4学期）完成开题。开题由3-5名具有高级专业技术职务人员参加，以学术报告的方式进行。</w:t>
      </w:r>
    </w:p>
    <w:p w14:paraId="33D3BB9E">
      <w:pPr>
        <w:tabs>
          <w:tab w:val="left" w:pos="3819"/>
          <w:tab w:val="left" w:pos="4020"/>
        </w:tabs>
        <w:snapToGrid w:val="0"/>
        <w:spacing w:line="420" w:lineRule="exact"/>
        <w:ind w:firstLine="480" w:firstLineChars="200"/>
        <w:rPr>
          <w:rFonts w:eastAsiaTheme="minorEastAsia"/>
          <w:bCs/>
          <w:sz w:val="24"/>
        </w:rPr>
      </w:pPr>
      <w:r>
        <w:rPr>
          <w:rFonts w:hint="eastAsia" w:eastAsiaTheme="minorEastAsia"/>
          <w:bCs/>
          <w:sz w:val="24"/>
        </w:rPr>
        <w:t>5.</w:t>
      </w:r>
      <w:r>
        <w:rPr>
          <w:rFonts w:hint="eastAsia" w:ascii="宋体" w:hAnsi="宋体" w:cs="宋体"/>
          <w:bCs/>
          <w:kern w:val="0"/>
          <w:sz w:val="24"/>
        </w:rPr>
        <w:t>论文可以采取与信息科技教学相关的</w:t>
      </w:r>
      <w:r>
        <w:rPr>
          <w:rFonts w:ascii="宋体" w:hAnsi="宋体" w:cs="宋体"/>
          <w:sz w:val="24"/>
        </w:rPr>
        <w:t>专题研究论文、调查研究报告、行动研究报告、案例研究报告、课程开发方案等</w:t>
      </w:r>
      <w:r>
        <w:rPr>
          <w:rFonts w:hint="eastAsia" w:ascii="宋体" w:hAnsi="宋体" w:cs="宋体"/>
          <w:bCs/>
          <w:kern w:val="0"/>
          <w:sz w:val="24"/>
        </w:rPr>
        <w:t>等形式，</w:t>
      </w:r>
      <w:r>
        <w:rPr>
          <w:rFonts w:hint="eastAsia" w:ascii="宋体" w:hAnsi="宋体"/>
          <w:sz w:val="24"/>
        </w:rPr>
        <w:t>论文正文部分字数不少于3万字。</w:t>
      </w:r>
    </w:p>
    <w:p w14:paraId="4362F803">
      <w:pPr>
        <w:spacing w:line="360" w:lineRule="auto"/>
        <w:ind w:firstLine="480" w:firstLineChars="200"/>
        <w:rPr>
          <w:rFonts w:eastAsiaTheme="minorEastAsia"/>
          <w:bCs/>
          <w:sz w:val="24"/>
        </w:rPr>
      </w:pPr>
      <w:r>
        <w:rPr>
          <w:rFonts w:hint="eastAsia" w:eastAsiaTheme="minorEastAsia"/>
          <w:bCs/>
          <w:sz w:val="24"/>
        </w:rPr>
        <w:t>6</w:t>
      </w:r>
      <w:r>
        <w:rPr>
          <w:rFonts w:eastAsiaTheme="minorEastAsia"/>
          <w:bCs/>
          <w:sz w:val="24"/>
        </w:rPr>
        <w:t>.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4FB9FEB">
      <w:pPr>
        <w:spacing w:line="360" w:lineRule="auto"/>
        <w:ind w:firstLine="480" w:firstLineChars="200"/>
        <w:rPr>
          <w:rFonts w:eastAsiaTheme="minorEastAsia"/>
          <w:bCs/>
          <w:sz w:val="24"/>
        </w:rPr>
      </w:pPr>
      <w:r>
        <w:rPr>
          <w:rFonts w:hint="eastAsia" w:eastAsiaTheme="minorEastAsia"/>
          <w:bCs/>
          <w:sz w:val="24"/>
        </w:rPr>
        <w:t>7</w:t>
      </w:r>
      <w:r>
        <w:rPr>
          <w:rFonts w:eastAsiaTheme="minorEastAsia"/>
          <w:bCs/>
          <w:sz w:val="24"/>
        </w:rPr>
        <w:t>.学位申请：达到学位授予条件的申请人，经导师同意后，应于答辩前三个月，向所属学位评定分委员会提出学位申请，提交学位申请材料。</w:t>
      </w:r>
    </w:p>
    <w:p w14:paraId="3BB2E0CF">
      <w:pPr>
        <w:spacing w:line="360" w:lineRule="auto"/>
        <w:ind w:firstLine="480" w:firstLineChars="200"/>
        <w:rPr>
          <w:rFonts w:eastAsiaTheme="minorEastAsia"/>
          <w:bCs/>
          <w:sz w:val="24"/>
        </w:rPr>
      </w:pPr>
      <w:r>
        <w:rPr>
          <w:rFonts w:hint="eastAsia" w:eastAsiaTheme="minorEastAsia"/>
          <w:bCs/>
          <w:sz w:val="24"/>
        </w:rPr>
        <w:t>8</w:t>
      </w:r>
      <w:r>
        <w:rPr>
          <w:rFonts w:eastAsiaTheme="minorEastAsia"/>
          <w:bCs/>
          <w:sz w:val="24"/>
        </w:rPr>
        <w:t>.预答辩：学位申请人须进行学位论文预答辩。预答辩通过者，方可进入学位论文评阅、学位论文答辩等环节。学位（毕业）论文预答辩在正式答辩前3个月进行。</w:t>
      </w:r>
    </w:p>
    <w:p w14:paraId="7C93A706">
      <w:pPr>
        <w:spacing w:line="360" w:lineRule="auto"/>
        <w:ind w:firstLine="480" w:firstLineChars="200"/>
        <w:rPr>
          <w:rFonts w:eastAsiaTheme="minorEastAsia"/>
          <w:bCs/>
          <w:sz w:val="24"/>
        </w:rPr>
      </w:pPr>
      <w:r>
        <w:rPr>
          <w:rFonts w:hint="eastAsia" w:eastAsiaTheme="minorEastAsia"/>
          <w:bCs/>
          <w:sz w:val="24"/>
        </w:rPr>
        <w:t>9</w:t>
      </w:r>
      <w:r>
        <w:rPr>
          <w:rFonts w:eastAsiaTheme="minorEastAsia"/>
          <w:bCs/>
          <w:sz w:val="24"/>
        </w:rPr>
        <w:t>.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00D58B80">
      <w:pPr>
        <w:spacing w:line="360" w:lineRule="auto"/>
        <w:ind w:firstLine="480" w:firstLineChars="200"/>
        <w:rPr>
          <w:rFonts w:eastAsiaTheme="minorEastAsia"/>
          <w:bCs/>
          <w:sz w:val="24"/>
        </w:rPr>
      </w:pPr>
      <w:r>
        <w:rPr>
          <w:rFonts w:hint="eastAsia" w:eastAsiaTheme="minorEastAsia"/>
          <w:bCs/>
          <w:sz w:val="24"/>
        </w:rPr>
        <w:t>10</w:t>
      </w:r>
      <w:r>
        <w:rPr>
          <w:rFonts w:eastAsiaTheme="minorEastAsia"/>
          <w:bCs/>
          <w:sz w:val="24"/>
        </w:rPr>
        <w:t>.答辩：学位（毕业）论文答辩按照《河北大学博士、硕士学位授予工作实施细则》（校政字〔2025〕7号）执行。</w:t>
      </w:r>
    </w:p>
    <w:p w14:paraId="70607E39">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670EAFD7">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7D4D1A9D">
      <w:pPr>
        <w:spacing w:line="360" w:lineRule="auto"/>
        <w:ind w:firstLine="480" w:firstLineChars="200"/>
        <w:rPr>
          <w:bCs/>
          <w:kern w:val="0"/>
          <w:sz w:val="24"/>
        </w:rPr>
      </w:pPr>
      <w:r>
        <w:rPr>
          <w:rFonts w:eastAsiaTheme="minorEastAsia"/>
          <w:bCs/>
          <w:sz w:val="24"/>
        </w:rPr>
        <w:t>2.</w:t>
      </w:r>
      <w:r>
        <w:rPr>
          <w:bCs/>
          <w:sz w:val="24"/>
        </w:rPr>
        <w:t>实践活动。</w:t>
      </w:r>
      <w:r>
        <w:rPr>
          <w:bCs/>
          <w:kern w:val="0"/>
          <w:sz w:val="24"/>
        </w:rPr>
        <w:t>参与本专业相关的社会实践，由相关单位出具相关实践证明材料；或组织开展与本专业相关的调查、考察等活动，并提交相关报告。</w:t>
      </w:r>
    </w:p>
    <w:p w14:paraId="2927C3EE">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4E143193">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091BD5C8">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6EE49479">
      <w:pPr>
        <w:spacing w:line="360" w:lineRule="auto"/>
        <w:ind w:firstLine="480" w:firstLineChars="200"/>
        <w:rPr>
          <w:rFonts w:eastAsiaTheme="minorEastAsia"/>
          <w:bCs/>
          <w:sz w:val="24"/>
        </w:rPr>
      </w:pPr>
      <w:r>
        <w:rPr>
          <w:rFonts w:hint="eastAsia" w:eastAsiaTheme="minorEastAsia"/>
          <w:bCs/>
          <w:sz w:val="24"/>
        </w:rPr>
        <w:t>按照2023年5月12日制定的《河北大学教育学院关于研究生申请学位取得创新性成果的规定》执行。</w:t>
      </w:r>
    </w:p>
    <w:p w14:paraId="0D5C8359">
      <w:pPr>
        <w:spacing w:line="360" w:lineRule="auto"/>
        <w:ind w:firstLine="560" w:firstLineChars="200"/>
        <w:rPr>
          <w:rFonts w:eastAsia="黑体"/>
          <w:bCs/>
          <w:sz w:val="28"/>
          <w:szCs w:val="28"/>
        </w:rPr>
      </w:pPr>
      <w:r>
        <w:rPr>
          <w:rFonts w:eastAsia="黑体"/>
          <w:bCs/>
          <w:sz w:val="28"/>
          <w:szCs w:val="28"/>
        </w:rPr>
        <w:t>十一、学位授予</w:t>
      </w:r>
    </w:p>
    <w:p w14:paraId="60EFB470">
      <w:pPr>
        <w:spacing w:line="360" w:lineRule="auto"/>
        <w:ind w:firstLine="480" w:firstLineChars="200"/>
        <w:rPr>
          <w:rFonts w:eastAsiaTheme="minorEastAsia"/>
          <w:bCs/>
          <w:sz w:val="24"/>
        </w:rPr>
      </w:pPr>
      <w:r>
        <w:rPr>
          <w:rFonts w:eastAsiaTheme="minorEastAsia"/>
          <w:bCs/>
          <w:color w:val="000000" w:themeColor="text1"/>
          <w:sz w:val="24"/>
        </w:rPr>
        <w:t>研究生通过毕业资格审查，满足本学院制定的创新性成果要求，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14A0E8CA">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0D281882">
      <w:pPr>
        <w:spacing w:line="360" w:lineRule="auto"/>
        <w:ind w:firstLine="480" w:firstLineChars="200"/>
        <w:rPr>
          <w:rFonts w:eastAsiaTheme="minorEastAsia"/>
          <w:color w:val="000000"/>
          <w:sz w:val="24"/>
        </w:rPr>
      </w:pPr>
      <w:r>
        <w:rPr>
          <w:rFonts w:eastAsiaTheme="minorEastAsia"/>
          <w:color w:val="000000"/>
          <w:sz w:val="24"/>
        </w:rPr>
        <w:t>本专业最低毕业学分为</w:t>
      </w:r>
      <w:r>
        <w:rPr>
          <w:rFonts w:hint="eastAsia" w:eastAsiaTheme="minorEastAsia"/>
          <w:color w:val="000000"/>
          <w:sz w:val="24"/>
        </w:rPr>
        <w:t>42</w:t>
      </w:r>
      <w:r>
        <w:rPr>
          <w:rFonts w:eastAsiaTheme="minorEastAsia"/>
          <w:color w:val="000000"/>
          <w:sz w:val="24"/>
        </w:rPr>
        <w:t>分，其中学位课</w:t>
      </w:r>
      <w:r>
        <w:rPr>
          <w:rFonts w:hint="eastAsia" w:eastAsiaTheme="minorEastAsia"/>
          <w:color w:val="000000"/>
          <w:sz w:val="24"/>
        </w:rPr>
        <w:t>23</w:t>
      </w:r>
      <w:r>
        <w:rPr>
          <w:rFonts w:eastAsiaTheme="minorEastAsia"/>
          <w:color w:val="000000"/>
          <w:sz w:val="24"/>
        </w:rPr>
        <w:t>学分，非学位课</w:t>
      </w:r>
      <w:r>
        <w:rPr>
          <w:rFonts w:hint="eastAsia" w:eastAsiaTheme="minorEastAsia"/>
          <w:color w:val="000000"/>
          <w:sz w:val="24"/>
        </w:rPr>
        <w:t>10</w:t>
      </w:r>
      <w:r>
        <w:rPr>
          <w:rFonts w:eastAsiaTheme="minorEastAsia"/>
          <w:color w:val="000000"/>
          <w:sz w:val="24"/>
        </w:rPr>
        <w:t>学分，必修环节</w:t>
      </w:r>
      <w:r>
        <w:rPr>
          <w:rFonts w:hint="eastAsia" w:eastAsiaTheme="minorEastAsia"/>
          <w:color w:val="000000"/>
          <w:sz w:val="24"/>
        </w:rPr>
        <w:t>9学分</w:t>
      </w:r>
      <w:r>
        <w:rPr>
          <w:rFonts w:eastAsiaTheme="minorEastAsia"/>
          <w:color w:val="000000"/>
          <w:sz w:val="24"/>
        </w:rPr>
        <w:t>。</w:t>
      </w:r>
    </w:p>
    <w:p w14:paraId="7B18B207">
      <w:pPr>
        <w:spacing w:line="360" w:lineRule="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3EF40EC5">
      <w:pPr>
        <w:widowControl/>
        <w:snapToGrid w:val="0"/>
        <w:spacing w:line="420" w:lineRule="exact"/>
        <w:ind w:firstLine="480"/>
        <w:rPr>
          <w:rFonts w:ascii="宋体" w:hAnsi="宋体" w:cs="宋体"/>
          <w:kern w:val="0"/>
          <w:sz w:val="24"/>
        </w:rPr>
      </w:pPr>
      <w:r>
        <w:rPr>
          <w:rFonts w:eastAsiaTheme="minorEastAsia"/>
          <w:color w:val="000000"/>
          <w:sz w:val="24"/>
        </w:rPr>
        <w:t>课程考核方式包括考试和考查</w:t>
      </w:r>
      <w:r>
        <w:rPr>
          <w:rFonts w:hint="eastAsia" w:eastAsiaTheme="minorEastAsia"/>
          <w:color w:val="000000"/>
          <w:sz w:val="24"/>
        </w:rPr>
        <w:t>，可以</w:t>
      </w:r>
      <w:r>
        <w:rPr>
          <w:rFonts w:hint="eastAsia" w:ascii="宋体" w:hAnsi="宋体" w:cs="宋体"/>
          <w:kern w:val="0"/>
          <w:sz w:val="24"/>
        </w:rPr>
        <w:t>采取课程考试、课程论文、调查报告、教学设计、实践（实验）报告等多种评价方式，加强过程性评价，注重课程目标达成度评价，建立基于评价的课程与教学质量持续改进机制。</w:t>
      </w:r>
    </w:p>
    <w:p w14:paraId="0E166310">
      <w:pPr>
        <w:spacing w:line="360" w:lineRule="auto"/>
        <w:ind w:firstLine="480" w:firstLineChars="200"/>
        <w:rPr>
          <w:rFonts w:eastAsiaTheme="minorEastAsia"/>
          <w:color w:val="000000"/>
          <w:sz w:val="24"/>
        </w:rPr>
      </w:pPr>
    </w:p>
    <w:p w14:paraId="5B05717C">
      <w:pPr>
        <w:spacing w:afterLines="50" w:line="440" w:lineRule="exact"/>
        <w:ind w:firstLine="482" w:firstLineChars="200"/>
        <w:jc w:val="center"/>
        <w:rPr>
          <w:rFonts w:eastAsiaTheme="minorEastAsia"/>
          <w:b/>
          <w:bCs/>
          <w:sz w:val="24"/>
        </w:rPr>
      </w:pPr>
      <w:r>
        <w:rPr>
          <w:rFonts w:hint="eastAsia" w:eastAsiaTheme="minorEastAsia"/>
          <w:b/>
          <w:bCs/>
          <w:color w:val="000000" w:themeColor="text1"/>
          <w:sz w:val="24"/>
        </w:rPr>
        <w:t>学前教育学</w:t>
      </w:r>
      <w:r>
        <w:rPr>
          <w:rFonts w:eastAsiaTheme="minorEastAsia"/>
          <w:b/>
          <w:bCs/>
          <w:sz w:val="24"/>
        </w:rPr>
        <w:t>专业全日制专业学位硕士研究生课程及培养环节设置一览表</w:t>
      </w:r>
    </w:p>
    <w:tbl>
      <w:tblPr>
        <w:tblStyle w:val="12"/>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817"/>
        <w:gridCol w:w="937"/>
      </w:tblGrid>
      <w:tr w14:paraId="340B04A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448496D5">
            <w:pPr>
              <w:jc w:val="center"/>
              <w:rPr>
                <w:b/>
                <w:color w:val="000000" w:themeColor="text1"/>
                <w:szCs w:val="21"/>
              </w:rPr>
            </w:pPr>
            <w:r>
              <w:rPr>
                <w:b/>
                <w:color w:val="000000" w:themeColor="text1"/>
                <w:szCs w:val="21"/>
              </w:rPr>
              <w:t>课程类别</w:t>
            </w:r>
          </w:p>
        </w:tc>
        <w:tc>
          <w:tcPr>
            <w:tcW w:w="3516" w:type="dxa"/>
            <w:vAlign w:val="center"/>
          </w:tcPr>
          <w:p w14:paraId="4D942627">
            <w:pPr>
              <w:jc w:val="center"/>
              <w:rPr>
                <w:b/>
                <w:color w:val="000000" w:themeColor="text1"/>
                <w:szCs w:val="21"/>
              </w:rPr>
            </w:pPr>
            <w:r>
              <w:rPr>
                <w:b/>
                <w:color w:val="000000" w:themeColor="text1"/>
                <w:szCs w:val="21"/>
              </w:rPr>
              <w:t>课程说明</w:t>
            </w:r>
          </w:p>
        </w:tc>
        <w:tc>
          <w:tcPr>
            <w:tcW w:w="1081" w:type="dxa"/>
            <w:vAlign w:val="center"/>
          </w:tcPr>
          <w:p w14:paraId="3D3C8A50">
            <w:pPr>
              <w:jc w:val="center"/>
              <w:rPr>
                <w:b/>
                <w:color w:val="000000" w:themeColor="text1"/>
                <w:szCs w:val="21"/>
              </w:rPr>
            </w:pPr>
            <w:r>
              <w:rPr>
                <w:b/>
                <w:color w:val="000000" w:themeColor="text1"/>
                <w:szCs w:val="21"/>
              </w:rPr>
              <w:t>课程编号</w:t>
            </w:r>
          </w:p>
        </w:tc>
        <w:tc>
          <w:tcPr>
            <w:tcW w:w="709" w:type="dxa"/>
            <w:vAlign w:val="center"/>
          </w:tcPr>
          <w:p w14:paraId="394EED5C">
            <w:pPr>
              <w:jc w:val="center"/>
              <w:rPr>
                <w:b/>
                <w:color w:val="000000" w:themeColor="text1"/>
                <w:szCs w:val="21"/>
              </w:rPr>
            </w:pPr>
            <w:r>
              <w:rPr>
                <w:b/>
                <w:color w:val="000000" w:themeColor="text1"/>
                <w:szCs w:val="21"/>
              </w:rPr>
              <w:t>学分</w:t>
            </w:r>
          </w:p>
        </w:tc>
        <w:tc>
          <w:tcPr>
            <w:tcW w:w="817" w:type="dxa"/>
            <w:vAlign w:val="center"/>
          </w:tcPr>
          <w:p w14:paraId="42F340D9">
            <w:pPr>
              <w:jc w:val="center"/>
              <w:rPr>
                <w:b/>
                <w:color w:val="000000" w:themeColor="text1"/>
                <w:szCs w:val="21"/>
              </w:rPr>
            </w:pPr>
            <w:r>
              <w:rPr>
                <w:b/>
                <w:color w:val="000000" w:themeColor="text1"/>
                <w:szCs w:val="21"/>
              </w:rPr>
              <w:t>学期</w:t>
            </w:r>
          </w:p>
        </w:tc>
        <w:tc>
          <w:tcPr>
            <w:tcW w:w="937" w:type="dxa"/>
            <w:vAlign w:val="center"/>
          </w:tcPr>
          <w:p w14:paraId="56E4B415">
            <w:pPr>
              <w:jc w:val="center"/>
              <w:rPr>
                <w:b/>
                <w:color w:val="000000" w:themeColor="text1"/>
                <w:szCs w:val="21"/>
              </w:rPr>
            </w:pPr>
            <w:r>
              <w:rPr>
                <w:b/>
                <w:color w:val="000000" w:themeColor="text1"/>
                <w:szCs w:val="21"/>
              </w:rPr>
              <w:t>备注</w:t>
            </w:r>
          </w:p>
        </w:tc>
      </w:tr>
      <w:tr w14:paraId="1EDB2A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001EDA58">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7450B034">
            <w:pPr>
              <w:jc w:val="center"/>
              <w:rPr>
                <w:b/>
                <w:color w:val="000000" w:themeColor="text1"/>
                <w:sz w:val="18"/>
                <w:szCs w:val="18"/>
              </w:rPr>
            </w:pPr>
            <w:r>
              <w:rPr>
                <w:b/>
                <w:color w:val="000000" w:themeColor="text1"/>
                <w:sz w:val="18"/>
                <w:szCs w:val="18"/>
              </w:rPr>
              <w:t>公共必修课</w:t>
            </w:r>
          </w:p>
          <w:p w14:paraId="6BEFFEB4">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5</w:t>
            </w:r>
            <w:r>
              <w:rPr>
                <w:b/>
                <w:color w:val="000000" w:themeColor="text1"/>
                <w:sz w:val="18"/>
                <w:szCs w:val="18"/>
              </w:rPr>
              <w:t>学分）</w:t>
            </w:r>
          </w:p>
        </w:tc>
        <w:tc>
          <w:tcPr>
            <w:tcW w:w="3516" w:type="dxa"/>
            <w:vAlign w:val="center"/>
          </w:tcPr>
          <w:p w14:paraId="0DE06794">
            <w:pPr>
              <w:jc w:val="left"/>
              <w:rPr>
                <w:bCs/>
                <w:sz w:val="18"/>
                <w:szCs w:val="18"/>
              </w:rPr>
            </w:pPr>
            <w:r>
              <w:rPr>
                <w:rFonts w:hint="eastAsia"/>
                <w:bCs/>
                <w:sz w:val="18"/>
                <w:szCs w:val="18"/>
              </w:rPr>
              <w:t>新时代中国特色社会主义理论与实践</w:t>
            </w:r>
          </w:p>
        </w:tc>
        <w:tc>
          <w:tcPr>
            <w:tcW w:w="1081" w:type="dxa"/>
            <w:vAlign w:val="center"/>
          </w:tcPr>
          <w:p w14:paraId="2E37C473">
            <w:pPr>
              <w:jc w:val="center"/>
              <w:rPr>
                <w:color w:val="000000" w:themeColor="text1"/>
                <w:sz w:val="18"/>
                <w:szCs w:val="18"/>
              </w:rPr>
            </w:pPr>
            <w:r>
              <w:rPr>
                <w:color w:val="000000" w:themeColor="text1"/>
                <w:sz w:val="18"/>
                <w:szCs w:val="18"/>
              </w:rPr>
              <w:t>TS0000001</w:t>
            </w:r>
          </w:p>
        </w:tc>
        <w:tc>
          <w:tcPr>
            <w:tcW w:w="709" w:type="dxa"/>
            <w:vAlign w:val="center"/>
          </w:tcPr>
          <w:p w14:paraId="316AF8B3">
            <w:pPr>
              <w:jc w:val="center"/>
              <w:rPr>
                <w:color w:val="000000" w:themeColor="text1"/>
                <w:sz w:val="18"/>
                <w:szCs w:val="18"/>
              </w:rPr>
            </w:pPr>
            <w:r>
              <w:rPr>
                <w:color w:val="000000" w:themeColor="text1"/>
                <w:sz w:val="18"/>
                <w:szCs w:val="18"/>
              </w:rPr>
              <w:t>2</w:t>
            </w:r>
          </w:p>
        </w:tc>
        <w:tc>
          <w:tcPr>
            <w:tcW w:w="817" w:type="dxa"/>
            <w:vAlign w:val="center"/>
          </w:tcPr>
          <w:p w14:paraId="19DBF4DE">
            <w:pPr>
              <w:jc w:val="center"/>
              <w:rPr>
                <w:color w:val="000000" w:themeColor="text1"/>
                <w:sz w:val="18"/>
                <w:szCs w:val="18"/>
              </w:rPr>
            </w:pPr>
            <w:r>
              <w:rPr>
                <w:color w:val="000000" w:themeColor="text1"/>
                <w:sz w:val="18"/>
                <w:szCs w:val="18"/>
              </w:rPr>
              <w:t>1</w:t>
            </w:r>
          </w:p>
        </w:tc>
        <w:tc>
          <w:tcPr>
            <w:tcW w:w="937" w:type="dxa"/>
            <w:vAlign w:val="center"/>
          </w:tcPr>
          <w:p w14:paraId="5E510D86">
            <w:pPr>
              <w:jc w:val="center"/>
              <w:rPr>
                <w:color w:val="000000" w:themeColor="text1"/>
                <w:sz w:val="18"/>
                <w:szCs w:val="18"/>
              </w:rPr>
            </w:pPr>
            <w:r>
              <w:rPr>
                <w:rFonts w:hint="eastAsia"/>
                <w:color w:val="000000" w:themeColor="text1"/>
                <w:sz w:val="18"/>
                <w:szCs w:val="18"/>
              </w:rPr>
              <w:t>考查</w:t>
            </w:r>
          </w:p>
        </w:tc>
      </w:tr>
      <w:tr w14:paraId="44AEEEE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28B1BFA8">
            <w:pPr>
              <w:jc w:val="center"/>
              <w:rPr>
                <w:b/>
                <w:color w:val="000000" w:themeColor="text1"/>
                <w:sz w:val="18"/>
                <w:szCs w:val="18"/>
              </w:rPr>
            </w:pPr>
          </w:p>
        </w:tc>
        <w:tc>
          <w:tcPr>
            <w:tcW w:w="1226" w:type="dxa"/>
            <w:vMerge w:val="continue"/>
            <w:vAlign w:val="center"/>
          </w:tcPr>
          <w:p w14:paraId="7017DD59">
            <w:pPr>
              <w:jc w:val="center"/>
              <w:rPr>
                <w:b/>
                <w:color w:val="000000" w:themeColor="text1"/>
                <w:sz w:val="18"/>
                <w:szCs w:val="18"/>
              </w:rPr>
            </w:pPr>
          </w:p>
        </w:tc>
        <w:tc>
          <w:tcPr>
            <w:tcW w:w="3516" w:type="dxa"/>
            <w:vAlign w:val="center"/>
          </w:tcPr>
          <w:p w14:paraId="7ACAAD4B">
            <w:pPr>
              <w:jc w:val="left"/>
              <w:rPr>
                <w:bCs/>
                <w:sz w:val="18"/>
                <w:szCs w:val="18"/>
              </w:rPr>
            </w:pPr>
            <w:r>
              <w:rPr>
                <w:rFonts w:hint="eastAsia"/>
                <w:bCs/>
                <w:sz w:val="18"/>
                <w:szCs w:val="18"/>
              </w:rPr>
              <w:t>通用学术英语</w:t>
            </w:r>
          </w:p>
        </w:tc>
        <w:tc>
          <w:tcPr>
            <w:tcW w:w="1081" w:type="dxa"/>
            <w:vAlign w:val="center"/>
          </w:tcPr>
          <w:p w14:paraId="1996B30F">
            <w:pPr>
              <w:jc w:val="center"/>
              <w:rPr>
                <w:sz w:val="18"/>
                <w:szCs w:val="18"/>
              </w:rPr>
            </w:pPr>
            <w:r>
              <w:rPr>
                <w:sz w:val="18"/>
                <w:szCs w:val="18"/>
              </w:rPr>
              <w:t>TS0000002</w:t>
            </w:r>
          </w:p>
        </w:tc>
        <w:tc>
          <w:tcPr>
            <w:tcW w:w="709" w:type="dxa"/>
            <w:vAlign w:val="center"/>
          </w:tcPr>
          <w:p w14:paraId="36908BF3">
            <w:pPr>
              <w:jc w:val="center"/>
              <w:rPr>
                <w:sz w:val="18"/>
                <w:szCs w:val="18"/>
              </w:rPr>
            </w:pPr>
            <w:r>
              <w:rPr>
                <w:sz w:val="18"/>
                <w:szCs w:val="18"/>
              </w:rPr>
              <w:t>2</w:t>
            </w:r>
          </w:p>
        </w:tc>
        <w:tc>
          <w:tcPr>
            <w:tcW w:w="817" w:type="dxa"/>
            <w:vAlign w:val="center"/>
          </w:tcPr>
          <w:p w14:paraId="53FD2069">
            <w:pPr>
              <w:jc w:val="center"/>
              <w:rPr>
                <w:sz w:val="18"/>
                <w:szCs w:val="18"/>
              </w:rPr>
            </w:pPr>
            <w:r>
              <w:rPr>
                <w:sz w:val="18"/>
                <w:szCs w:val="18"/>
              </w:rPr>
              <w:t>1</w:t>
            </w:r>
          </w:p>
        </w:tc>
        <w:tc>
          <w:tcPr>
            <w:tcW w:w="937" w:type="dxa"/>
            <w:vAlign w:val="center"/>
          </w:tcPr>
          <w:p w14:paraId="4FE8BD86">
            <w:pPr>
              <w:jc w:val="center"/>
              <w:rPr>
                <w:sz w:val="18"/>
                <w:szCs w:val="18"/>
              </w:rPr>
            </w:pPr>
            <w:r>
              <w:rPr>
                <w:rFonts w:hint="eastAsia"/>
                <w:sz w:val="18"/>
                <w:szCs w:val="18"/>
              </w:rPr>
              <w:t>考查</w:t>
            </w:r>
          </w:p>
        </w:tc>
      </w:tr>
      <w:tr w14:paraId="11AAE44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1C80FD6">
            <w:pPr>
              <w:jc w:val="center"/>
              <w:rPr>
                <w:b/>
                <w:color w:val="000000" w:themeColor="text1"/>
                <w:sz w:val="18"/>
                <w:szCs w:val="18"/>
              </w:rPr>
            </w:pPr>
          </w:p>
        </w:tc>
        <w:tc>
          <w:tcPr>
            <w:tcW w:w="1226" w:type="dxa"/>
            <w:vMerge w:val="restart"/>
            <w:vAlign w:val="center"/>
          </w:tcPr>
          <w:p w14:paraId="04F9E6C9">
            <w:pPr>
              <w:jc w:val="center"/>
              <w:rPr>
                <w:b/>
                <w:bCs/>
                <w:color w:val="000000" w:themeColor="text1"/>
                <w:sz w:val="18"/>
                <w:szCs w:val="18"/>
              </w:rPr>
            </w:pPr>
            <w:r>
              <w:rPr>
                <w:rFonts w:hint="eastAsia"/>
                <w:b/>
                <w:bCs/>
                <w:color w:val="000000" w:themeColor="text1"/>
                <w:sz w:val="18"/>
                <w:szCs w:val="18"/>
              </w:rPr>
              <w:t>学科基础课</w:t>
            </w:r>
          </w:p>
          <w:p w14:paraId="3C18BF6E">
            <w:pPr>
              <w:jc w:val="center"/>
              <w:rPr>
                <w:b/>
                <w:bCs/>
                <w:color w:val="000000" w:themeColor="text1"/>
                <w:sz w:val="18"/>
                <w:szCs w:val="18"/>
              </w:rPr>
            </w:pPr>
            <w:r>
              <w:rPr>
                <w:rFonts w:hint="eastAsia"/>
                <w:b/>
                <w:bCs/>
                <w:color w:val="000000" w:themeColor="text1"/>
                <w:sz w:val="18"/>
                <w:szCs w:val="18"/>
              </w:rPr>
              <w:t>（7学分）</w:t>
            </w:r>
          </w:p>
        </w:tc>
        <w:tc>
          <w:tcPr>
            <w:tcW w:w="3516" w:type="dxa"/>
            <w:vAlign w:val="center"/>
          </w:tcPr>
          <w:p w14:paraId="35B343F6">
            <w:pPr>
              <w:jc w:val="left"/>
              <w:rPr>
                <w:bCs/>
                <w:sz w:val="18"/>
                <w:szCs w:val="18"/>
              </w:rPr>
            </w:pPr>
            <w:r>
              <w:rPr>
                <w:rFonts w:hint="eastAsia"/>
                <w:bCs/>
                <w:sz w:val="18"/>
                <w:szCs w:val="18"/>
              </w:rPr>
              <w:t>习近平总书记关于教育的重要论述研究</w:t>
            </w:r>
          </w:p>
        </w:tc>
        <w:tc>
          <w:tcPr>
            <w:tcW w:w="1081" w:type="dxa"/>
            <w:vAlign w:val="center"/>
          </w:tcPr>
          <w:p w14:paraId="72C5F20A">
            <w:pPr>
              <w:jc w:val="center"/>
              <w:rPr>
                <w:color w:val="000000" w:themeColor="text1"/>
                <w:sz w:val="18"/>
                <w:szCs w:val="18"/>
              </w:rPr>
            </w:pPr>
            <w:r>
              <w:rPr>
                <w:color w:val="000000" w:themeColor="text1"/>
                <w:sz w:val="18"/>
                <w:szCs w:val="18"/>
              </w:rPr>
              <w:t>TJ0600102</w:t>
            </w:r>
          </w:p>
        </w:tc>
        <w:tc>
          <w:tcPr>
            <w:tcW w:w="709" w:type="dxa"/>
            <w:vAlign w:val="center"/>
          </w:tcPr>
          <w:p w14:paraId="5D59D00E">
            <w:pPr>
              <w:jc w:val="center"/>
              <w:rPr>
                <w:color w:val="000000" w:themeColor="text1"/>
                <w:sz w:val="18"/>
                <w:szCs w:val="18"/>
              </w:rPr>
            </w:pPr>
            <w:r>
              <w:rPr>
                <w:rFonts w:hint="eastAsia"/>
                <w:color w:val="000000" w:themeColor="text1"/>
                <w:sz w:val="18"/>
                <w:szCs w:val="18"/>
              </w:rPr>
              <w:t>1</w:t>
            </w:r>
          </w:p>
        </w:tc>
        <w:tc>
          <w:tcPr>
            <w:tcW w:w="817" w:type="dxa"/>
            <w:vAlign w:val="center"/>
          </w:tcPr>
          <w:p w14:paraId="0C23045B">
            <w:pPr>
              <w:jc w:val="center"/>
              <w:rPr>
                <w:color w:val="000000" w:themeColor="text1"/>
                <w:sz w:val="18"/>
                <w:szCs w:val="18"/>
              </w:rPr>
            </w:pPr>
            <w:r>
              <w:rPr>
                <w:rFonts w:hint="eastAsia"/>
                <w:color w:val="000000" w:themeColor="text1"/>
                <w:sz w:val="18"/>
                <w:szCs w:val="18"/>
              </w:rPr>
              <w:t>2</w:t>
            </w:r>
          </w:p>
        </w:tc>
        <w:tc>
          <w:tcPr>
            <w:tcW w:w="937" w:type="dxa"/>
            <w:vAlign w:val="center"/>
          </w:tcPr>
          <w:p w14:paraId="3654D0DB">
            <w:pPr>
              <w:jc w:val="center"/>
              <w:rPr>
                <w:color w:val="000000" w:themeColor="text1"/>
                <w:sz w:val="18"/>
                <w:szCs w:val="18"/>
              </w:rPr>
            </w:pPr>
            <w:r>
              <w:rPr>
                <w:color w:val="000000" w:themeColor="text1"/>
                <w:sz w:val="18"/>
                <w:szCs w:val="18"/>
              </w:rPr>
              <w:t>考查</w:t>
            </w:r>
          </w:p>
        </w:tc>
      </w:tr>
      <w:tr w14:paraId="24C834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vAlign w:val="center"/>
          </w:tcPr>
          <w:p w14:paraId="4CDF4760">
            <w:pPr>
              <w:jc w:val="center"/>
              <w:rPr>
                <w:b/>
                <w:color w:val="000000" w:themeColor="text1"/>
                <w:sz w:val="18"/>
                <w:szCs w:val="18"/>
              </w:rPr>
            </w:pPr>
          </w:p>
        </w:tc>
        <w:tc>
          <w:tcPr>
            <w:tcW w:w="1226" w:type="dxa"/>
            <w:vMerge w:val="continue"/>
            <w:vAlign w:val="center"/>
          </w:tcPr>
          <w:p w14:paraId="26155576">
            <w:pPr>
              <w:jc w:val="center"/>
              <w:rPr>
                <w:b/>
                <w:bCs/>
                <w:color w:val="000000" w:themeColor="text1"/>
                <w:sz w:val="18"/>
                <w:szCs w:val="18"/>
              </w:rPr>
            </w:pPr>
          </w:p>
        </w:tc>
        <w:tc>
          <w:tcPr>
            <w:tcW w:w="3516" w:type="dxa"/>
            <w:vAlign w:val="center"/>
          </w:tcPr>
          <w:p w14:paraId="3E64EF2C">
            <w:pPr>
              <w:jc w:val="left"/>
              <w:rPr>
                <w:bCs/>
                <w:sz w:val="18"/>
                <w:szCs w:val="18"/>
              </w:rPr>
            </w:pPr>
            <w:r>
              <w:rPr>
                <w:rFonts w:hint="eastAsia"/>
                <w:bCs/>
                <w:sz w:val="18"/>
                <w:szCs w:val="18"/>
              </w:rPr>
              <w:t>学术道德与论文写作</w:t>
            </w:r>
          </w:p>
        </w:tc>
        <w:tc>
          <w:tcPr>
            <w:tcW w:w="1081" w:type="dxa"/>
            <w:vAlign w:val="center"/>
          </w:tcPr>
          <w:p w14:paraId="6A91C2EC">
            <w:pPr>
              <w:jc w:val="center"/>
              <w:rPr>
                <w:color w:val="000000" w:themeColor="text1"/>
                <w:sz w:val="18"/>
                <w:szCs w:val="18"/>
              </w:rPr>
            </w:pPr>
            <w:r>
              <w:rPr>
                <w:rFonts w:hint="eastAsia"/>
                <w:color w:val="000000" w:themeColor="text1"/>
                <w:sz w:val="18"/>
                <w:szCs w:val="18"/>
              </w:rPr>
              <w:t>XS0600003</w:t>
            </w:r>
          </w:p>
        </w:tc>
        <w:tc>
          <w:tcPr>
            <w:tcW w:w="709" w:type="dxa"/>
            <w:vAlign w:val="center"/>
          </w:tcPr>
          <w:p w14:paraId="4D623A18">
            <w:pPr>
              <w:jc w:val="center"/>
              <w:rPr>
                <w:color w:val="000000" w:themeColor="text1"/>
                <w:sz w:val="18"/>
                <w:szCs w:val="18"/>
              </w:rPr>
            </w:pPr>
            <w:r>
              <w:rPr>
                <w:rFonts w:hint="eastAsia"/>
                <w:color w:val="000000" w:themeColor="text1"/>
                <w:sz w:val="18"/>
                <w:szCs w:val="18"/>
              </w:rPr>
              <w:t>2</w:t>
            </w:r>
          </w:p>
        </w:tc>
        <w:tc>
          <w:tcPr>
            <w:tcW w:w="817" w:type="dxa"/>
            <w:vAlign w:val="center"/>
          </w:tcPr>
          <w:p w14:paraId="113383D5">
            <w:pPr>
              <w:jc w:val="center"/>
              <w:rPr>
                <w:color w:val="000000" w:themeColor="text1"/>
                <w:sz w:val="18"/>
                <w:szCs w:val="18"/>
              </w:rPr>
            </w:pPr>
            <w:r>
              <w:rPr>
                <w:rFonts w:hint="eastAsia"/>
                <w:color w:val="000000" w:themeColor="text1"/>
                <w:sz w:val="18"/>
                <w:szCs w:val="18"/>
              </w:rPr>
              <w:t>1</w:t>
            </w:r>
          </w:p>
        </w:tc>
        <w:tc>
          <w:tcPr>
            <w:tcW w:w="937" w:type="dxa"/>
            <w:vAlign w:val="center"/>
          </w:tcPr>
          <w:p w14:paraId="3BB8723D">
            <w:pPr>
              <w:jc w:val="center"/>
              <w:rPr>
                <w:color w:val="000000" w:themeColor="text1"/>
                <w:sz w:val="18"/>
                <w:szCs w:val="18"/>
              </w:rPr>
            </w:pPr>
            <w:r>
              <w:rPr>
                <w:color w:val="000000" w:themeColor="text1"/>
                <w:sz w:val="18"/>
                <w:szCs w:val="18"/>
              </w:rPr>
              <w:t>考查</w:t>
            </w:r>
          </w:p>
        </w:tc>
      </w:tr>
      <w:tr w14:paraId="23FBC9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vAlign w:val="center"/>
          </w:tcPr>
          <w:p w14:paraId="43A0D0F5">
            <w:pPr>
              <w:jc w:val="center"/>
              <w:rPr>
                <w:b/>
                <w:color w:val="000000" w:themeColor="text1"/>
                <w:sz w:val="18"/>
                <w:szCs w:val="18"/>
              </w:rPr>
            </w:pPr>
          </w:p>
        </w:tc>
        <w:tc>
          <w:tcPr>
            <w:tcW w:w="1226" w:type="dxa"/>
            <w:vMerge w:val="continue"/>
            <w:vAlign w:val="center"/>
          </w:tcPr>
          <w:p w14:paraId="18E50267">
            <w:pPr>
              <w:jc w:val="center"/>
              <w:rPr>
                <w:b/>
                <w:bCs/>
                <w:color w:val="000000" w:themeColor="text1"/>
                <w:sz w:val="18"/>
                <w:szCs w:val="18"/>
              </w:rPr>
            </w:pPr>
          </w:p>
        </w:tc>
        <w:tc>
          <w:tcPr>
            <w:tcW w:w="3516" w:type="dxa"/>
            <w:vAlign w:val="center"/>
          </w:tcPr>
          <w:p w14:paraId="11CBF853">
            <w:pPr>
              <w:jc w:val="left"/>
              <w:rPr>
                <w:bCs/>
                <w:sz w:val="18"/>
                <w:szCs w:val="18"/>
              </w:rPr>
            </w:pPr>
            <w:r>
              <w:rPr>
                <w:rFonts w:hint="eastAsia"/>
                <w:bCs/>
                <w:sz w:val="18"/>
                <w:szCs w:val="18"/>
              </w:rPr>
              <w:t>教育量化与质性研究方法</w:t>
            </w:r>
          </w:p>
        </w:tc>
        <w:tc>
          <w:tcPr>
            <w:tcW w:w="1081" w:type="dxa"/>
            <w:vAlign w:val="center"/>
          </w:tcPr>
          <w:p w14:paraId="3026CBA2">
            <w:pPr>
              <w:jc w:val="center"/>
              <w:rPr>
                <w:color w:val="000000" w:themeColor="text1"/>
                <w:sz w:val="18"/>
                <w:szCs w:val="18"/>
              </w:rPr>
            </w:pPr>
            <w:r>
              <w:rPr>
                <w:rFonts w:hint="eastAsia"/>
                <w:color w:val="000000" w:themeColor="text1"/>
                <w:sz w:val="18"/>
                <w:szCs w:val="18"/>
              </w:rPr>
              <w:t>XS0600004</w:t>
            </w:r>
          </w:p>
        </w:tc>
        <w:tc>
          <w:tcPr>
            <w:tcW w:w="709" w:type="dxa"/>
            <w:vAlign w:val="center"/>
          </w:tcPr>
          <w:p w14:paraId="47E33D81">
            <w:pPr>
              <w:jc w:val="center"/>
              <w:rPr>
                <w:color w:val="000000" w:themeColor="text1"/>
                <w:sz w:val="18"/>
                <w:szCs w:val="18"/>
              </w:rPr>
            </w:pPr>
            <w:r>
              <w:rPr>
                <w:rFonts w:hint="eastAsia"/>
                <w:color w:val="000000" w:themeColor="text1"/>
                <w:sz w:val="18"/>
                <w:szCs w:val="18"/>
              </w:rPr>
              <w:t>2</w:t>
            </w:r>
          </w:p>
        </w:tc>
        <w:tc>
          <w:tcPr>
            <w:tcW w:w="817" w:type="dxa"/>
            <w:vAlign w:val="center"/>
          </w:tcPr>
          <w:p w14:paraId="56900BF4">
            <w:pPr>
              <w:jc w:val="center"/>
              <w:rPr>
                <w:color w:val="000000" w:themeColor="text1"/>
                <w:sz w:val="18"/>
                <w:szCs w:val="18"/>
              </w:rPr>
            </w:pPr>
            <w:r>
              <w:rPr>
                <w:rFonts w:hint="eastAsia"/>
                <w:color w:val="000000" w:themeColor="text1"/>
                <w:sz w:val="18"/>
                <w:szCs w:val="18"/>
              </w:rPr>
              <w:t>1</w:t>
            </w:r>
          </w:p>
        </w:tc>
        <w:tc>
          <w:tcPr>
            <w:tcW w:w="937" w:type="dxa"/>
            <w:vAlign w:val="center"/>
          </w:tcPr>
          <w:p w14:paraId="50CEEC8A">
            <w:pPr>
              <w:jc w:val="center"/>
              <w:rPr>
                <w:color w:val="000000" w:themeColor="text1"/>
                <w:sz w:val="18"/>
                <w:szCs w:val="18"/>
              </w:rPr>
            </w:pPr>
            <w:r>
              <w:rPr>
                <w:color w:val="000000" w:themeColor="text1"/>
                <w:sz w:val="18"/>
                <w:szCs w:val="18"/>
              </w:rPr>
              <w:t>考查</w:t>
            </w:r>
          </w:p>
        </w:tc>
      </w:tr>
      <w:tr w14:paraId="69FD44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F26E094">
            <w:pPr>
              <w:jc w:val="center"/>
              <w:rPr>
                <w:b/>
                <w:color w:val="000000" w:themeColor="text1"/>
                <w:sz w:val="18"/>
                <w:szCs w:val="18"/>
              </w:rPr>
            </w:pPr>
          </w:p>
        </w:tc>
        <w:tc>
          <w:tcPr>
            <w:tcW w:w="1226" w:type="dxa"/>
            <w:vMerge w:val="restart"/>
            <w:vAlign w:val="center"/>
          </w:tcPr>
          <w:p w14:paraId="684D47C7">
            <w:pPr>
              <w:jc w:val="center"/>
              <w:rPr>
                <w:b/>
                <w:bCs/>
                <w:color w:val="000000" w:themeColor="text1"/>
                <w:sz w:val="18"/>
                <w:szCs w:val="18"/>
              </w:rPr>
            </w:pPr>
            <w:r>
              <w:rPr>
                <w:rFonts w:hint="eastAsia"/>
                <w:b/>
                <w:bCs/>
                <w:color w:val="000000" w:themeColor="text1"/>
                <w:sz w:val="18"/>
                <w:szCs w:val="18"/>
              </w:rPr>
              <w:t>专业必修课</w:t>
            </w:r>
          </w:p>
          <w:p w14:paraId="0DE7D3AE">
            <w:pPr>
              <w:jc w:val="center"/>
              <w:rPr>
                <w:b/>
                <w:bCs/>
                <w:color w:val="000000" w:themeColor="text1"/>
                <w:sz w:val="18"/>
                <w:szCs w:val="18"/>
              </w:rPr>
            </w:pPr>
            <w:r>
              <w:rPr>
                <w:rFonts w:hint="eastAsia"/>
                <w:b/>
                <w:bCs/>
                <w:color w:val="000000" w:themeColor="text1"/>
                <w:sz w:val="18"/>
                <w:szCs w:val="18"/>
              </w:rPr>
              <w:t>（8学分）</w:t>
            </w:r>
          </w:p>
        </w:tc>
        <w:tc>
          <w:tcPr>
            <w:tcW w:w="3516" w:type="dxa"/>
          </w:tcPr>
          <w:p w14:paraId="6E6A9804">
            <w:pPr>
              <w:jc w:val="left"/>
              <w:rPr>
                <w:bCs/>
                <w:sz w:val="18"/>
                <w:szCs w:val="18"/>
              </w:rPr>
            </w:pPr>
            <w:r>
              <w:rPr>
                <w:rFonts w:hint="eastAsia"/>
                <w:bCs/>
                <w:sz w:val="18"/>
                <w:szCs w:val="18"/>
              </w:rPr>
              <w:t>幼儿园课程与教学论</w:t>
            </w:r>
          </w:p>
        </w:tc>
        <w:tc>
          <w:tcPr>
            <w:tcW w:w="1081" w:type="dxa"/>
            <w:vAlign w:val="center"/>
          </w:tcPr>
          <w:p w14:paraId="6ED00D14">
            <w:pPr>
              <w:jc w:val="center"/>
              <w:rPr>
                <w:color w:val="000000" w:themeColor="text1"/>
                <w:sz w:val="18"/>
                <w:szCs w:val="18"/>
              </w:rPr>
            </w:pPr>
            <w:bookmarkStart w:id="3" w:name="OLE_LINK10"/>
            <w:bookmarkStart w:id="4" w:name="OLE_LINK11"/>
            <w:r>
              <w:rPr>
                <w:rFonts w:hint="eastAsia"/>
                <w:color w:val="000000" w:themeColor="text1"/>
                <w:sz w:val="18"/>
                <w:szCs w:val="18"/>
              </w:rPr>
              <w:t>XS068400</w:t>
            </w:r>
            <w:bookmarkEnd w:id="3"/>
            <w:bookmarkEnd w:id="4"/>
            <w:r>
              <w:rPr>
                <w:rFonts w:hint="eastAsia"/>
                <w:color w:val="000000" w:themeColor="text1"/>
                <w:sz w:val="18"/>
                <w:szCs w:val="18"/>
              </w:rPr>
              <w:t>1</w:t>
            </w:r>
          </w:p>
        </w:tc>
        <w:tc>
          <w:tcPr>
            <w:tcW w:w="709" w:type="dxa"/>
            <w:vAlign w:val="center"/>
          </w:tcPr>
          <w:p w14:paraId="266EAA11">
            <w:pPr>
              <w:jc w:val="center"/>
              <w:rPr>
                <w:rFonts w:asciiTheme="minorEastAsia" w:hAnsiTheme="minorEastAsia" w:eastAsiaTheme="minorEastAsia"/>
                <w:color w:val="000000" w:themeColor="text1"/>
                <w:sz w:val="18"/>
                <w:szCs w:val="18"/>
              </w:rPr>
            </w:pPr>
            <w:r>
              <w:rPr>
                <w:rFonts w:hint="eastAsia" w:asciiTheme="minorEastAsia" w:hAnsiTheme="minorEastAsia" w:eastAsiaTheme="minorEastAsia"/>
                <w:color w:val="000000" w:themeColor="text1"/>
                <w:sz w:val="18"/>
                <w:szCs w:val="18"/>
              </w:rPr>
              <w:t>3</w:t>
            </w:r>
          </w:p>
        </w:tc>
        <w:tc>
          <w:tcPr>
            <w:tcW w:w="817" w:type="dxa"/>
            <w:vAlign w:val="center"/>
          </w:tcPr>
          <w:p w14:paraId="528B9833">
            <w:pPr>
              <w:jc w:val="center"/>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1</w:t>
            </w:r>
          </w:p>
        </w:tc>
        <w:tc>
          <w:tcPr>
            <w:tcW w:w="937" w:type="dxa"/>
            <w:vAlign w:val="center"/>
          </w:tcPr>
          <w:p w14:paraId="169C4ED6">
            <w:pPr>
              <w:jc w:val="center"/>
              <w:rPr>
                <w:color w:val="000000" w:themeColor="text1"/>
                <w:sz w:val="18"/>
                <w:szCs w:val="18"/>
              </w:rPr>
            </w:pPr>
            <w:r>
              <w:rPr>
                <w:rFonts w:hint="eastAsia"/>
                <w:color w:val="000000" w:themeColor="text1"/>
                <w:sz w:val="18"/>
                <w:szCs w:val="18"/>
              </w:rPr>
              <w:t>考查</w:t>
            </w:r>
          </w:p>
        </w:tc>
      </w:tr>
      <w:tr w14:paraId="1FCD3D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35EF66A">
            <w:pPr>
              <w:jc w:val="center"/>
              <w:rPr>
                <w:b/>
                <w:color w:val="000000" w:themeColor="text1"/>
                <w:sz w:val="18"/>
                <w:szCs w:val="18"/>
              </w:rPr>
            </w:pPr>
          </w:p>
        </w:tc>
        <w:tc>
          <w:tcPr>
            <w:tcW w:w="1226" w:type="dxa"/>
            <w:vMerge w:val="continue"/>
            <w:vAlign w:val="center"/>
          </w:tcPr>
          <w:p w14:paraId="2E240A1E">
            <w:pPr>
              <w:jc w:val="center"/>
              <w:rPr>
                <w:b/>
                <w:color w:val="000000" w:themeColor="text1"/>
                <w:sz w:val="18"/>
                <w:szCs w:val="18"/>
              </w:rPr>
            </w:pPr>
          </w:p>
        </w:tc>
        <w:tc>
          <w:tcPr>
            <w:tcW w:w="3516" w:type="dxa"/>
          </w:tcPr>
          <w:p w14:paraId="0154253C">
            <w:pPr>
              <w:jc w:val="left"/>
              <w:rPr>
                <w:bCs/>
                <w:sz w:val="18"/>
                <w:szCs w:val="18"/>
              </w:rPr>
            </w:pPr>
            <w:r>
              <w:rPr>
                <w:rFonts w:hint="eastAsia"/>
                <w:bCs/>
                <w:sz w:val="18"/>
                <w:szCs w:val="18"/>
              </w:rPr>
              <w:t>学前教育评价</w:t>
            </w:r>
          </w:p>
        </w:tc>
        <w:tc>
          <w:tcPr>
            <w:tcW w:w="1081" w:type="dxa"/>
            <w:vAlign w:val="center"/>
          </w:tcPr>
          <w:p w14:paraId="1277D8DE">
            <w:pPr>
              <w:jc w:val="center"/>
              <w:rPr>
                <w:color w:val="000000" w:themeColor="text1"/>
                <w:sz w:val="18"/>
                <w:szCs w:val="18"/>
              </w:rPr>
            </w:pPr>
            <w:r>
              <w:rPr>
                <w:color w:val="000000" w:themeColor="text1"/>
                <w:sz w:val="18"/>
                <w:szCs w:val="18"/>
              </w:rPr>
              <w:t>XS068400</w:t>
            </w:r>
            <w:r>
              <w:rPr>
                <w:rFonts w:hint="eastAsia"/>
                <w:color w:val="000000" w:themeColor="text1"/>
                <w:sz w:val="18"/>
                <w:szCs w:val="18"/>
              </w:rPr>
              <w:t>2</w:t>
            </w:r>
          </w:p>
        </w:tc>
        <w:tc>
          <w:tcPr>
            <w:tcW w:w="709" w:type="dxa"/>
            <w:vAlign w:val="center"/>
          </w:tcPr>
          <w:p w14:paraId="7B7A98C6">
            <w:pPr>
              <w:jc w:val="center"/>
              <w:rPr>
                <w:rFonts w:asciiTheme="minorEastAsia" w:hAnsiTheme="minorEastAsia" w:eastAsiaTheme="minorEastAsia"/>
                <w:color w:val="000000" w:themeColor="text1"/>
                <w:sz w:val="18"/>
                <w:szCs w:val="18"/>
              </w:rPr>
            </w:pPr>
            <w:r>
              <w:rPr>
                <w:rFonts w:hint="eastAsia" w:asciiTheme="minorEastAsia" w:hAnsiTheme="minorEastAsia" w:eastAsiaTheme="minorEastAsia"/>
                <w:color w:val="000000" w:themeColor="text1"/>
                <w:sz w:val="18"/>
                <w:szCs w:val="18"/>
              </w:rPr>
              <w:t>3</w:t>
            </w:r>
          </w:p>
        </w:tc>
        <w:tc>
          <w:tcPr>
            <w:tcW w:w="817" w:type="dxa"/>
            <w:vAlign w:val="center"/>
          </w:tcPr>
          <w:p w14:paraId="4EDCF95C">
            <w:pPr>
              <w:jc w:val="center"/>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1</w:t>
            </w:r>
          </w:p>
        </w:tc>
        <w:tc>
          <w:tcPr>
            <w:tcW w:w="937" w:type="dxa"/>
            <w:vAlign w:val="center"/>
          </w:tcPr>
          <w:p w14:paraId="121F5A5B">
            <w:pPr>
              <w:jc w:val="center"/>
              <w:rPr>
                <w:color w:val="000000" w:themeColor="text1"/>
                <w:sz w:val="18"/>
                <w:szCs w:val="18"/>
              </w:rPr>
            </w:pPr>
            <w:r>
              <w:rPr>
                <w:color w:val="000000" w:themeColor="text1"/>
                <w:sz w:val="18"/>
                <w:szCs w:val="18"/>
              </w:rPr>
              <w:t>考查</w:t>
            </w:r>
          </w:p>
        </w:tc>
      </w:tr>
      <w:tr w14:paraId="2A26514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9D9204C">
            <w:pPr>
              <w:jc w:val="center"/>
              <w:rPr>
                <w:b/>
                <w:color w:val="000000" w:themeColor="text1"/>
                <w:sz w:val="18"/>
                <w:szCs w:val="18"/>
              </w:rPr>
            </w:pPr>
          </w:p>
        </w:tc>
        <w:tc>
          <w:tcPr>
            <w:tcW w:w="1226" w:type="dxa"/>
            <w:vMerge w:val="continue"/>
            <w:vAlign w:val="center"/>
          </w:tcPr>
          <w:p w14:paraId="3E3AE857">
            <w:pPr>
              <w:jc w:val="center"/>
              <w:rPr>
                <w:b/>
                <w:color w:val="000000" w:themeColor="text1"/>
                <w:sz w:val="18"/>
                <w:szCs w:val="18"/>
              </w:rPr>
            </w:pPr>
          </w:p>
        </w:tc>
        <w:tc>
          <w:tcPr>
            <w:tcW w:w="3516" w:type="dxa"/>
          </w:tcPr>
          <w:p w14:paraId="578D3EF8">
            <w:pPr>
              <w:jc w:val="left"/>
              <w:rPr>
                <w:bCs/>
                <w:sz w:val="18"/>
                <w:szCs w:val="18"/>
              </w:rPr>
            </w:pPr>
            <w:r>
              <w:rPr>
                <w:rFonts w:hint="eastAsia"/>
                <w:bCs/>
                <w:sz w:val="18"/>
                <w:szCs w:val="18"/>
              </w:rPr>
              <w:t>儿童游戏研究</w:t>
            </w:r>
          </w:p>
        </w:tc>
        <w:tc>
          <w:tcPr>
            <w:tcW w:w="1081" w:type="dxa"/>
            <w:vAlign w:val="center"/>
          </w:tcPr>
          <w:p w14:paraId="17B69989">
            <w:pPr>
              <w:jc w:val="center"/>
              <w:rPr>
                <w:color w:val="000000" w:themeColor="text1"/>
                <w:sz w:val="18"/>
                <w:szCs w:val="18"/>
              </w:rPr>
            </w:pPr>
            <w:r>
              <w:rPr>
                <w:color w:val="000000" w:themeColor="text1"/>
                <w:sz w:val="18"/>
                <w:szCs w:val="18"/>
              </w:rPr>
              <w:t>XS068400</w:t>
            </w:r>
            <w:r>
              <w:rPr>
                <w:rFonts w:hint="eastAsia"/>
                <w:color w:val="000000" w:themeColor="text1"/>
                <w:sz w:val="18"/>
                <w:szCs w:val="18"/>
              </w:rPr>
              <w:t>3</w:t>
            </w:r>
          </w:p>
        </w:tc>
        <w:tc>
          <w:tcPr>
            <w:tcW w:w="709" w:type="dxa"/>
            <w:vAlign w:val="center"/>
          </w:tcPr>
          <w:p w14:paraId="1758AC8F">
            <w:pPr>
              <w:jc w:val="center"/>
              <w:rPr>
                <w:rFonts w:asciiTheme="minorEastAsia" w:hAnsiTheme="minorEastAsia" w:eastAsiaTheme="minorEastAsia"/>
                <w:color w:val="000000" w:themeColor="text1"/>
                <w:sz w:val="18"/>
                <w:szCs w:val="18"/>
              </w:rPr>
            </w:pPr>
            <w:r>
              <w:rPr>
                <w:rFonts w:hint="eastAsia" w:asciiTheme="minorEastAsia" w:hAnsiTheme="minorEastAsia" w:eastAsiaTheme="minorEastAsia"/>
                <w:color w:val="000000" w:themeColor="text1"/>
                <w:sz w:val="18"/>
                <w:szCs w:val="18"/>
              </w:rPr>
              <w:t>2</w:t>
            </w:r>
          </w:p>
        </w:tc>
        <w:tc>
          <w:tcPr>
            <w:tcW w:w="817" w:type="dxa"/>
            <w:vAlign w:val="center"/>
          </w:tcPr>
          <w:p w14:paraId="2983D1EA">
            <w:pPr>
              <w:jc w:val="center"/>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1</w:t>
            </w:r>
          </w:p>
        </w:tc>
        <w:tc>
          <w:tcPr>
            <w:tcW w:w="937" w:type="dxa"/>
            <w:vAlign w:val="center"/>
          </w:tcPr>
          <w:p w14:paraId="7E0D1A1D">
            <w:pPr>
              <w:jc w:val="center"/>
              <w:rPr>
                <w:color w:val="000000" w:themeColor="text1"/>
                <w:sz w:val="18"/>
                <w:szCs w:val="18"/>
              </w:rPr>
            </w:pPr>
            <w:r>
              <w:rPr>
                <w:color w:val="000000" w:themeColor="text1"/>
                <w:sz w:val="18"/>
                <w:szCs w:val="18"/>
              </w:rPr>
              <w:t>考查</w:t>
            </w:r>
          </w:p>
        </w:tc>
      </w:tr>
      <w:tr w14:paraId="08830E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4A7F391B">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21A525AC">
            <w:pPr>
              <w:jc w:val="center"/>
              <w:rPr>
                <w:b/>
                <w:color w:val="000000" w:themeColor="text1"/>
                <w:sz w:val="18"/>
                <w:szCs w:val="18"/>
              </w:rPr>
            </w:pPr>
            <w:r>
              <w:rPr>
                <w:b/>
                <w:color w:val="000000" w:themeColor="text1"/>
                <w:sz w:val="18"/>
                <w:szCs w:val="18"/>
              </w:rPr>
              <w:t>公共通识课</w:t>
            </w:r>
          </w:p>
          <w:p w14:paraId="647E4313">
            <w:pPr>
              <w:jc w:val="center"/>
              <w:rPr>
                <w:b/>
                <w:color w:val="000000" w:themeColor="text1"/>
                <w:sz w:val="18"/>
                <w:szCs w:val="18"/>
              </w:rPr>
            </w:pPr>
            <w:r>
              <w:rPr>
                <w:b/>
                <w:color w:val="000000" w:themeColor="text1"/>
                <w:sz w:val="18"/>
                <w:szCs w:val="18"/>
              </w:rPr>
              <w:t>（2学分）</w:t>
            </w:r>
          </w:p>
        </w:tc>
        <w:tc>
          <w:tcPr>
            <w:tcW w:w="3516" w:type="dxa"/>
            <w:vAlign w:val="center"/>
          </w:tcPr>
          <w:p w14:paraId="52398A1C">
            <w:pPr>
              <w:jc w:val="left"/>
              <w:rPr>
                <w:bCs/>
                <w:sz w:val="18"/>
                <w:szCs w:val="18"/>
              </w:rPr>
            </w:pPr>
            <w:r>
              <w:rPr>
                <w:rFonts w:hint="eastAsia"/>
                <w:bCs/>
                <w:sz w:val="18"/>
                <w:szCs w:val="18"/>
              </w:rPr>
              <w:t>《习近平谈治国理政》研读</w:t>
            </w:r>
          </w:p>
        </w:tc>
        <w:tc>
          <w:tcPr>
            <w:tcW w:w="1081" w:type="dxa"/>
            <w:vAlign w:val="center"/>
          </w:tcPr>
          <w:p w14:paraId="41FBFEE3">
            <w:pPr>
              <w:jc w:val="center"/>
              <w:rPr>
                <w:rFonts w:asciiTheme="minorEastAsia" w:hAnsiTheme="minorEastAsia" w:eastAsiaTheme="minorEastAsia"/>
                <w:color w:val="000000" w:themeColor="text1"/>
                <w:sz w:val="18"/>
                <w:szCs w:val="18"/>
              </w:rPr>
            </w:pPr>
            <w:r>
              <w:rPr>
                <w:color w:val="000000" w:themeColor="text1"/>
                <w:sz w:val="18"/>
                <w:szCs w:val="18"/>
              </w:rPr>
              <w:t>TT0000101</w:t>
            </w:r>
          </w:p>
        </w:tc>
        <w:tc>
          <w:tcPr>
            <w:tcW w:w="709" w:type="dxa"/>
            <w:vAlign w:val="center"/>
          </w:tcPr>
          <w:p w14:paraId="39F2589A">
            <w:pPr>
              <w:jc w:val="center"/>
              <w:rPr>
                <w:color w:val="000000" w:themeColor="text1"/>
                <w:sz w:val="18"/>
                <w:szCs w:val="18"/>
              </w:rPr>
            </w:pPr>
            <w:r>
              <w:rPr>
                <w:color w:val="000000" w:themeColor="text1"/>
                <w:sz w:val="18"/>
                <w:szCs w:val="18"/>
              </w:rPr>
              <w:t>1</w:t>
            </w:r>
          </w:p>
        </w:tc>
        <w:tc>
          <w:tcPr>
            <w:tcW w:w="817" w:type="dxa"/>
            <w:vAlign w:val="center"/>
          </w:tcPr>
          <w:p w14:paraId="7F7E83DD">
            <w:pPr>
              <w:jc w:val="center"/>
              <w:rPr>
                <w:color w:val="000000" w:themeColor="text1"/>
                <w:sz w:val="18"/>
                <w:szCs w:val="18"/>
              </w:rPr>
            </w:pPr>
            <w:r>
              <w:rPr>
                <w:color w:val="000000" w:themeColor="text1"/>
                <w:sz w:val="18"/>
                <w:szCs w:val="18"/>
              </w:rPr>
              <w:t>2</w:t>
            </w:r>
          </w:p>
        </w:tc>
        <w:tc>
          <w:tcPr>
            <w:tcW w:w="937" w:type="dxa"/>
            <w:vAlign w:val="center"/>
          </w:tcPr>
          <w:p w14:paraId="36FEE199">
            <w:pPr>
              <w:jc w:val="center"/>
              <w:rPr>
                <w:color w:val="000000" w:themeColor="text1"/>
                <w:sz w:val="18"/>
                <w:szCs w:val="18"/>
              </w:rPr>
            </w:pPr>
            <w:r>
              <w:rPr>
                <w:color w:val="000000" w:themeColor="text1"/>
                <w:sz w:val="18"/>
                <w:szCs w:val="18"/>
              </w:rPr>
              <w:t>考查</w:t>
            </w:r>
          </w:p>
        </w:tc>
      </w:tr>
      <w:tr w14:paraId="6F2D5A5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40DE3DAA">
            <w:pPr>
              <w:jc w:val="center"/>
              <w:rPr>
                <w:b/>
                <w:color w:val="000000" w:themeColor="text1"/>
                <w:sz w:val="18"/>
                <w:szCs w:val="18"/>
              </w:rPr>
            </w:pPr>
          </w:p>
        </w:tc>
        <w:tc>
          <w:tcPr>
            <w:tcW w:w="1226" w:type="dxa"/>
            <w:vMerge w:val="continue"/>
            <w:vAlign w:val="center"/>
          </w:tcPr>
          <w:p w14:paraId="752FC063">
            <w:pPr>
              <w:jc w:val="center"/>
              <w:rPr>
                <w:b/>
                <w:color w:val="000000" w:themeColor="text1"/>
                <w:sz w:val="18"/>
                <w:szCs w:val="18"/>
              </w:rPr>
            </w:pPr>
          </w:p>
        </w:tc>
        <w:tc>
          <w:tcPr>
            <w:tcW w:w="3516" w:type="dxa"/>
            <w:vAlign w:val="center"/>
          </w:tcPr>
          <w:p w14:paraId="694CA6A6">
            <w:pPr>
              <w:jc w:val="left"/>
              <w:rPr>
                <w:bCs/>
                <w:sz w:val="18"/>
                <w:szCs w:val="18"/>
              </w:rPr>
            </w:pPr>
            <w:r>
              <w:rPr>
                <w:rFonts w:hint="eastAsia"/>
                <w:bCs/>
                <w:sz w:val="18"/>
                <w:szCs w:val="18"/>
              </w:rPr>
              <w:t>马克思主义与社会科学方法论</w:t>
            </w:r>
          </w:p>
        </w:tc>
        <w:tc>
          <w:tcPr>
            <w:tcW w:w="1081" w:type="dxa"/>
            <w:vAlign w:val="center"/>
          </w:tcPr>
          <w:p w14:paraId="66B5B3A4">
            <w:pPr>
              <w:jc w:val="center"/>
              <w:rPr>
                <w:color w:val="000000" w:themeColor="text1"/>
                <w:sz w:val="18"/>
                <w:szCs w:val="18"/>
              </w:rPr>
            </w:pPr>
            <w:r>
              <w:rPr>
                <w:color w:val="000000" w:themeColor="text1"/>
                <w:sz w:val="18"/>
                <w:szCs w:val="18"/>
              </w:rPr>
              <w:t>TS0000101</w:t>
            </w:r>
          </w:p>
        </w:tc>
        <w:tc>
          <w:tcPr>
            <w:tcW w:w="709" w:type="dxa"/>
            <w:vAlign w:val="center"/>
          </w:tcPr>
          <w:p w14:paraId="7012DF82">
            <w:pPr>
              <w:jc w:val="center"/>
              <w:rPr>
                <w:color w:val="000000" w:themeColor="text1"/>
                <w:sz w:val="18"/>
                <w:szCs w:val="18"/>
              </w:rPr>
            </w:pPr>
            <w:r>
              <w:rPr>
                <w:color w:val="000000" w:themeColor="text1"/>
                <w:sz w:val="18"/>
                <w:szCs w:val="18"/>
              </w:rPr>
              <w:t>1</w:t>
            </w:r>
          </w:p>
        </w:tc>
        <w:tc>
          <w:tcPr>
            <w:tcW w:w="817" w:type="dxa"/>
            <w:vAlign w:val="center"/>
          </w:tcPr>
          <w:p w14:paraId="43420DB1">
            <w:pPr>
              <w:jc w:val="center"/>
              <w:rPr>
                <w:color w:val="000000" w:themeColor="text1"/>
                <w:sz w:val="18"/>
                <w:szCs w:val="18"/>
              </w:rPr>
            </w:pPr>
            <w:r>
              <w:rPr>
                <w:color w:val="000000" w:themeColor="text1"/>
                <w:sz w:val="18"/>
                <w:szCs w:val="18"/>
              </w:rPr>
              <w:t>2</w:t>
            </w:r>
          </w:p>
        </w:tc>
        <w:tc>
          <w:tcPr>
            <w:tcW w:w="937" w:type="dxa"/>
            <w:vAlign w:val="center"/>
          </w:tcPr>
          <w:p w14:paraId="566BCB5F">
            <w:pPr>
              <w:jc w:val="center"/>
              <w:rPr>
                <w:color w:val="000000" w:themeColor="text1"/>
                <w:sz w:val="18"/>
                <w:szCs w:val="18"/>
              </w:rPr>
            </w:pPr>
            <w:r>
              <w:rPr>
                <w:color w:val="000000" w:themeColor="text1"/>
                <w:sz w:val="18"/>
                <w:szCs w:val="18"/>
              </w:rPr>
              <w:t>考查</w:t>
            </w:r>
          </w:p>
        </w:tc>
      </w:tr>
      <w:tr w14:paraId="779AAB7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7526998">
            <w:pPr>
              <w:rPr>
                <w:b/>
                <w:color w:val="000000" w:themeColor="text1"/>
                <w:sz w:val="18"/>
                <w:szCs w:val="18"/>
              </w:rPr>
            </w:pPr>
            <w:bookmarkStart w:id="5" w:name="_Hlk195465383"/>
          </w:p>
        </w:tc>
        <w:tc>
          <w:tcPr>
            <w:tcW w:w="1226" w:type="dxa"/>
            <w:vMerge w:val="restart"/>
            <w:vAlign w:val="center"/>
          </w:tcPr>
          <w:p w14:paraId="084EFB5E">
            <w:pPr>
              <w:jc w:val="center"/>
              <w:rPr>
                <w:b/>
                <w:bCs/>
                <w:color w:val="000000" w:themeColor="text1"/>
                <w:sz w:val="18"/>
                <w:szCs w:val="18"/>
              </w:rPr>
            </w:pPr>
            <w:r>
              <w:rPr>
                <w:rFonts w:hint="eastAsia"/>
                <w:b/>
                <w:bCs/>
                <w:color w:val="000000" w:themeColor="text1"/>
                <w:sz w:val="18"/>
                <w:szCs w:val="18"/>
              </w:rPr>
              <w:t>学前教育基本理论方向</w:t>
            </w:r>
          </w:p>
          <w:p w14:paraId="0719DAF3">
            <w:pPr>
              <w:jc w:val="center"/>
              <w:rPr>
                <w:b/>
                <w:bCs/>
                <w:color w:val="000000" w:themeColor="text1"/>
                <w:sz w:val="18"/>
                <w:szCs w:val="18"/>
              </w:rPr>
            </w:pPr>
            <w:r>
              <w:rPr>
                <w:rFonts w:hint="eastAsia"/>
                <w:b/>
                <w:bCs/>
                <w:color w:val="000000" w:themeColor="text1"/>
                <w:sz w:val="18"/>
                <w:szCs w:val="18"/>
              </w:rPr>
              <w:t>选修课</w:t>
            </w:r>
          </w:p>
        </w:tc>
        <w:tc>
          <w:tcPr>
            <w:tcW w:w="3516" w:type="dxa"/>
            <w:vAlign w:val="center"/>
          </w:tcPr>
          <w:p w14:paraId="51928204">
            <w:pPr>
              <w:jc w:val="left"/>
              <w:rPr>
                <w:bCs/>
                <w:sz w:val="18"/>
                <w:szCs w:val="18"/>
              </w:rPr>
            </w:pPr>
            <w:r>
              <w:rPr>
                <w:rFonts w:hint="eastAsia"/>
                <w:bCs/>
                <w:sz w:val="18"/>
                <w:szCs w:val="18"/>
              </w:rPr>
              <w:t>学前儿童心理发展与行为指导</w:t>
            </w:r>
          </w:p>
        </w:tc>
        <w:tc>
          <w:tcPr>
            <w:tcW w:w="1081" w:type="dxa"/>
            <w:vAlign w:val="center"/>
          </w:tcPr>
          <w:p w14:paraId="6A956506">
            <w:pPr>
              <w:jc w:val="center"/>
              <w:rPr>
                <w:color w:val="000000" w:themeColor="text1"/>
                <w:sz w:val="18"/>
                <w:szCs w:val="18"/>
              </w:rPr>
            </w:pPr>
            <w:bookmarkStart w:id="6" w:name="OLE_LINK12"/>
            <w:bookmarkStart w:id="7" w:name="OLE_LINK13"/>
            <w:r>
              <w:rPr>
                <w:color w:val="000000" w:themeColor="text1"/>
                <w:sz w:val="18"/>
                <w:szCs w:val="18"/>
              </w:rPr>
              <w:t>XS0684</w:t>
            </w:r>
            <w:bookmarkEnd w:id="6"/>
            <w:bookmarkEnd w:id="7"/>
            <w:r>
              <w:rPr>
                <w:rFonts w:hint="eastAsia"/>
                <w:color w:val="000000" w:themeColor="text1"/>
                <w:sz w:val="18"/>
                <w:szCs w:val="18"/>
              </w:rPr>
              <w:t>201</w:t>
            </w:r>
          </w:p>
        </w:tc>
        <w:tc>
          <w:tcPr>
            <w:tcW w:w="709" w:type="dxa"/>
            <w:vAlign w:val="center"/>
          </w:tcPr>
          <w:p w14:paraId="762A8CFB">
            <w:pPr>
              <w:jc w:val="cente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w:t>
            </w:r>
          </w:p>
        </w:tc>
        <w:tc>
          <w:tcPr>
            <w:tcW w:w="817" w:type="dxa"/>
            <w:vAlign w:val="center"/>
          </w:tcPr>
          <w:p w14:paraId="64B11C4C">
            <w:pPr>
              <w:jc w:val="cente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w:t>
            </w:r>
          </w:p>
        </w:tc>
        <w:tc>
          <w:tcPr>
            <w:tcW w:w="937" w:type="dxa"/>
            <w:vMerge w:val="restart"/>
            <w:vAlign w:val="center"/>
          </w:tcPr>
          <w:p w14:paraId="19BF6804">
            <w:pPr>
              <w:adjustRightInd w:val="0"/>
              <w:snapToGrid w:val="0"/>
              <w:jc w:val="center"/>
              <w:rPr>
                <w:color w:val="000000" w:themeColor="text1"/>
                <w:sz w:val="18"/>
                <w:szCs w:val="18"/>
              </w:rPr>
            </w:pPr>
            <w:r>
              <w:rPr>
                <w:color w:val="000000" w:themeColor="text1"/>
                <w:sz w:val="18"/>
                <w:szCs w:val="18"/>
              </w:rPr>
              <w:t>本方向研究生至少选修</w:t>
            </w:r>
          </w:p>
          <w:p w14:paraId="10948F13">
            <w:pPr>
              <w:adjustRightInd w:val="0"/>
              <w:snapToGrid w:val="0"/>
              <w:jc w:val="center"/>
              <w:rPr>
                <w:color w:val="000000" w:themeColor="text1"/>
                <w:sz w:val="18"/>
                <w:szCs w:val="18"/>
              </w:rPr>
            </w:pPr>
            <w:r>
              <w:rPr>
                <w:rFonts w:hint="eastAsia"/>
                <w:color w:val="000000" w:themeColor="text1"/>
                <w:sz w:val="18"/>
                <w:szCs w:val="18"/>
              </w:rPr>
              <w:t>8</w:t>
            </w:r>
            <w:r>
              <w:rPr>
                <w:color w:val="000000" w:themeColor="text1"/>
                <w:sz w:val="18"/>
                <w:szCs w:val="18"/>
              </w:rPr>
              <w:t>学分</w:t>
            </w:r>
          </w:p>
        </w:tc>
      </w:tr>
      <w:tr w14:paraId="5AAA040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6081B44">
            <w:pPr>
              <w:rPr>
                <w:b/>
                <w:color w:val="000000" w:themeColor="text1"/>
                <w:sz w:val="18"/>
                <w:szCs w:val="18"/>
              </w:rPr>
            </w:pPr>
          </w:p>
        </w:tc>
        <w:tc>
          <w:tcPr>
            <w:tcW w:w="1226" w:type="dxa"/>
            <w:vMerge w:val="continue"/>
            <w:vAlign w:val="center"/>
          </w:tcPr>
          <w:p w14:paraId="46708184">
            <w:pPr>
              <w:jc w:val="center"/>
              <w:rPr>
                <w:b/>
                <w:bCs/>
                <w:color w:val="000000" w:themeColor="text1"/>
                <w:sz w:val="18"/>
                <w:szCs w:val="18"/>
              </w:rPr>
            </w:pPr>
          </w:p>
        </w:tc>
        <w:tc>
          <w:tcPr>
            <w:tcW w:w="3516" w:type="dxa"/>
            <w:vAlign w:val="center"/>
          </w:tcPr>
          <w:p w14:paraId="6A3B2D43">
            <w:pPr>
              <w:jc w:val="left"/>
              <w:rPr>
                <w:bCs/>
                <w:sz w:val="18"/>
                <w:szCs w:val="18"/>
              </w:rPr>
            </w:pPr>
            <w:r>
              <w:rPr>
                <w:rFonts w:hint="eastAsia"/>
                <w:bCs/>
                <w:sz w:val="18"/>
                <w:szCs w:val="18"/>
              </w:rPr>
              <w:t>教育符号学</w:t>
            </w:r>
          </w:p>
        </w:tc>
        <w:tc>
          <w:tcPr>
            <w:tcW w:w="1081" w:type="dxa"/>
            <w:vAlign w:val="center"/>
          </w:tcPr>
          <w:p w14:paraId="339C22CB">
            <w:pPr>
              <w:jc w:val="center"/>
              <w:rPr>
                <w:color w:val="000000" w:themeColor="text1"/>
                <w:sz w:val="18"/>
                <w:szCs w:val="18"/>
              </w:rPr>
            </w:pPr>
            <w:r>
              <w:rPr>
                <w:color w:val="000000" w:themeColor="text1"/>
                <w:sz w:val="18"/>
                <w:szCs w:val="18"/>
              </w:rPr>
              <w:t>XS0684</w:t>
            </w:r>
            <w:r>
              <w:rPr>
                <w:rFonts w:hint="eastAsia"/>
                <w:color w:val="000000" w:themeColor="text1"/>
                <w:sz w:val="18"/>
                <w:szCs w:val="18"/>
              </w:rPr>
              <w:t>202</w:t>
            </w:r>
          </w:p>
        </w:tc>
        <w:tc>
          <w:tcPr>
            <w:tcW w:w="709" w:type="dxa"/>
            <w:vAlign w:val="center"/>
          </w:tcPr>
          <w:p w14:paraId="78D06E76">
            <w:pPr>
              <w:jc w:val="cente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w:t>
            </w:r>
          </w:p>
        </w:tc>
        <w:tc>
          <w:tcPr>
            <w:tcW w:w="817" w:type="dxa"/>
            <w:vAlign w:val="center"/>
          </w:tcPr>
          <w:p w14:paraId="4CFF3D0C">
            <w:pPr>
              <w:jc w:val="cente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w:t>
            </w:r>
          </w:p>
        </w:tc>
        <w:tc>
          <w:tcPr>
            <w:tcW w:w="937" w:type="dxa"/>
            <w:vMerge w:val="continue"/>
            <w:tcBorders/>
            <w:vAlign w:val="center"/>
          </w:tcPr>
          <w:p w14:paraId="636FBDFE">
            <w:pPr>
              <w:adjustRightInd w:val="0"/>
              <w:snapToGrid w:val="0"/>
              <w:jc w:val="center"/>
              <w:rPr>
                <w:color w:val="000000" w:themeColor="text1"/>
                <w:sz w:val="18"/>
                <w:szCs w:val="18"/>
              </w:rPr>
            </w:pPr>
          </w:p>
        </w:tc>
      </w:tr>
      <w:tr w14:paraId="5BCDCC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EF62E14">
            <w:pPr>
              <w:rPr>
                <w:b/>
                <w:color w:val="000000" w:themeColor="text1"/>
                <w:sz w:val="18"/>
                <w:szCs w:val="18"/>
              </w:rPr>
            </w:pPr>
          </w:p>
        </w:tc>
        <w:tc>
          <w:tcPr>
            <w:tcW w:w="1226" w:type="dxa"/>
            <w:vMerge w:val="continue"/>
            <w:vAlign w:val="center"/>
          </w:tcPr>
          <w:p w14:paraId="75079EC2">
            <w:pPr>
              <w:jc w:val="center"/>
              <w:rPr>
                <w:b/>
                <w:bCs/>
                <w:color w:val="000000" w:themeColor="text1"/>
                <w:sz w:val="18"/>
                <w:szCs w:val="18"/>
              </w:rPr>
            </w:pPr>
          </w:p>
        </w:tc>
        <w:tc>
          <w:tcPr>
            <w:tcW w:w="3516" w:type="dxa"/>
            <w:vAlign w:val="center"/>
          </w:tcPr>
          <w:p w14:paraId="28505D66">
            <w:pPr>
              <w:jc w:val="left"/>
              <w:rPr>
                <w:bCs/>
                <w:sz w:val="18"/>
                <w:szCs w:val="18"/>
              </w:rPr>
            </w:pPr>
            <w:r>
              <w:rPr>
                <w:rFonts w:hint="eastAsia"/>
                <w:bCs/>
                <w:sz w:val="18"/>
                <w:szCs w:val="18"/>
              </w:rPr>
              <w:t>学前教育前沿问题研究</w:t>
            </w:r>
          </w:p>
        </w:tc>
        <w:tc>
          <w:tcPr>
            <w:tcW w:w="1081" w:type="dxa"/>
            <w:vAlign w:val="center"/>
          </w:tcPr>
          <w:p w14:paraId="000E94BB">
            <w:pPr>
              <w:jc w:val="center"/>
              <w:rPr>
                <w:color w:val="000000" w:themeColor="text1"/>
                <w:sz w:val="18"/>
                <w:szCs w:val="18"/>
              </w:rPr>
            </w:pPr>
            <w:r>
              <w:rPr>
                <w:color w:val="000000" w:themeColor="text1"/>
                <w:sz w:val="18"/>
                <w:szCs w:val="18"/>
              </w:rPr>
              <w:t>XS0684</w:t>
            </w:r>
            <w:r>
              <w:rPr>
                <w:rFonts w:hint="eastAsia"/>
                <w:color w:val="000000" w:themeColor="text1"/>
                <w:sz w:val="18"/>
                <w:szCs w:val="18"/>
              </w:rPr>
              <w:t>203</w:t>
            </w:r>
          </w:p>
        </w:tc>
        <w:tc>
          <w:tcPr>
            <w:tcW w:w="709" w:type="dxa"/>
            <w:vAlign w:val="center"/>
          </w:tcPr>
          <w:p w14:paraId="0F7A78F7">
            <w:pPr>
              <w:jc w:val="cente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w:t>
            </w:r>
          </w:p>
        </w:tc>
        <w:tc>
          <w:tcPr>
            <w:tcW w:w="817" w:type="dxa"/>
            <w:vAlign w:val="center"/>
          </w:tcPr>
          <w:p w14:paraId="6C83AF09">
            <w:pPr>
              <w:jc w:val="cente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w:t>
            </w:r>
          </w:p>
        </w:tc>
        <w:tc>
          <w:tcPr>
            <w:tcW w:w="937" w:type="dxa"/>
            <w:vMerge w:val="continue"/>
            <w:tcBorders/>
            <w:vAlign w:val="center"/>
          </w:tcPr>
          <w:p w14:paraId="60FD6C43">
            <w:pPr>
              <w:jc w:val="center"/>
              <w:rPr>
                <w:color w:val="000000" w:themeColor="text1"/>
                <w:sz w:val="18"/>
                <w:szCs w:val="18"/>
              </w:rPr>
            </w:pPr>
          </w:p>
        </w:tc>
      </w:tr>
      <w:bookmarkEnd w:id="5"/>
      <w:tr w14:paraId="12D415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BBD0000">
            <w:pPr>
              <w:rPr>
                <w:b/>
                <w:color w:val="000000" w:themeColor="text1"/>
                <w:sz w:val="18"/>
                <w:szCs w:val="18"/>
              </w:rPr>
            </w:pPr>
            <w:bookmarkStart w:id="8" w:name="_Hlk195465851"/>
          </w:p>
        </w:tc>
        <w:tc>
          <w:tcPr>
            <w:tcW w:w="1226" w:type="dxa"/>
            <w:vMerge w:val="restart"/>
            <w:vAlign w:val="center"/>
          </w:tcPr>
          <w:p w14:paraId="332BECF9">
            <w:pPr>
              <w:jc w:val="center"/>
              <w:rPr>
                <w:b/>
                <w:bCs/>
                <w:color w:val="000000" w:themeColor="text1"/>
                <w:sz w:val="18"/>
                <w:szCs w:val="18"/>
              </w:rPr>
            </w:pPr>
            <w:r>
              <w:rPr>
                <w:rFonts w:hint="eastAsia"/>
                <w:b/>
                <w:bCs/>
                <w:color w:val="000000" w:themeColor="text1"/>
                <w:sz w:val="18"/>
                <w:szCs w:val="18"/>
              </w:rPr>
              <w:t>学前教育比较研究方向</w:t>
            </w:r>
          </w:p>
          <w:p w14:paraId="776D0B0E">
            <w:pPr>
              <w:jc w:val="center"/>
              <w:rPr>
                <w:b/>
                <w:bCs/>
                <w:color w:val="000000" w:themeColor="text1"/>
                <w:sz w:val="18"/>
                <w:szCs w:val="18"/>
              </w:rPr>
            </w:pPr>
            <w:r>
              <w:rPr>
                <w:rFonts w:hint="eastAsia"/>
                <w:b/>
                <w:bCs/>
                <w:color w:val="000000" w:themeColor="text1"/>
                <w:sz w:val="18"/>
                <w:szCs w:val="18"/>
              </w:rPr>
              <w:t>选修课</w:t>
            </w:r>
          </w:p>
          <w:p w14:paraId="1C5BD3F7">
            <w:pPr>
              <w:jc w:val="center"/>
              <w:rPr>
                <w:b/>
                <w:bCs/>
                <w:color w:val="000000" w:themeColor="text1"/>
                <w:sz w:val="18"/>
                <w:szCs w:val="18"/>
              </w:rPr>
            </w:pPr>
          </w:p>
        </w:tc>
        <w:tc>
          <w:tcPr>
            <w:tcW w:w="3516" w:type="dxa"/>
            <w:vAlign w:val="center"/>
          </w:tcPr>
          <w:p w14:paraId="367029F1">
            <w:pPr>
              <w:jc w:val="left"/>
              <w:rPr>
                <w:bCs/>
                <w:sz w:val="18"/>
                <w:szCs w:val="18"/>
              </w:rPr>
            </w:pPr>
            <w:r>
              <w:rPr>
                <w:rFonts w:hint="eastAsia"/>
                <w:bCs/>
                <w:sz w:val="18"/>
                <w:szCs w:val="18"/>
              </w:rPr>
              <w:t>学前比较教育</w:t>
            </w:r>
          </w:p>
        </w:tc>
        <w:tc>
          <w:tcPr>
            <w:tcW w:w="1081" w:type="dxa"/>
            <w:vAlign w:val="center"/>
          </w:tcPr>
          <w:p w14:paraId="2FBC905F">
            <w:pPr>
              <w:jc w:val="center"/>
              <w:rPr>
                <w:color w:val="000000" w:themeColor="text1"/>
                <w:sz w:val="18"/>
                <w:szCs w:val="18"/>
              </w:rPr>
            </w:pPr>
            <w:r>
              <w:rPr>
                <w:color w:val="000000" w:themeColor="text1"/>
                <w:sz w:val="18"/>
                <w:szCs w:val="18"/>
              </w:rPr>
              <w:t>XS0684</w:t>
            </w:r>
            <w:r>
              <w:rPr>
                <w:rFonts w:hint="eastAsia"/>
                <w:color w:val="000000" w:themeColor="text1"/>
                <w:sz w:val="18"/>
                <w:szCs w:val="18"/>
              </w:rPr>
              <w:t>204</w:t>
            </w:r>
          </w:p>
        </w:tc>
        <w:tc>
          <w:tcPr>
            <w:tcW w:w="709" w:type="dxa"/>
            <w:vAlign w:val="center"/>
          </w:tcPr>
          <w:p w14:paraId="6B0679AF">
            <w:pPr>
              <w:jc w:val="center"/>
              <w:rPr>
                <w:rFonts w:asciiTheme="minorEastAsia" w:hAnsiTheme="minorEastAsia" w:eastAsiaTheme="minorEastAsia"/>
                <w:bCs/>
                <w:color w:val="000000" w:themeColor="text1"/>
                <w:sz w:val="18"/>
                <w:szCs w:val="18"/>
              </w:rPr>
            </w:pPr>
            <w:r>
              <w:rPr>
                <w:rFonts w:asciiTheme="minorEastAsia" w:hAnsiTheme="minorEastAsia" w:eastAsiaTheme="minorEastAsia"/>
                <w:bCs/>
                <w:color w:val="000000" w:themeColor="text1"/>
                <w:sz w:val="18"/>
                <w:szCs w:val="18"/>
              </w:rPr>
              <w:t>3</w:t>
            </w:r>
          </w:p>
        </w:tc>
        <w:tc>
          <w:tcPr>
            <w:tcW w:w="817" w:type="dxa"/>
            <w:vAlign w:val="center"/>
          </w:tcPr>
          <w:p w14:paraId="68CFCF9B">
            <w:pPr>
              <w:jc w:val="cente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w:t>
            </w:r>
          </w:p>
        </w:tc>
        <w:tc>
          <w:tcPr>
            <w:tcW w:w="937" w:type="dxa"/>
            <w:vMerge w:val="continue"/>
            <w:tcBorders/>
            <w:vAlign w:val="center"/>
          </w:tcPr>
          <w:p w14:paraId="18E77111">
            <w:pPr>
              <w:adjustRightInd w:val="0"/>
              <w:snapToGrid w:val="0"/>
              <w:jc w:val="center"/>
              <w:rPr>
                <w:color w:val="000000" w:themeColor="text1"/>
                <w:sz w:val="18"/>
                <w:szCs w:val="18"/>
              </w:rPr>
            </w:pPr>
          </w:p>
        </w:tc>
      </w:tr>
      <w:tr w14:paraId="526C6DC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8007E60">
            <w:pPr>
              <w:rPr>
                <w:b/>
                <w:color w:val="000000" w:themeColor="text1"/>
                <w:sz w:val="18"/>
                <w:szCs w:val="18"/>
              </w:rPr>
            </w:pPr>
          </w:p>
        </w:tc>
        <w:tc>
          <w:tcPr>
            <w:tcW w:w="1226" w:type="dxa"/>
            <w:vMerge w:val="continue"/>
            <w:vAlign w:val="center"/>
          </w:tcPr>
          <w:p w14:paraId="1E972398">
            <w:pPr>
              <w:adjustRightInd w:val="0"/>
              <w:snapToGrid w:val="0"/>
              <w:jc w:val="center"/>
              <w:rPr>
                <w:b/>
                <w:color w:val="000000" w:themeColor="text1"/>
                <w:sz w:val="18"/>
                <w:szCs w:val="18"/>
              </w:rPr>
            </w:pPr>
          </w:p>
        </w:tc>
        <w:tc>
          <w:tcPr>
            <w:tcW w:w="3516" w:type="dxa"/>
            <w:vAlign w:val="center"/>
          </w:tcPr>
          <w:p w14:paraId="7357F430">
            <w:pPr>
              <w:jc w:val="left"/>
              <w:rPr>
                <w:bCs/>
                <w:sz w:val="18"/>
                <w:szCs w:val="18"/>
              </w:rPr>
            </w:pPr>
            <w:r>
              <w:rPr>
                <w:rFonts w:hint="eastAsia"/>
                <w:bCs/>
                <w:sz w:val="18"/>
                <w:szCs w:val="18"/>
              </w:rPr>
              <w:t>学前国别教育</w:t>
            </w:r>
          </w:p>
        </w:tc>
        <w:tc>
          <w:tcPr>
            <w:tcW w:w="1081" w:type="dxa"/>
            <w:vAlign w:val="center"/>
          </w:tcPr>
          <w:p w14:paraId="572BD89C">
            <w:pPr>
              <w:jc w:val="center"/>
              <w:rPr>
                <w:color w:val="000000" w:themeColor="text1"/>
                <w:sz w:val="18"/>
                <w:szCs w:val="18"/>
              </w:rPr>
            </w:pPr>
            <w:r>
              <w:rPr>
                <w:color w:val="000000" w:themeColor="text1"/>
                <w:sz w:val="18"/>
                <w:szCs w:val="18"/>
              </w:rPr>
              <w:t>XS0684</w:t>
            </w:r>
            <w:r>
              <w:rPr>
                <w:rFonts w:hint="eastAsia"/>
                <w:color w:val="000000" w:themeColor="text1"/>
                <w:sz w:val="18"/>
                <w:szCs w:val="18"/>
              </w:rPr>
              <w:t>205</w:t>
            </w:r>
          </w:p>
        </w:tc>
        <w:tc>
          <w:tcPr>
            <w:tcW w:w="709" w:type="dxa"/>
            <w:vAlign w:val="center"/>
          </w:tcPr>
          <w:p w14:paraId="54DCE8EC">
            <w:pPr>
              <w:jc w:val="cente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w:t>
            </w:r>
          </w:p>
        </w:tc>
        <w:tc>
          <w:tcPr>
            <w:tcW w:w="817" w:type="dxa"/>
            <w:vAlign w:val="center"/>
          </w:tcPr>
          <w:p w14:paraId="15304D86">
            <w:pPr>
              <w:jc w:val="cente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w:t>
            </w:r>
          </w:p>
        </w:tc>
        <w:tc>
          <w:tcPr>
            <w:tcW w:w="937" w:type="dxa"/>
            <w:vMerge w:val="continue"/>
            <w:tcBorders/>
            <w:vAlign w:val="center"/>
          </w:tcPr>
          <w:p w14:paraId="231B8E41">
            <w:pPr>
              <w:adjustRightInd w:val="0"/>
              <w:snapToGrid w:val="0"/>
              <w:jc w:val="center"/>
              <w:rPr>
                <w:color w:val="000000" w:themeColor="text1"/>
                <w:sz w:val="18"/>
                <w:szCs w:val="18"/>
              </w:rPr>
            </w:pPr>
          </w:p>
        </w:tc>
      </w:tr>
      <w:tr w14:paraId="719713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D91940E">
            <w:pPr>
              <w:rPr>
                <w:b/>
                <w:color w:val="000000" w:themeColor="text1"/>
                <w:sz w:val="18"/>
                <w:szCs w:val="18"/>
              </w:rPr>
            </w:pPr>
          </w:p>
        </w:tc>
        <w:tc>
          <w:tcPr>
            <w:tcW w:w="1226" w:type="dxa"/>
            <w:vMerge w:val="continue"/>
          </w:tcPr>
          <w:p w14:paraId="14C1BFA6">
            <w:pPr>
              <w:jc w:val="center"/>
              <w:rPr>
                <w:b/>
                <w:color w:val="000000" w:themeColor="text1"/>
                <w:sz w:val="18"/>
                <w:szCs w:val="18"/>
              </w:rPr>
            </w:pPr>
          </w:p>
        </w:tc>
        <w:tc>
          <w:tcPr>
            <w:tcW w:w="3516" w:type="dxa"/>
            <w:vAlign w:val="center"/>
          </w:tcPr>
          <w:p w14:paraId="3A902B57">
            <w:pPr>
              <w:jc w:val="left"/>
              <w:rPr>
                <w:bCs/>
                <w:sz w:val="18"/>
                <w:szCs w:val="18"/>
              </w:rPr>
            </w:pPr>
            <w:r>
              <w:rPr>
                <w:rFonts w:hint="eastAsia"/>
                <w:bCs/>
                <w:sz w:val="18"/>
                <w:szCs w:val="18"/>
              </w:rPr>
              <w:t>国际学前教育前沿问题比较研究</w:t>
            </w:r>
          </w:p>
        </w:tc>
        <w:tc>
          <w:tcPr>
            <w:tcW w:w="1081" w:type="dxa"/>
            <w:vAlign w:val="center"/>
          </w:tcPr>
          <w:p w14:paraId="5637D661">
            <w:pPr>
              <w:jc w:val="center"/>
              <w:rPr>
                <w:color w:val="000000" w:themeColor="text1"/>
                <w:sz w:val="18"/>
                <w:szCs w:val="18"/>
              </w:rPr>
            </w:pPr>
            <w:r>
              <w:rPr>
                <w:color w:val="000000" w:themeColor="text1"/>
                <w:sz w:val="18"/>
                <w:szCs w:val="18"/>
              </w:rPr>
              <w:t>XS0684</w:t>
            </w:r>
            <w:r>
              <w:rPr>
                <w:rFonts w:hint="eastAsia"/>
                <w:color w:val="000000" w:themeColor="text1"/>
                <w:sz w:val="18"/>
                <w:szCs w:val="18"/>
              </w:rPr>
              <w:t>206</w:t>
            </w:r>
          </w:p>
        </w:tc>
        <w:tc>
          <w:tcPr>
            <w:tcW w:w="709" w:type="dxa"/>
            <w:vAlign w:val="center"/>
          </w:tcPr>
          <w:p w14:paraId="2B9B55F7">
            <w:pPr>
              <w:jc w:val="cente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w:t>
            </w:r>
          </w:p>
        </w:tc>
        <w:tc>
          <w:tcPr>
            <w:tcW w:w="817" w:type="dxa"/>
            <w:vAlign w:val="center"/>
          </w:tcPr>
          <w:p w14:paraId="1DDB3C0E">
            <w:pPr>
              <w:jc w:val="cente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w:t>
            </w:r>
          </w:p>
        </w:tc>
        <w:tc>
          <w:tcPr>
            <w:tcW w:w="937" w:type="dxa"/>
            <w:vMerge w:val="continue"/>
            <w:tcBorders/>
            <w:vAlign w:val="center"/>
          </w:tcPr>
          <w:p w14:paraId="7A95132B">
            <w:pPr>
              <w:jc w:val="center"/>
              <w:rPr>
                <w:color w:val="000000" w:themeColor="text1"/>
                <w:sz w:val="18"/>
                <w:szCs w:val="18"/>
              </w:rPr>
            </w:pPr>
          </w:p>
        </w:tc>
      </w:tr>
      <w:bookmarkEnd w:id="8"/>
      <w:tr w14:paraId="1FA4E0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90" w:hRule="atLeast"/>
          <w:jc w:val="center"/>
        </w:trPr>
        <w:tc>
          <w:tcPr>
            <w:tcW w:w="571" w:type="dxa"/>
            <w:vMerge w:val="continue"/>
          </w:tcPr>
          <w:p w14:paraId="216072E6">
            <w:pPr>
              <w:rPr>
                <w:b/>
                <w:color w:val="000000" w:themeColor="text1"/>
                <w:sz w:val="18"/>
                <w:szCs w:val="18"/>
              </w:rPr>
            </w:pPr>
          </w:p>
        </w:tc>
        <w:tc>
          <w:tcPr>
            <w:tcW w:w="1226" w:type="dxa"/>
            <w:vMerge w:val="restart"/>
          </w:tcPr>
          <w:p w14:paraId="4B31F165">
            <w:pPr>
              <w:spacing w:line="440" w:lineRule="exact"/>
              <w:rPr>
                <w:b/>
                <w:color w:val="000000" w:themeColor="text1"/>
                <w:sz w:val="18"/>
                <w:szCs w:val="18"/>
              </w:rPr>
            </w:pPr>
            <w:r>
              <w:rPr>
                <w:rFonts w:hint="eastAsia"/>
                <w:b/>
                <w:color w:val="000000" w:themeColor="text1"/>
                <w:sz w:val="18"/>
                <w:szCs w:val="18"/>
              </w:rPr>
              <w:t>学前教育管理理论与实践研究</w:t>
            </w:r>
            <w:r>
              <w:rPr>
                <w:b/>
                <w:color w:val="000000" w:themeColor="text1"/>
                <w:sz w:val="18"/>
                <w:szCs w:val="18"/>
              </w:rPr>
              <w:t>方向选修课</w:t>
            </w:r>
          </w:p>
        </w:tc>
        <w:tc>
          <w:tcPr>
            <w:tcW w:w="3516" w:type="dxa"/>
            <w:vAlign w:val="center"/>
          </w:tcPr>
          <w:p w14:paraId="69FE0557">
            <w:pPr>
              <w:jc w:val="left"/>
              <w:rPr>
                <w:bCs/>
                <w:sz w:val="18"/>
                <w:szCs w:val="18"/>
              </w:rPr>
            </w:pPr>
            <w:r>
              <w:rPr>
                <w:rFonts w:hint="eastAsia"/>
                <w:bCs/>
                <w:sz w:val="18"/>
                <w:szCs w:val="18"/>
              </w:rPr>
              <w:t>学前教育管理研究专题</w:t>
            </w:r>
          </w:p>
        </w:tc>
        <w:tc>
          <w:tcPr>
            <w:tcW w:w="1081" w:type="dxa"/>
            <w:vAlign w:val="center"/>
          </w:tcPr>
          <w:p w14:paraId="59560C58">
            <w:pPr>
              <w:jc w:val="center"/>
              <w:rPr>
                <w:b/>
                <w:bCs/>
                <w:color w:val="000000" w:themeColor="text1"/>
                <w:sz w:val="18"/>
                <w:szCs w:val="18"/>
              </w:rPr>
            </w:pPr>
            <w:r>
              <w:rPr>
                <w:color w:val="000000" w:themeColor="text1"/>
                <w:sz w:val="18"/>
                <w:szCs w:val="18"/>
              </w:rPr>
              <w:t>XS0684</w:t>
            </w:r>
            <w:r>
              <w:rPr>
                <w:rFonts w:hint="eastAsia"/>
                <w:color w:val="000000" w:themeColor="text1"/>
                <w:sz w:val="18"/>
                <w:szCs w:val="18"/>
              </w:rPr>
              <w:t>207</w:t>
            </w:r>
          </w:p>
        </w:tc>
        <w:tc>
          <w:tcPr>
            <w:tcW w:w="709" w:type="dxa"/>
            <w:vAlign w:val="center"/>
          </w:tcPr>
          <w:p w14:paraId="05CD771F">
            <w:pPr>
              <w:jc w:val="center"/>
              <w:rPr>
                <w:rFonts w:asciiTheme="minorEastAsia" w:hAnsiTheme="minorEastAsia" w:eastAsiaTheme="minorEastAsia"/>
                <w:bCs/>
                <w:color w:val="000000" w:themeColor="text1"/>
                <w:sz w:val="18"/>
                <w:szCs w:val="18"/>
              </w:rPr>
            </w:pPr>
            <w:r>
              <w:rPr>
                <w:rFonts w:asciiTheme="minorEastAsia" w:hAnsiTheme="minorEastAsia" w:eastAsiaTheme="minorEastAsia"/>
                <w:bCs/>
                <w:color w:val="000000" w:themeColor="text1"/>
                <w:sz w:val="18"/>
                <w:szCs w:val="18"/>
              </w:rPr>
              <w:t>3</w:t>
            </w:r>
          </w:p>
        </w:tc>
        <w:tc>
          <w:tcPr>
            <w:tcW w:w="817" w:type="dxa"/>
            <w:vAlign w:val="center"/>
          </w:tcPr>
          <w:p w14:paraId="4C50AE2A">
            <w:pPr>
              <w:jc w:val="cente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w:t>
            </w:r>
          </w:p>
        </w:tc>
        <w:tc>
          <w:tcPr>
            <w:tcW w:w="937" w:type="dxa"/>
            <w:vMerge w:val="continue"/>
            <w:tcBorders/>
            <w:vAlign w:val="center"/>
          </w:tcPr>
          <w:p w14:paraId="452E6EF4">
            <w:pPr>
              <w:jc w:val="center"/>
              <w:rPr>
                <w:color w:val="000000" w:themeColor="text1"/>
                <w:sz w:val="18"/>
                <w:szCs w:val="18"/>
              </w:rPr>
            </w:pPr>
          </w:p>
        </w:tc>
      </w:tr>
      <w:tr w14:paraId="109D75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79" w:hRule="atLeast"/>
          <w:jc w:val="center"/>
        </w:trPr>
        <w:tc>
          <w:tcPr>
            <w:tcW w:w="571" w:type="dxa"/>
            <w:vMerge w:val="continue"/>
          </w:tcPr>
          <w:p w14:paraId="29188ED1">
            <w:pPr>
              <w:rPr>
                <w:b/>
                <w:color w:val="000000" w:themeColor="text1"/>
                <w:sz w:val="18"/>
                <w:szCs w:val="18"/>
              </w:rPr>
            </w:pPr>
          </w:p>
        </w:tc>
        <w:tc>
          <w:tcPr>
            <w:tcW w:w="1226" w:type="dxa"/>
            <w:vMerge w:val="continue"/>
          </w:tcPr>
          <w:p w14:paraId="38FA8E1F">
            <w:pPr>
              <w:jc w:val="center"/>
              <w:rPr>
                <w:b/>
                <w:color w:val="000000" w:themeColor="text1"/>
                <w:sz w:val="18"/>
                <w:szCs w:val="18"/>
              </w:rPr>
            </w:pPr>
          </w:p>
        </w:tc>
        <w:tc>
          <w:tcPr>
            <w:tcW w:w="3516" w:type="dxa"/>
            <w:vAlign w:val="center"/>
          </w:tcPr>
          <w:p w14:paraId="24350B09">
            <w:pPr>
              <w:jc w:val="left"/>
              <w:rPr>
                <w:bCs/>
                <w:sz w:val="18"/>
                <w:szCs w:val="18"/>
              </w:rPr>
            </w:pPr>
            <w:r>
              <w:rPr>
                <w:rFonts w:hint="eastAsia"/>
                <w:bCs/>
                <w:sz w:val="18"/>
                <w:szCs w:val="18"/>
              </w:rPr>
              <w:t>学前教育管理与政策分析</w:t>
            </w:r>
          </w:p>
        </w:tc>
        <w:tc>
          <w:tcPr>
            <w:tcW w:w="1081" w:type="dxa"/>
            <w:vAlign w:val="center"/>
          </w:tcPr>
          <w:p w14:paraId="07AC4D0B">
            <w:pPr>
              <w:jc w:val="center"/>
              <w:rPr>
                <w:b/>
                <w:bCs/>
                <w:color w:val="0000FF"/>
                <w:sz w:val="18"/>
                <w:szCs w:val="18"/>
              </w:rPr>
            </w:pPr>
            <w:r>
              <w:rPr>
                <w:color w:val="000000" w:themeColor="text1"/>
                <w:sz w:val="18"/>
                <w:szCs w:val="18"/>
              </w:rPr>
              <w:t>XS0684</w:t>
            </w:r>
            <w:r>
              <w:rPr>
                <w:rFonts w:hint="eastAsia"/>
                <w:color w:val="000000" w:themeColor="text1"/>
                <w:sz w:val="18"/>
                <w:szCs w:val="18"/>
              </w:rPr>
              <w:t>208</w:t>
            </w:r>
          </w:p>
        </w:tc>
        <w:tc>
          <w:tcPr>
            <w:tcW w:w="709" w:type="dxa"/>
            <w:vAlign w:val="center"/>
          </w:tcPr>
          <w:p w14:paraId="042013BD">
            <w:pPr>
              <w:jc w:val="center"/>
              <w:rPr>
                <w:rFonts w:asciiTheme="minorEastAsia" w:hAnsiTheme="minorEastAsia" w:eastAsiaTheme="minorEastAsia"/>
                <w:bCs/>
                <w:color w:val="000000" w:themeColor="text1"/>
                <w:sz w:val="18"/>
                <w:szCs w:val="18"/>
              </w:rPr>
            </w:pPr>
            <w:r>
              <w:rPr>
                <w:rFonts w:asciiTheme="minorEastAsia" w:hAnsiTheme="minorEastAsia" w:eastAsiaTheme="minorEastAsia"/>
                <w:bCs/>
                <w:color w:val="000000" w:themeColor="text1"/>
                <w:sz w:val="18"/>
                <w:szCs w:val="18"/>
              </w:rPr>
              <w:t>3</w:t>
            </w:r>
          </w:p>
        </w:tc>
        <w:tc>
          <w:tcPr>
            <w:tcW w:w="817" w:type="dxa"/>
            <w:vAlign w:val="center"/>
          </w:tcPr>
          <w:p w14:paraId="2B66ABBF">
            <w:pPr>
              <w:jc w:val="cente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w:t>
            </w:r>
          </w:p>
        </w:tc>
        <w:tc>
          <w:tcPr>
            <w:tcW w:w="937" w:type="dxa"/>
            <w:vMerge w:val="continue"/>
            <w:tcBorders/>
            <w:vAlign w:val="center"/>
          </w:tcPr>
          <w:p w14:paraId="339EDDAE">
            <w:pPr>
              <w:jc w:val="center"/>
              <w:rPr>
                <w:color w:val="000000" w:themeColor="text1"/>
                <w:sz w:val="18"/>
                <w:szCs w:val="18"/>
              </w:rPr>
            </w:pPr>
          </w:p>
        </w:tc>
      </w:tr>
      <w:tr w14:paraId="42C381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A025C2D">
            <w:pPr>
              <w:rPr>
                <w:b/>
                <w:color w:val="000000" w:themeColor="text1"/>
                <w:sz w:val="18"/>
                <w:szCs w:val="18"/>
              </w:rPr>
            </w:pPr>
          </w:p>
        </w:tc>
        <w:tc>
          <w:tcPr>
            <w:tcW w:w="1226" w:type="dxa"/>
            <w:vMerge w:val="continue"/>
          </w:tcPr>
          <w:p w14:paraId="158923EB">
            <w:pPr>
              <w:jc w:val="center"/>
              <w:rPr>
                <w:b/>
                <w:color w:val="000000" w:themeColor="text1"/>
                <w:sz w:val="18"/>
                <w:szCs w:val="18"/>
              </w:rPr>
            </w:pPr>
          </w:p>
        </w:tc>
        <w:tc>
          <w:tcPr>
            <w:tcW w:w="3516" w:type="dxa"/>
            <w:vAlign w:val="center"/>
          </w:tcPr>
          <w:p w14:paraId="5EE778BC">
            <w:pPr>
              <w:jc w:val="left"/>
              <w:rPr>
                <w:bCs/>
                <w:sz w:val="18"/>
                <w:szCs w:val="18"/>
              </w:rPr>
            </w:pPr>
            <w:r>
              <w:rPr>
                <w:rFonts w:hint="eastAsia"/>
                <w:bCs/>
                <w:sz w:val="18"/>
                <w:szCs w:val="18"/>
              </w:rPr>
              <w:t>幼儿园班级管理</w:t>
            </w:r>
          </w:p>
        </w:tc>
        <w:tc>
          <w:tcPr>
            <w:tcW w:w="1081" w:type="dxa"/>
            <w:vAlign w:val="center"/>
          </w:tcPr>
          <w:p w14:paraId="50D4D464">
            <w:pPr>
              <w:jc w:val="center"/>
              <w:rPr>
                <w:b/>
                <w:bCs/>
                <w:color w:val="0000FF"/>
                <w:sz w:val="18"/>
                <w:szCs w:val="18"/>
              </w:rPr>
            </w:pPr>
            <w:r>
              <w:rPr>
                <w:color w:val="000000" w:themeColor="text1"/>
                <w:sz w:val="18"/>
                <w:szCs w:val="18"/>
              </w:rPr>
              <w:t>XS0684</w:t>
            </w:r>
            <w:r>
              <w:rPr>
                <w:rFonts w:hint="eastAsia"/>
                <w:color w:val="000000" w:themeColor="text1"/>
                <w:sz w:val="18"/>
                <w:szCs w:val="18"/>
              </w:rPr>
              <w:t>209</w:t>
            </w:r>
          </w:p>
        </w:tc>
        <w:tc>
          <w:tcPr>
            <w:tcW w:w="709" w:type="dxa"/>
            <w:vAlign w:val="center"/>
          </w:tcPr>
          <w:p w14:paraId="6F0099B4">
            <w:pPr>
              <w:jc w:val="center"/>
              <w:rPr>
                <w:rFonts w:asciiTheme="minorEastAsia" w:hAnsiTheme="minorEastAsia" w:eastAsiaTheme="minorEastAsia"/>
                <w:bCs/>
                <w:color w:val="000000" w:themeColor="text1"/>
                <w:sz w:val="18"/>
                <w:szCs w:val="18"/>
              </w:rPr>
            </w:pPr>
            <w:r>
              <w:rPr>
                <w:rFonts w:asciiTheme="minorEastAsia" w:hAnsiTheme="minorEastAsia" w:eastAsiaTheme="minorEastAsia"/>
                <w:bCs/>
                <w:color w:val="000000" w:themeColor="text1"/>
                <w:sz w:val="18"/>
                <w:szCs w:val="18"/>
              </w:rPr>
              <w:t>2</w:t>
            </w:r>
          </w:p>
        </w:tc>
        <w:tc>
          <w:tcPr>
            <w:tcW w:w="817" w:type="dxa"/>
            <w:vAlign w:val="center"/>
          </w:tcPr>
          <w:p w14:paraId="347DA5B2">
            <w:pPr>
              <w:jc w:val="center"/>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w:t>
            </w:r>
          </w:p>
        </w:tc>
        <w:tc>
          <w:tcPr>
            <w:tcW w:w="937" w:type="dxa"/>
            <w:vMerge w:val="continue"/>
            <w:tcBorders/>
            <w:vAlign w:val="center"/>
          </w:tcPr>
          <w:p w14:paraId="13D678AC">
            <w:pPr>
              <w:jc w:val="center"/>
              <w:rPr>
                <w:color w:val="000000" w:themeColor="text1"/>
                <w:sz w:val="18"/>
                <w:szCs w:val="18"/>
              </w:rPr>
            </w:pPr>
          </w:p>
        </w:tc>
      </w:tr>
      <w:tr w14:paraId="5034862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6E74D42B">
            <w:pPr>
              <w:jc w:val="center"/>
              <w:rPr>
                <w:b/>
                <w:color w:val="000000" w:themeColor="text1"/>
                <w:sz w:val="18"/>
                <w:szCs w:val="18"/>
              </w:rPr>
            </w:pPr>
            <w:r>
              <w:rPr>
                <w:b/>
                <w:color w:val="000000" w:themeColor="text1"/>
                <w:sz w:val="18"/>
                <w:szCs w:val="18"/>
              </w:rPr>
              <w:t>必修环节</w:t>
            </w:r>
          </w:p>
          <w:p w14:paraId="49F41FBA">
            <w:pPr>
              <w:jc w:val="center"/>
              <w:rPr>
                <w:b/>
                <w:color w:val="000000" w:themeColor="text1"/>
                <w:sz w:val="18"/>
                <w:szCs w:val="18"/>
              </w:rPr>
            </w:pPr>
          </w:p>
        </w:tc>
        <w:tc>
          <w:tcPr>
            <w:tcW w:w="1226" w:type="dxa"/>
            <w:vMerge w:val="restart"/>
            <w:vAlign w:val="center"/>
          </w:tcPr>
          <w:p w14:paraId="09AD9464">
            <w:pPr>
              <w:jc w:val="center"/>
              <w:rPr>
                <w:bCs/>
                <w:color w:val="000000" w:themeColor="text1"/>
                <w:sz w:val="18"/>
                <w:szCs w:val="18"/>
              </w:rPr>
            </w:pPr>
            <w:r>
              <w:rPr>
                <w:rFonts w:hint="eastAsia"/>
                <w:bCs/>
                <w:color w:val="000000" w:themeColor="text1"/>
                <w:sz w:val="18"/>
                <w:szCs w:val="18"/>
              </w:rPr>
              <w:t>素质拓展</w:t>
            </w:r>
          </w:p>
          <w:p w14:paraId="2B6F1E61">
            <w:pPr>
              <w:jc w:val="center"/>
              <w:rPr>
                <w:bCs/>
                <w:color w:val="000000" w:themeColor="text1"/>
                <w:sz w:val="18"/>
                <w:szCs w:val="18"/>
              </w:rPr>
            </w:pPr>
            <w:r>
              <w:rPr>
                <w:rFonts w:hint="eastAsia"/>
                <w:bCs/>
                <w:color w:val="000000" w:themeColor="text1"/>
                <w:sz w:val="18"/>
                <w:szCs w:val="18"/>
              </w:rPr>
              <w:t>（1学分）</w:t>
            </w:r>
          </w:p>
        </w:tc>
        <w:tc>
          <w:tcPr>
            <w:tcW w:w="3516" w:type="dxa"/>
            <w:vAlign w:val="center"/>
          </w:tcPr>
          <w:p w14:paraId="74587029">
            <w:pPr>
              <w:jc w:val="left"/>
              <w:rPr>
                <w:bCs/>
                <w:sz w:val="18"/>
                <w:szCs w:val="18"/>
              </w:rPr>
            </w:pPr>
            <w:r>
              <w:rPr>
                <w:rFonts w:hint="eastAsia"/>
                <w:bCs/>
                <w:sz w:val="18"/>
                <w:szCs w:val="18"/>
              </w:rPr>
              <w:t>入学教育与教育家精神宣讲</w:t>
            </w:r>
          </w:p>
        </w:tc>
        <w:tc>
          <w:tcPr>
            <w:tcW w:w="1081" w:type="dxa"/>
            <w:vAlign w:val="center"/>
          </w:tcPr>
          <w:p w14:paraId="165BA608">
            <w:pPr>
              <w:jc w:val="center"/>
              <w:rPr>
                <w:color w:val="000000" w:themeColor="text1"/>
                <w:sz w:val="18"/>
                <w:szCs w:val="18"/>
              </w:rPr>
            </w:pPr>
          </w:p>
        </w:tc>
        <w:tc>
          <w:tcPr>
            <w:tcW w:w="709" w:type="dxa"/>
            <w:vAlign w:val="center"/>
          </w:tcPr>
          <w:p w14:paraId="5702DE16">
            <w:pPr>
              <w:jc w:val="center"/>
              <w:rPr>
                <w:color w:val="000000" w:themeColor="text1"/>
                <w:sz w:val="18"/>
                <w:szCs w:val="18"/>
              </w:rPr>
            </w:pPr>
          </w:p>
        </w:tc>
        <w:tc>
          <w:tcPr>
            <w:tcW w:w="817" w:type="dxa"/>
            <w:vAlign w:val="center"/>
          </w:tcPr>
          <w:p w14:paraId="632F37DA">
            <w:pPr>
              <w:jc w:val="center"/>
              <w:rPr>
                <w:color w:val="000000" w:themeColor="text1"/>
                <w:sz w:val="18"/>
                <w:szCs w:val="18"/>
              </w:rPr>
            </w:pPr>
            <w:r>
              <w:rPr>
                <w:color w:val="000000" w:themeColor="text1"/>
                <w:sz w:val="18"/>
                <w:szCs w:val="18"/>
              </w:rPr>
              <w:t>1</w:t>
            </w:r>
          </w:p>
        </w:tc>
        <w:tc>
          <w:tcPr>
            <w:tcW w:w="937" w:type="dxa"/>
            <w:vMerge w:val="restart"/>
            <w:vAlign w:val="center"/>
          </w:tcPr>
          <w:p w14:paraId="582C5819">
            <w:pPr>
              <w:jc w:val="center"/>
              <w:rPr>
                <w:i/>
                <w:color w:val="FF0000"/>
                <w:sz w:val="18"/>
                <w:szCs w:val="18"/>
              </w:rPr>
            </w:pPr>
            <w:r>
              <w:rPr>
                <w:rFonts w:hint="eastAsia"/>
                <w:color w:val="000000" w:themeColor="text1"/>
                <w:sz w:val="18"/>
                <w:szCs w:val="18"/>
              </w:rPr>
              <w:t>需参与校级及以上的专业技能大赛并获奖</w:t>
            </w:r>
          </w:p>
        </w:tc>
      </w:tr>
      <w:tr w14:paraId="18777C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10" w:hRule="atLeast"/>
          <w:jc w:val="center"/>
        </w:trPr>
        <w:tc>
          <w:tcPr>
            <w:tcW w:w="571" w:type="dxa"/>
            <w:vMerge w:val="continue"/>
            <w:vAlign w:val="center"/>
          </w:tcPr>
          <w:p w14:paraId="58DD590B">
            <w:pPr>
              <w:jc w:val="center"/>
              <w:rPr>
                <w:b/>
                <w:color w:val="000000" w:themeColor="text1"/>
                <w:sz w:val="18"/>
                <w:szCs w:val="18"/>
              </w:rPr>
            </w:pPr>
          </w:p>
        </w:tc>
        <w:tc>
          <w:tcPr>
            <w:tcW w:w="1226" w:type="dxa"/>
            <w:vMerge w:val="continue"/>
            <w:vAlign w:val="center"/>
          </w:tcPr>
          <w:p w14:paraId="2BAEBB0E">
            <w:pPr>
              <w:jc w:val="center"/>
              <w:rPr>
                <w:b/>
                <w:color w:val="000000" w:themeColor="text1"/>
                <w:sz w:val="18"/>
                <w:szCs w:val="18"/>
              </w:rPr>
            </w:pPr>
          </w:p>
        </w:tc>
        <w:tc>
          <w:tcPr>
            <w:tcW w:w="3516" w:type="dxa"/>
            <w:vAlign w:val="center"/>
          </w:tcPr>
          <w:p w14:paraId="609C128B">
            <w:pPr>
              <w:jc w:val="left"/>
              <w:rPr>
                <w:bCs/>
                <w:sz w:val="18"/>
                <w:szCs w:val="18"/>
              </w:rPr>
            </w:pPr>
            <w:r>
              <w:rPr>
                <w:rFonts w:hint="eastAsia"/>
                <w:bCs/>
                <w:sz w:val="18"/>
                <w:szCs w:val="18"/>
              </w:rPr>
              <w:t>竞赛活动</w:t>
            </w:r>
          </w:p>
        </w:tc>
        <w:tc>
          <w:tcPr>
            <w:tcW w:w="1081" w:type="dxa"/>
            <w:vAlign w:val="center"/>
          </w:tcPr>
          <w:p w14:paraId="45B3EA2F">
            <w:pPr>
              <w:jc w:val="center"/>
              <w:rPr>
                <w:sz w:val="18"/>
                <w:szCs w:val="18"/>
              </w:rPr>
            </w:pPr>
          </w:p>
        </w:tc>
        <w:tc>
          <w:tcPr>
            <w:tcW w:w="709" w:type="dxa"/>
            <w:vAlign w:val="center"/>
          </w:tcPr>
          <w:p w14:paraId="5E5B1A50">
            <w:pPr>
              <w:jc w:val="center"/>
              <w:rPr>
                <w:sz w:val="18"/>
                <w:szCs w:val="18"/>
              </w:rPr>
            </w:pPr>
            <w:r>
              <w:rPr>
                <w:rFonts w:hint="eastAsia"/>
                <w:sz w:val="18"/>
                <w:szCs w:val="18"/>
              </w:rPr>
              <w:t>1</w:t>
            </w:r>
          </w:p>
        </w:tc>
        <w:tc>
          <w:tcPr>
            <w:tcW w:w="817" w:type="dxa"/>
            <w:vAlign w:val="center"/>
          </w:tcPr>
          <w:p w14:paraId="74CA2C45">
            <w:pPr>
              <w:jc w:val="center"/>
              <w:rPr>
                <w:sz w:val="18"/>
                <w:szCs w:val="18"/>
              </w:rPr>
            </w:pPr>
            <w:r>
              <w:rPr>
                <w:rFonts w:hint="eastAsia"/>
                <w:sz w:val="18"/>
                <w:szCs w:val="18"/>
              </w:rPr>
              <w:t>3</w:t>
            </w:r>
          </w:p>
        </w:tc>
        <w:tc>
          <w:tcPr>
            <w:tcW w:w="937" w:type="dxa"/>
            <w:vMerge w:val="continue"/>
            <w:vAlign w:val="center"/>
          </w:tcPr>
          <w:p w14:paraId="0108A3DE">
            <w:pPr>
              <w:jc w:val="center"/>
              <w:rPr>
                <w:color w:val="000000" w:themeColor="text1"/>
                <w:sz w:val="18"/>
                <w:szCs w:val="18"/>
              </w:rPr>
            </w:pPr>
          </w:p>
        </w:tc>
      </w:tr>
      <w:tr w14:paraId="233C35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E0116CB">
            <w:pPr>
              <w:rPr>
                <w:b/>
                <w:color w:val="000000" w:themeColor="text1"/>
                <w:sz w:val="18"/>
                <w:szCs w:val="18"/>
              </w:rPr>
            </w:pPr>
          </w:p>
        </w:tc>
        <w:tc>
          <w:tcPr>
            <w:tcW w:w="1226" w:type="dxa"/>
            <w:vMerge w:val="restart"/>
            <w:vAlign w:val="center"/>
          </w:tcPr>
          <w:p w14:paraId="705AD3B8">
            <w:pPr>
              <w:jc w:val="center"/>
              <w:rPr>
                <w:b/>
                <w:color w:val="000000" w:themeColor="text1"/>
                <w:sz w:val="18"/>
                <w:szCs w:val="18"/>
              </w:rPr>
            </w:pPr>
            <w:r>
              <w:rPr>
                <w:b/>
                <w:color w:val="000000" w:themeColor="text1"/>
                <w:sz w:val="18"/>
                <w:szCs w:val="18"/>
              </w:rPr>
              <w:t>学术训练</w:t>
            </w:r>
          </w:p>
        </w:tc>
        <w:tc>
          <w:tcPr>
            <w:tcW w:w="3516" w:type="dxa"/>
            <w:vAlign w:val="center"/>
          </w:tcPr>
          <w:p w14:paraId="011BBF44">
            <w:pPr>
              <w:jc w:val="left"/>
              <w:rPr>
                <w:sz w:val="18"/>
                <w:szCs w:val="18"/>
              </w:rPr>
            </w:pPr>
            <w:r>
              <w:rPr>
                <w:sz w:val="18"/>
                <w:szCs w:val="18"/>
              </w:rPr>
              <w:t>中期筛选</w:t>
            </w:r>
          </w:p>
        </w:tc>
        <w:tc>
          <w:tcPr>
            <w:tcW w:w="1081" w:type="dxa"/>
            <w:vAlign w:val="center"/>
          </w:tcPr>
          <w:p w14:paraId="0A783D54">
            <w:pPr>
              <w:jc w:val="center"/>
              <w:rPr>
                <w:sz w:val="18"/>
                <w:szCs w:val="18"/>
              </w:rPr>
            </w:pPr>
          </w:p>
        </w:tc>
        <w:tc>
          <w:tcPr>
            <w:tcW w:w="709" w:type="dxa"/>
            <w:vAlign w:val="center"/>
          </w:tcPr>
          <w:p w14:paraId="58E1767E">
            <w:pPr>
              <w:jc w:val="center"/>
              <w:rPr>
                <w:sz w:val="18"/>
                <w:szCs w:val="18"/>
              </w:rPr>
            </w:pPr>
          </w:p>
        </w:tc>
        <w:tc>
          <w:tcPr>
            <w:tcW w:w="817" w:type="dxa"/>
            <w:vAlign w:val="center"/>
          </w:tcPr>
          <w:p w14:paraId="050B7AF7">
            <w:pPr>
              <w:jc w:val="center"/>
              <w:rPr>
                <w:sz w:val="18"/>
                <w:szCs w:val="18"/>
              </w:rPr>
            </w:pPr>
            <w:r>
              <w:rPr>
                <w:rFonts w:hint="eastAsia"/>
                <w:sz w:val="18"/>
                <w:szCs w:val="18"/>
              </w:rPr>
              <w:t>3</w:t>
            </w:r>
          </w:p>
        </w:tc>
        <w:tc>
          <w:tcPr>
            <w:tcW w:w="937" w:type="dxa"/>
            <w:vMerge w:val="restart"/>
            <w:vAlign w:val="center"/>
          </w:tcPr>
          <w:p w14:paraId="0FC3230A">
            <w:pPr>
              <w:jc w:val="center"/>
              <w:rPr>
                <w:color w:val="000000" w:themeColor="text1"/>
                <w:sz w:val="18"/>
                <w:szCs w:val="18"/>
              </w:rPr>
            </w:pPr>
            <w:r>
              <w:rPr>
                <w:color w:val="000000" w:themeColor="text1"/>
                <w:sz w:val="18"/>
                <w:szCs w:val="18"/>
              </w:rPr>
              <w:t>过程管理</w:t>
            </w:r>
          </w:p>
          <w:p w14:paraId="55D981DA">
            <w:pPr>
              <w:jc w:val="center"/>
              <w:rPr>
                <w:color w:val="000000" w:themeColor="text1"/>
                <w:sz w:val="18"/>
                <w:szCs w:val="18"/>
              </w:rPr>
            </w:pPr>
            <w:r>
              <w:rPr>
                <w:color w:val="000000" w:themeColor="text1"/>
                <w:sz w:val="18"/>
                <w:szCs w:val="18"/>
              </w:rPr>
              <w:t>无学分</w:t>
            </w:r>
          </w:p>
        </w:tc>
      </w:tr>
      <w:tr w14:paraId="3C8071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9A03F32">
            <w:pPr>
              <w:rPr>
                <w:b/>
                <w:color w:val="000000" w:themeColor="text1"/>
                <w:sz w:val="18"/>
                <w:szCs w:val="18"/>
              </w:rPr>
            </w:pPr>
          </w:p>
        </w:tc>
        <w:tc>
          <w:tcPr>
            <w:tcW w:w="1226" w:type="dxa"/>
            <w:vMerge w:val="continue"/>
            <w:vAlign w:val="center"/>
          </w:tcPr>
          <w:p w14:paraId="717E2DCC">
            <w:pPr>
              <w:jc w:val="center"/>
              <w:rPr>
                <w:b/>
                <w:color w:val="000000" w:themeColor="text1"/>
                <w:sz w:val="18"/>
                <w:szCs w:val="18"/>
              </w:rPr>
            </w:pPr>
          </w:p>
        </w:tc>
        <w:tc>
          <w:tcPr>
            <w:tcW w:w="3516" w:type="dxa"/>
            <w:vAlign w:val="center"/>
          </w:tcPr>
          <w:p w14:paraId="17E8D3D6">
            <w:pPr>
              <w:jc w:val="left"/>
              <w:rPr>
                <w:sz w:val="18"/>
                <w:szCs w:val="18"/>
              </w:rPr>
            </w:pPr>
            <w:r>
              <w:rPr>
                <w:sz w:val="18"/>
                <w:szCs w:val="18"/>
              </w:rPr>
              <w:t>论文开题</w:t>
            </w:r>
          </w:p>
        </w:tc>
        <w:tc>
          <w:tcPr>
            <w:tcW w:w="1081" w:type="dxa"/>
            <w:vAlign w:val="center"/>
          </w:tcPr>
          <w:p w14:paraId="3E8096BA">
            <w:pPr>
              <w:jc w:val="center"/>
              <w:rPr>
                <w:sz w:val="18"/>
                <w:szCs w:val="18"/>
              </w:rPr>
            </w:pPr>
          </w:p>
        </w:tc>
        <w:tc>
          <w:tcPr>
            <w:tcW w:w="709" w:type="dxa"/>
            <w:vAlign w:val="center"/>
          </w:tcPr>
          <w:p w14:paraId="527C0522">
            <w:pPr>
              <w:jc w:val="center"/>
              <w:rPr>
                <w:sz w:val="18"/>
                <w:szCs w:val="18"/>
              </w:rPr>
            </w:pPr>
          </w:p>
        </w:tc>
        <w:tc>
          <w:tcPr>
            <w:tcW w:w="817" w:type="dxa"/>
            <w:vAlign w:val="center"/>
          </w:tcPr>
          <w:p w14:paraId="4FA679AE">
            <w:pPr>
              <w:jc w:val="center"/>
              <w:rPr>
                <w:sz w:val="18"/>
                <w:szCs w:val="18"/>
              </w:rPr>
            </w:pPr>
            <w:r>
              <w:rPr>
                <w:rFonts w:hint="eastAsia"/>
                <w:sz w:val="18"/>
                <w:szCs w:val="18"/>
              </w:rPr>
              <w:t>4</w:t>
            </w:r>
          </w:p>
        </w:tc>
        <w:tc>
          <w:tcPr>
            <w:tcW w:w="937" w:type="dxa"/>
            <w:vMerge w:val="continue"/>
            <w:vAlign w:val="center"/>
          </w:tcPr>
          <w:p w14:paraId="477F3B10">
            <w:pPr>
              <w:jc w:val="center"/>
              <w:rPr>
                <w:color w:val="000000" w:themeColor="text1"/>
                <w:sz w:val="18"/>
                <w:szCs w:val="18"/>
              </w:rPr>
            </w:pPr>
          </w:p>
        </w:tc>
      </w:tr>
      <w:tr w14:paraId="60ACF0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573E641">
            <w:pPr>
              <w:rPr>
                <w:b/>
                <w:color w:val="000000" w:themeColor="text1"/>
                <w:sz w:val="18"/>
                <w:szCs w:val="18"/>
              </w:rPr>
            </w:pPr>
          </w:p>
        </w:tc>
        <w:tc>
          <w:tcPr>
            <w:tcW w:w="1226" w:type="dxa"/>
            <w:vMerge w:val="continue"/>
            <w:vAlign w:val="center"/>
          </w:tcPr>
          <w:p w14:paraId="2F407C95">
            <w:pPr>
              <w:jc w:val="center"/>
              <w:rPr>
                <w:b/>
                <w:color w:val="000000" w:themeColor="text1"/>
                <w:sz w:val="18"/>
                <w:szCs w:val="18"/>
              </w:rPr>
            </w:pPr>
          </w:p>
        </w:tc>
        <w:tc>
          <w:tcPr>
            <w:tcW w:w="3516" w:type="dxa"/>
            <w:vAlign w:val="center"/>
          </w:tcPr>
          <w:p w14:paraId="24589042">
            <w:pPr>
              <w:jc w:val="left"/>
              <w:rPr>
                <w:sz w:val="18"/>
                <w:szCs w:val="18"/>
              </w:rPr>
            </w:pPr>
            <w:r>
              <w:rPr>
                <w:sz w:val="18"/>
                <w:szCs w:val="18"/>
              </w:rPr>
              <w:t>论文中期进展报告</w:t>
            </w:r>
          </w:p>
        </w:tc>
        <w:tc>
          <w:tcPr>
            <w:tcW w:w="1081" w:type="dxa"/>
            <w:vAlign w:val="center"/>
          </w:tcPr>
          <w:p w14:paraId="088BEC6B">
            <w:pPr>
              <w:jc w:val="center"/>
              <w:rPr>
                <w:sz w:val="18"/>
                <w:szCs w:val="18"/>
              </w:rPr>
            </w:pPr>
          </w:p>
        </w:tc>
        <w:tc>
          <w:tcPr>
            <w:tcW w:w="709" w:type="dxa"/>
            <w:vAlign w:val="center"/>
          </w:tcPr>
          <w:p w14:paraId="49D80FED">
            <w:pPr>
              <w:jc w:val="center"/>
              <w:rPr>
                <w:sz w:val="18"/>
                <w:szCs w:val="18"/>
              </w:rPr>
            </w:pPr>
          </w:p>
        </w:tc>
        <w:tc>
          <w:tcPr>
            <w:tcW w:w="817" w:type="dxa"/>
            <w:vAlign w:val="center"/>
          </w:tcPr>
          <w:p w14:paraId="1421CA8F">
            <w:pPr>
              <w:jc w:val="center"/>
              <w:rPr>
                <w:sz w:val="18"/>
                <w:szCs w:val="18"/>
              </w:rPr>
            </w:pPr>
            <w:r>
              <w:rPr>
                <w:rFonts w:hint="eastAsia"/>
                <w:sz w:val="18"/>
                <w:szCs w:val="18"/>
              </w:rPr>
              <w:t>5</w:t>
            </w:r>
          </w:p>
        </w:tc>
        <w:tc>
          <w:tcPr>
            <w:tcW w:w="937" w:type="dxa"/>
            <w:vMerge w:val="continue"/>
          </w:tcPr>
          <w:p w14:paraId="6E8BE3EF">
            <w:pPr>
              <w:jc w:val="center"/>
              <w:rPr>
                <w:color w:val="000000" w:themeColor="text1"/>
                <w:sz w:val="18"/>
                <w:szCs w:val="18"/>
              </w:rPr>
            </w:pPr>
          </w:p>
        </w:tc>
      </w:tr>
      <w:tr w14:paraId="33F05FC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1608FD">
            <w:pPr>
              <w:rPr>
                <w:b/>
                <w:color w:val="000000" w:themeColor="text1"/>
                <w:sz w:val="18"/>
                <w:szCs w:val="18"/>
              </w:rPr>
            </w:pPr>
          </w:p>
        </w:tc>
        <w:tc>
          <w:tcPr>
            <w:tcW w:w="1226" w:type="dxa"/>
            <w:vMerge w:val="continue"/>
            <w:vAlign w:val="center"/>
          </w:tcPr>
          <w:p w14:paraId="3E85398F">
            <w:pPr>
              <w:jc w:val="center"/>
              <w:rPr>
                <w:b/>
                <w:color w:val="000000" w:themeColor="text1"/>
                <w:sz w:val="18"/>
                <w:szCs w:val="18"/>
              </w:rPr>
            </w:pPr>
          </w:p>
        </w:tc>
        <w:tc>
          <w:tcPr>
            <w:tcW w:w="3516" w:type="dxa"/>
            <w:vAlign w:val="center"/>
          </w:tcPr>
          <w:p w14:paraId="79426EF0">
            <w:pPr>
              <w:jc w:val="left"/>
              <w:rPr>
                <w:sz w:val="18"/>
                <w:szCs w:val="18"/>
              </w:rPr>
            </w:pPr>
            <w:r>
              <w:rPr>
                <w:sz w:val="18"/>
                <w:szCs w:val="18"/>
              </w:rPr>
              <w:t>论文预答辩</w:t>
            </w:r>
          </w:p>
        </w:tc>
        <w:tc>
          <w:tcPr>
            <w:tcW w:w="1081" w:type="dxa"/>
            <w:vAlign w:val="center"/>
          </w:tcPr>
          <w:p w14:paraId="15917CC0">
            <w:pPr>
              <w:jc w:val="center"/>
              <w:rPr>
                <w:sz w:val="18"/>
                <w:szCs w:val="18"/>
              </w:rPr>
            </w:pPr>
          </w:p>
        </w:tc>
        <w:tc>
          <w:tcPr>
            <w:tcW w:w="709" w:type="dxa"/>
            <w:vAlign w:val="center"/>
          </w:tcPr>
          <w:p w14:paraId="7F482CE3">
            <w:pPr>
              <w:jc w:val="center"/>
              <w:rPr>
                <w:sz w:val="18"/>
                <w:szCs w:val="18"/>
              </w:rPr>
            </w:pPr>
          </w:p>
        </w:tc>
        <w:tc>
          <w:tcPr>
            <w:tcW w:w="817" w:type="dxa"/>
            <w:vAlign w:val="center"/>
          </w:tcPr>
          <w:p w14:paraId="5C5B3641">
            <w:pPr>
              <w:jc w:val="center"/>
              <w:rPr>
                <w:sz w:val="18"/>
                <w:szCs w:val="18"/>
              </w:rPr>
            </w:pPr>
            <w:r>
              <w:rPr>
                <w:rFonts w:hint="eastAsia"/>
                <w:sz w:val="18"/>
                <w:szCs w:val="18"/>
              </w:rPr>
              <w:t>5</w:t>
            </w:r>
          </w:p>
        </w:tc>
        <w:tc>
          <w:tcPr>
            <w:tcW w:w="937" w:type="dxa"/>
            <w:vMerge w:val="continue"/>
          </w:tcPr>
          <w:p w14:paraId="1F4A03BA">
            <w:pPr>
              <w:jc w:val="center"/>
              <w:rPr>
                <w:color w:val="000000" w:themeColor="text1"/>
                <w:sz w:val="18"/>
                <w:szCs w:val="18"/>
              </w:rPr>
            </w:pPr>
          </w:p>
        </w:tc>
      </w:tr>
      <w:tr w14:paraId="36A7FB1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A9F4A5D">
            <w:pPr>
              <w:rPr>
                <w:color w:val="000000" w:themeColor="text1"/>
                <w:sz w:val="18"/>
                <w:szCs w:val="18"/>
              </w:rPr>
            </w:pPr>
          </w:p>
        </w:tc>
        <w:tc>
          <w:tcPr>
            <w:tcW w:w="1226" w:type="dxa"/>
            <w:vMerge w:val="continue"/>
          </w:tcPr>
          <w:p w14:paraId="38430247">
            <w:pPr>
              <w:jc w:val="center"/>
              <w:rPr>
                <w:color w:val="000000" w:themeColor="text1"/>
                <w:sz w:val="18"/>
                <w:szCs w:val="18"/>
              </w:rPr>
            </w:pPr>
          </w:p>
        </w:tc>
        <w:tc>
          <w:tcPr>
            <w:tcW w:w="3516" w:type="dxa"/>
            <w:vAlign w:val="center"/>
          </w:tcPr>
          <w:p w14:paraId="0A3DF132">
            <w:pPr>
              <w:rPr>
                <w:color w:val="000000" w:themeColor="text1"/>
                <w:sz w:val="18"/>
                <w:szCs w:val="18"/>
              </w:rPr>
            </w:pPr>
            <w:r>
              <w:rPr>
                <w:color w:val="000000" w:themeColor="text1"/>
                <w:sz w:val="18"/>
                <w:szCs w:val="18"/>
              </w:rPr>
              <w:t>论文评审</w:t>
            </w:r>
          </w:p>
        </w:tc>
        <w:tc>
          <w:tcPr>
            <w:tcW w:w="1081" w:type="dxa"/>
            <w:vAlign w:val="center"/>
          </w:tcPr>
          <w:p w14:paraId="1042AA0A">
            <w:pPr>
              <w:jc w:val="center"/>
              <w:rPr>
                <w:color w:val="000000" w:themeColor="text1"/>
                <w:sz w:val="18"/>
                <w:szCs w:val="18"/>
              </w:rPr>
            </w:pPr>
          </w:p>
        </w:tc>
        <w:tc>
          <w:tcPr>
            <w:tcW w:w="709" w:type="dxa"/>
            <w:vAlign w:val="center"/>
          </w:tcPr>
          <w:p w14:paraId="3BFC10B7">
            <w:pPr>
              <w:jc w:val="center"/>
              <w:rPr>
                <w:color w:val="000000" w:themeColor="text1"/>
                <w:sz w:val="18"/>
                <w:szCs w:val="18"/>
              </w:rPr>
            </w:pPr>
          </w:p>
        </w:tc>
        <w:tc>
          <w:tcPr>
            <w:tcW w:w="817" w:type="dxa"/>
            <w:vAlign w:val="center"/>
          </w:tcPr>
          <w:p w14:paraId="1232237C">
            <w:pPr>
              <w:jc w:val="center"/>
              <w:rPr>
                <w:color w:val="000000" w:themeColor="text1"/>
                <w:sz w:val="18"/>
                <w:szCs w:val="18"/>
              </w:rPr>
            </w:pPr>
            <w:r>
              <w:rPr>
                <w:color w:val="000000" w:themeColor="text1"/>
                <w:sz w:val="18"/>
                <w:szCs w:val="18"/>
              </w:rPr>
              <w:t>6</w:t>
            </w:r>
          </w:p>
        </w:tc>
        <w:tc>
          <w:tcPr>
            <w:tcW w:w="937" w:type="dxa"/>
            <w:vMerge w:val="continue"/>
          </w:tcPr>
          <w:p w14:paraId="1B366DFB">
            <w:pPr>
              <w:jc w:val="center"/>
              <w:rPr>
                <w:color w:val="000000" w:themeColor="text1"/>
                <w:sz w:val="18"/>
                <w:szCs w:val="18"/>
              </w:rPr>
            </w:pPr>
          </w:p>
        </w:tc>
      </w:tr>
      <w:tr w14:paraId="75AE697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0559834">
            <w:pPr>
              <w:rPr>
                <w:color w:val="000000" w:themeColor="text1"/>
                <w:sz w:val="18"/>
                <w:szCs w:val="18"/>
              </w:rPr>
            </w:pPr>
          </w:p>
        </w:tc>
        <w:tc>
          <w:tcPr>
            <w:tcW w:w="1226" w:type="dxa"/>
            <w:vMerge w:val="continue"/>
          </w:tcPr>
          <w:p w14:paraId="38F09076">
            <w:pPr>
              <w:jc w:val="center"/>
              <w:rPr>
                <w:color w:val="000000" w:themeColor="text1"/>
                <w:sz w:val="18"/>
                <w:szCs w:val="18"/>
              </w:rPr>
            </w:pPr>
          </w:p>
        </w:tc>
        <w:tc>
          <w:tcPr>
            <w:tcW w:w="3516" w:type="dxa"/>
            <w:vAlign w:val="center"/>
          </w:tcPr>
          <w:p w14:paraId="6BD6676A">
            <w:pPr>
              <w:rPr>
                <w:color w:val="000000" w:themeColor="text1"/>
                <w:sz w:val="18"/>
                <w:szCs w:val="18"/>
              </w:rPr>
            </w:pPr>
            <w:r>
              <w:rPr>
                <w:color w:val="000000" w:themeColor="text1"/>
                <w:sz w:val="18"/>
                <w:szCs w:val="18"/>
              </w:rPr>
              <w:t>论文答辩</w:t>
            </w:r>
          </w:p>
        </w:tc>
        <w:tc>
          <w:tcPr>
            <w:tcW w:w="1081" w:type="dxa"/>
            <w:vAlign w:val="center"/>
          </w:tcPr>
          <w:p w14:paraId="1346D502">
            <w:pPr>
              <w:jc w:val="center"/>
              <w:rPr>
                <w:color w:val="000000" w:themeColor="text1"/>
                <w:sz w:val="18"/>
                <w:szCs w:val="18"/>
              </w:rPr>
            </w:pPr>
          </w:p>
        </w:tc>
        <w:tc>
          <w:tcPr>
            <w:tcW w:w="709" w:type="dxa"/>
            <w:vAlign w:val="center"/>
          </w:tcPr>
          <w:p w14:paraId="64B48D98">
            <w:pPr>
              <w:jc w:val="center"/>
              <w:rPr>
                <w:color w:val="000000" w:themeColor="text1"/>
                <w:sz w:val="18"/>
                <w:szCs w:val="18"/>
              </w:rPr>
            </w:pPr>
          </w:p>
        </w:tc>
        <w:tc>
          <w:tcPr>
            <w:tcW w:w="817" w:type="dxa"/>
            <w:vAlign w:val="center"/>
          </w:tcPr>
          <w:p w14:paraId="1E8FFC58">
            <w:pPr>
              <w:jc w:val="center"/>
              <w:rPr>
                <w:color w:val="000000" w:themeColor="text1"/>
                <w:sz w:val="18"/>
                <w:szCs w:val="18"/>
              </w:rPr>
            </w:pPr>
            <w:r>
              <w:rPr>
                <w:color w:val="000000" w:themeColor="text1"/>
                <w:sz w:val="18"/>
                <w:szCs w:val="18"/>
              </w:rPr>
              <w:t>6</w:t>
            </w:r>
          </w:p>
        </w:tc>
        <w:tc>
          <w:tcPr>
            <w:tcW w:w="937" w:type="dxa"/>
            <w:vMerge w:val="continue"/>
          </w:tcPr>
          <w:p w14:paraId="34B14D4D">
            <w:pPr>
              <w:jc w:val="center"/>
              <w:rPr>
                <w:color w:val="000000" w:themeColor="text1"/>
                <w:sz w:val="18"/>
                <w:szCs w:val="18"/>
              </w:rPr>
            </w:pPr>
          </w:p>
        </w:tc>
      </w:tr>
    </w:tbl>
    <w:p w14:paraId="5C1D4D45">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0952703F">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582B1808">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bookmarkEnd w:id="0"/>
    <w:bookmarkEnd w:id="1"/>
    <w:p w14:paraId="3EEFE460">
      <w:pPr>
        <w:spacing w:line="440" w:lineRule="exact"/>
        <w:ind w:firstLine="480" w:firstLineChars="200"/>
        <w:rPr>
          <w:rFonts w:eastAsiaTheme="minorEastAsia"/>
          <w:i/>
          <w:color w:val="FF0000"/>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387D7014">
      <w:pPr>
        <w:spacing w:line="440" w:lineRule="exact"/>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B5899"/>
    <w:multiLevelType w:val="singleLevel"/>
    <w:tmpl w:val="F66B5899"/>
    <w:lvl w:ilvl="0" w:tentative="0">
      <w:start w:val="1"/>
      <w:numFmt w:val="decimal"/>
      <w:lvlText w:val="%1."/>
      <w:lvlJc w:val="left"/>
      <w:pPr>
        <w:tabs>
          <w:tab w:val="left" w:pos="312"/>
        </w:tabs>
      </w:pPr>
    </w:lvl>
  </w:abstractNum>
  <w:abstractNum w:abstractNumId="1">
    <w:nsid w:val="01A08844"/>
    <w:multiLevelType w:val="singleLevel"/>
    <w:tmpl w:val="01A08844"/>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454"/>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6CDF"/>
    <w:rsid w:val="000877D8"/>
    <w:rsid w:val="00087BB6"/>
    <w:rsid w:val="000903CF"/>
    <w:rsid w:val="00091106"/>
    <w:rsid w:val="00093E55"/>
    <w:rsid w:val="00094EF5"/>
    <w:rsid w:val="00095FAE"/>
    <w:rsid w:val="00096778"/>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496E"/>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460F"/>
    <w:rsid w:val="002A5F35"/>
    <w:rsid w:val="002A71B9"/>
    <w:rsid w:val="002A7921"/>
    <w:rsid w:val="002B0A99"/>
    <w:rsid w:val="002B293A"/>
    <w:rsid w:val="002B2A1B"/>
    <w:rsid w:val="002B3394"/>
    <w:rsid w:val="002B5583"/>
    <w:rsid w:val="002B63CC"/>
    <w:rsid w:val="002B72BE"/>
    <w:rsid w:val="002B7EFB"/>
    <w:rsid w:val="002C000D"/>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2F75CE"/>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16DB"/>
    <w:rsid w:val="0034193A"/>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2606"/>
    <w:rsid w:val="003E42F3"/>
    <w:rsid w:val="003E5315"/>
    <w:rsid w:val="003E5423"/>
    <w:rsid w:val="003E5A1E"/>
    <w:rsid w:val="003E5BF2"/>
    <w:rsid w:val="003E5F3F"/>
    <w:rsid w:val="003E6CB3"/>
    <w:rsid w:val="003E7512"/>
    <w:rsid w:val="003F1009"/>
    <w:rsid w:val="003F1C70"/>
    <w:rsid w:val="003F1F1D"/>
    <w:rsid w:val="003F261F"/>
    <w:rsid w:val="003F2D27"/>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1894"/>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6E7"/>
    <w:rsid w:val="00457865"/>
    <w:rsid w:val="004607E7"/>
    <w:rsid w:val="004611E3"/>
    <w:rsid w:val="00461D4C"/>
    <w:rsid w:val="004641AB"/>
    <w:rsid w:val="00464A9E"/>
    <w:rsid w:val="00465E96"/>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057C"/>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09F"/>
    <w:rsid w:val="00553704"/>
    <w:rsid w:val="0055450C"/>
    <w:rsid w:val="0055562B"/>
    <w:rsid w:val="005559E3"/>
    <w:rsid w:val="00557ACE"/>
    <w:rsid w:val="00557D2F"/>
    <w:rsid w:val="005615AB"/>
    <w:rsid w:val="00561D63"/>
    <w:rsid w:val="0056705B"/>
    <w:rsid w:val="0057028D"/>
    <w:rsid w:val="0057110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189"/>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0F1"/>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02F7"/>
    <w:rsid w:val="008634C1"/>
    <w:rsid w:val="0086368E"/>
    <w:rsid w:val="00863785"/>
    <w:rsid w:val="00864B60"/>
    <w:rsid w:val="008657A9"/>
    <w:rsid w:val="008658D6"/>
    <w:rsid w:val="00865AFC"/>
    <w:rsid w:val="00865FC3"/>
    <w:rsid w:val="00866D7F"/>
    <w:rsid w:val="00866FB1"/>
    <w:rsid w:val="008707CE"/>
    <w:rsid w:val="00870F59"/>
    <w:rsid w:val="00871138"/>
    <w:rsid w:val="008712D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5FF7"/>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E765D"/>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57"/>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207"/>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A6"/>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4D3C"/>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9DA"/>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6CBB"/>
    <w:rsid w:val="00C972EC"/>
    <w:rsid w:val="00CA153E"/>
    <w:rsid w:val="00CA32E6"/>
    <w:rsid w:val="00CA46CE"/>
    <w:rsid w:val="00CA525A"/>
    <w:rsid w:val="00CA540E"/>
    <w:rsid w:val="00CA6DCE"/>
    <w:rsid w:val="00CA7018"/>
    <w:rsid w:val="00CB0A42"/>
    <w:rsid w:val="00CB1865"/>
    <w:rsid w:val="00CB29E9"/>
    <w:rsid w:val="00CB2E81"/>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395"/>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534"/>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0A46"/>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0944"/>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4C2D"/>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157F"/>
    <w:rsid w:val="00EB2125"/>
    <w:rsid w:val="00EB3E9A"/>
    <w:rsid w:val="00EB47EF"/>
    <w:rsid w:val="00EB4C13"/>
    <w:rsid w:val="00EB5370"/>
    <w:rsid w:val="00EB739C"/>
    <w:rsid w:val="00EB7709"/>
    <w:rsid w:val="00EC0C6F"/>
    <w:rsid w:val="00EC1884"/>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456B"/>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75421A"/>
    <w:rsid w:val="018362EB"/>
    <w:rsid w:val="029A7D90"/>
    <w:rsid w:val="03015719"/>
    <w:rsid w:val="03A34A22"/>
    <w:rsid w:val="04185410"/>
    <w:rsid w:val="043833BC"/>
    <w:rsid w:val="04447FB3"/>
    <w:rsid w:val="05A0746B"/>
    <w:rsid w:val="06936FD0"/>
    <w:rsid w:val="06CC4290"/>
    <w:rsid w:val="07177C01"/>
    <w:rsid w:val="07464042"/>
    <w:rsid w:val="07614A10"/>
    <w:rsid w:val="077E1A2E"/>
    <w:rsid w:val="08B84ACC"/>
    <w:rsid w:val="09862E1C"/>
    <w:rsid w:val="09DE67B4"/>
    <w:rsid w:val="0A9450C5"/>
    <w:rsid w:val="0AFD62F1"/>
    <w:rsid w:val="0AFE52C3"/>
    <w:rsid w:val="0CB72835"/>
    <w:rsid w:val="0CEC568C"/>
    <w:rsid w:val="0E364E11"/>
    <w:rsid w:val="0E7D3173"/>
    <w:rsid w:val="0E8611C8"/>
    <w:rsid w:val="0EDD34DE"/>
    <w:rsid w:val="0EED1247"/>
    <w:rsid w:val="0EF10D38"/>
    <w:rsid w:val="0F515C7A"/>
    <w:rsid w:val="10613C9B"/>
    <w:rsid w:val="11D64215"/>
    <w:rsid w:val="120B2110"/>
    <w:rsid w:val="130B7EEE"/>
    <w:rsid w:val="134A310C"/>
    <w:rsid w:val="13CA1B57"/>
    <w:rsid w:val="149E726C"/>
    <w:rsid w:val="14AB7BDB"/>
    <w:rsid w:val="151A64E1"/>
    <w:rsid w:val="164756E1"/>
    <w:rsid w:val="16DC22CD"/>
    <w:rsid w:val="17435EA8"/>
    <w:rsid w:val="1AA2738A"/>
    <w:rsid w:val="1AA80E44"/>
    <w:rsid w:val="1AF06347"/>
    <w:rsid w:val="1B391A9C"/>
    <w:rsid w:val="1BE340FE"/>
    <w:rsid w:val="1C2129BC"/>
    <w:rsid w:val="1E7159F1"/>
    <w:rsid w:val="1FB5190D"/>
    <w:rsid w:val="1FE96C05"/>
    <w:rsid w:val="210C1EAD"/>
    <w:rsid w:val="23623B5A"/>
    <w:rsid w:val="24FB7DC2"/>
    <w:rsid w:val="26062EC3"/>
    <w:rsid w:val="26832765"/>
    <w:rsid w:val="279A1B15"/>
    <w:rsid w:val="284303FE"/>
    <w:rsid w:val="286839C1"/>
    <w:rsid w:val="286B525F"/>
    <w:rsid w:val="292C2C40"/>
    <w:rsid w:val="29471828"/>
    <w:rsid w:val="297665B1"/>
    <w:rsid w:val="2A0616E3"/>
    <w:rsid w:val="2A5E32CD"/>
    <w:rsid w:val="2AD427C9"/>
    <w:rsid w:val="2B065713"/>
    <w:rsid w:val="2C293467"/>
    <w:rsid w:val="2C585C10"/>
    <w:rsid w:val="2DD92C6B"/>
    <w:rsid w:val="2E0C1292"/>
    <w:rsid w:val="2F6579C6"/>
    <w:rsid w:val="30D81900"/>
    <w:rsid w:val="315A40C3"/>
    <w:rsid w:val="3223561D"/>
    <w:rsid w:val="34192013"/>
    <w:rsid w:val="35BC17F0"/>
    <w:rsid w:val="35E623C9"/>
    <w:rsid w:val="37335AE2"/>
    <w:rsid w:val="3AFB2473"/>
    <w:rsid w:val="3C6969C3"/>
    <w:rsid w:val="3C8A1D00"/>
    <w:rsid w:val="3DA6700D"/>
    <w:rsid w:val="3DE2791A"/>
    <w:rsid w:val="40E65032"/>
    <w:rsid w:val="40F57964"/>
    <w:rsid w:val="415E7BFF"/>
    <w:rsid w:val="41D028AB"/>
    <w:rsid w:val="4235270E"/>
    <w:rsid w:val="423B584A"/>
    <w:rsid w:val="42562684"/>
    <w:rsid w:val="43AC4C52"/>
    <w:rsid w:val="441E71D2"/>
    <w:rsid w:val="44C4421D"/>
    <w:rsid w:val="44E421C9"/>
    <w:rsid w:val="456F23DB"/>
    <w:rsid w:val="47431429"/>
    <w:rsid w:val="477A0BC3"/>
    <w:rsid w:val="4789051C"/>
    <w:rsid w:val="47B95B8F"/>
    <w:rsid w:val="47C85DD2"/>
    <w:rsid w:val="487815A6"/>
    <w:rsid w:val="487A531F"/>
    <w:rsid w:val="488108B3"/>
    <w:rsid w:val="48C04CFB"/>
    <w:rsid w:val="496E4757"/>
    <w:rsid w:val="49B54961"/>
    <w:rsid w:val="4C3752D5"/>
    <w:rsid w:val="4D3A1520"/>
    <w:rsid w:val="4D7367E0"/>
    <w:rsid w:val="4DA644C0"/>
    <w:rsid w:val="4FAE58AE"/>
    <w:rsid w:val="4FB10A9A"/>
    <w:rsid w:val="4FF9121F"/>
    <w:rsid w:val="50584C41"/>
    <w:rsid w:val="50616DC4"/>
    <w:rsid w:val="50D650BC"/>
    <w:rsid w:val="513B5867"/>
    <w:rsid w:val="523522B6"/>
    <w:rsid w:val="5385202A"/>
    <w:rsid w:val="547071DE"/>
    <w:rsid w:val="54815C87"/>
    <w:rsid w:val="54CD67D6"/>
    <w:rsid w:val="54EB1352"/>
    <w:rsid w:val="574134AB"/>
    <w:rsid w:val="58FC1D80"/>
    <w:rsid w:val="59301A29"/>
    <w:rsid w:val="5A1924BD"/>
    <w:rsid w:val="5B046CCA"/>
    <w:rsid w:val="5B070568"/>
    <w:rsid w:val="5B2D6445"/>
    <w:rsid w:val="5CC826A5"/>
    <w:rsid w:val="5D69550A"/>
    <w:rsid w:val="5D9562FF"/>
    <w:rsid w:val="5DF70D68"/>
    <w:rsid w:val="5E280F21"/>
    <w:rsid w:val="5E671A49"/>
    <w:rsid w:val="5EBA426F"/>
    <w:rsid w:val="5F013AC0"/>
    <w:rsid w:val="612E684E"/>
    <w:rsid w:val="62791D4B"/>
    <w:rsid w:val="630E56AD"/>
    <w:rsid w:val="63862972"/>
    <w:rsid w:val="638766EA"/>
    <w:rsid w:val="64F14763"/>
    <w:rsid w:val="64FB113D"/>
    <w:rsid w:val="65BB4C1D"/>
    <w:rsid w:val="65DF0A5F"/>
    <w:rsid w:val="66042274"/>
    <w:rsid w:val="668B64F1"/>
    <w:rsid w:val="66AF0431"/>
    <w:rsid w:val="678A67A9"/>
    <w:rsid w:val="68863414"/>
    <w:rsid w:val="68B80DBB"/>
    <w:rsid w:val="68F91E38"/>
    <w:rsid w:val="694110E9"/>
    <w:rsid w:val="6985191D"/>
    <w:rsid w:val="6A1707C7"/>
    <w:rsid w:val="6AF723A7"/>
    <w:rsid w:val="6B8359E9"/>
    <w:rsid w:val="6BB30955"/>
    <w:rsid w:val="6CE07597"/>
    <w:rsid w:val="6D3E250F"/>
    <w:rsid w:val="6E6243F4"/>
    <w:rsid w:val="6F101C89"/>
    <w:rsid w:val="6FD9207B"/>
    <w:rsid w:val="70313C65"/>
    <w:rsid w:val="706C52B8"/>
    <w:rsid w:val="70B0102E"/>
    <w:rsid w:val="720158B9"/>
    <w:rsid w:val="72DD00D4"/>
    <w:rsid w:val="730218E9"/>
    <w:rsid w:val="74604097"/>
    <w:rsid w:val="75D25EEA"/>
    <w:rsid w:val="768D3BBF"/>
    <w:rsid w:val="770C0F88"/>
    <w:rsid w:val="7771703D"/>
    <w:rsid w:val="777271A3"/>
    <w:rsid w:val="786278CC"/>
    <w:rsid w:val="786B1CDE"/>
    <w:rsid w:val="78EA102A"/>
    <w:rsid w:val="79FE72AE"/>
    <w:rsid w:val="7A0423EA"/>
    <w:rsid w:val="7B1D3764"/>
    <w:rsid w:val="7B915F00"/>
    <w:rsid w:val="7B931C78"/>
    <w:rsid w:val="7BCE0F02"/>
    <w:rsid w:val="7C95557C"/>
    <w:rsid w:val="7D621902"/>
    <w:rsid w:val="7E503F66"/>
    <w:rsid w:val="7E7318ED"/>
    <w:rsid w:val="7EB048EF"/>
    <w:rsid w:val="7F58120E"/>
    <w:rsid w:val="BADFFD41"/>
    <w:rsid w:val="BFAE2DFA"/>
    <w:rsid w:val="EFB514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7"/>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nhideWhenUsed/>
    <w:qFormat/>
    <w:uiPriority w:val="99"/>
    <w:pPr>
      <w:jc w:val="left"/>
    </w:pPr>
  </w:style>
  <w:style w:type="paragraph" w:styleId="6">
    <w:name w:val="Body Text"/>
    <w:basedOn w:val="1"/>
    <w:qFormat/>
    <w:uiPriority w:val="99"/>
    <w:pPr>
      <w:spacing w:after="120"/>
    </w:pPr>
  </w:style>
  <w:style w:type="paragraph" w:styleId="7">
    <w:name w:val="Balloon Text"/>
    <w:basedOn w:val="1"/>
    <w:link w:val="22"/>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21"/>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标题 2 Char"/>
    <w:basedOn w:val="14"/>
    <w:link w:val="3"/>
    <w:qFormat/>
    <w:uiPriority w:val="99"/>
    <w:rPr>
      <w:rFonts w:ascii="Cambria" w:hAnsi="Cambria" w:eastAsia="宋体" w:cs="Times New Roman"/>
      <w:b/>
      <w:bCs/>
      <w:sz w:val="32"/>
      <w:szCs w:val="32"/>
    </w:rPr>
  </w:style>
  <w:style w:type="character" w:customStyle="1" w:styleId="18">
    <w:name w:val="标题 1 Char"/>
    <w:basedOn w:val="14"/>
    <w:link w:val="2"/>
    <w:qFormat/>
    <w:uiPriority w:val="0"/>
    <w:rPr>
      <w:rFonts w:ascii="Times New Roman" w:hAnsi="Times New Roman" w:eastAsia="华文行楷" w:cs="Times New Roman"/>
      <w:kern w:val="44"/>
      <w:sz w:val="44"/>
      <w:szCs w:val="20"/>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Char"/>
    <w:basedOn w:val="14"/>
    <w:link w:val="5"/>
    <w:semiHidden/>
    <w:qFormat/>
    <w:uiPriority w:val="99"/>
    <w:rPr>
      <w:rFonts w:ascii="Times New Roman" w:hAnsi="Times New Roman" w:eastAsia="宋体" w:cs="Times New Roman"/>
      <w:szCs w:val="24"/>
    </w:rPr>
  </w:style>
  <w:style w:type="character" w:customStyle="1" w:styleId="21">
    <w:name w:val="批注主题 Char"/>
    <w:basedOn w:val="20"/>
    <w:link w:val="11"/>
    <w:semiHidden/>
    <w:qFormat/>
    <w:uiPriority w:val="99"/>
    <w:rPr>
      <w:rFonts w:ascii="Times New Roman" w:hAnsi="Times New Roman" w:eastAsia="宋体" w:cs="Times New Roman"/>
      <w:b/>
      <w:bCs/>
      <w:szCs w:val="24"/>
    </w:rPr>
  </w:style>
  <w:style w:type="character" w:customStyle="1" w:styleId="22">
    <w:name w:val="批注框文本 Char"/>
    <w:basedOn w:val="14"/>
    <w:link w:val="7"/>
    <w:semiHidden/>
    <w:qFormat/>
    <w:uiPriority w:val="99"/>
    <w:rPr>
      <w:rFonts w:ascii="Times New Roman" w:hAnsi="Times New Roman" w:eastAsia="宋体" w:cs="Times New Roman"/>
      <w:sz w:val="18"/>
      <w:szCs w:val="18"/>
    </w:rPr>
  </w:style>
  <w:style w:type="character" w:customStyle="1" w:styleId="23">
    <w:name w:val="页眉 Char"/>
    <w:basedOn w:val="14"/>
    <w:link w:val="9"/>
    <w:qFormat/>
    <w:uiPriority w:val="99"/>
    <w:rPr>
      <w:rFonts w:ascii="Times New Roman" w:hAnsi="Times New Roman" w:eastAsia="宋体" w:cs="Times New Roman"/>
      <w:sz w:val="18"/>
      <w:szCs w:val="18"/>
    </w:rPr>
  </w:style>
  <w:style w:type="character" w:customStyle="1" w:styleId="24">
    <w:name w:val="页脚 Char"/>
    <w:basedOn w:val="14"/>
    <w:link w:val="8"/>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Char"/>
    <w:basedOn w:val="14"/>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yanjiushengyuan</Company>
  <Pages>6</Pages>
  <Words>4032</Words>
  <Characters>4250</Characters>
  <Lines>32</Lines>
  <Paragraphs>9</Paragraphs>
  <TotalTime>25</TotalTime>
  <ScaleCrop>false</ScaleCrop>
  <LinksUpToDate>false</LinksUpToDate>
  <CharactersWithSpaces>4260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2025-04-13T14:22:00Z</dcterms:created>
  <dc:creator>刘明旭</dc:creator>
  <cp:lastModifiedBy>HP</cp:lastModifiedBy>
  <cp:lastPrinted>2025-03-14T19:17:00Z</cp:lastPrinted>
  <dcterms:modified xsi:type="dcterms:W3CDTF">2025-06-26T02:15:00Z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eyJoZGlkIjoiMTc0NmQ1ZmI4ZThhNTY5NzdhMDc5OGQ4MTJkODYxY2IifQ==</vt:lpwstr>
  </property>
  <property fmtid="{D5CDD505-2E9C-101B-9397-08002B2CF9AE}" pid="4" name="ICV">
    <vt:lpwstr>9290FC4C94DE4714A570CB4D8C179094_13</vt:lpwstr>
  </property>
</Properties>
</file>