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7582D">
      <w:pPr>
        <w:ind w:left="321" w:leftChars="153" w:right="227"/>
        <w:jc w:val="center"/>
        <w:rPr>
          <w:rFonts w:eastAsia="黑体"/>
          <w:b/>
          <w:bCs/>
          <w:color w:val="000000" w:themeColor="text1"/>
          <w:sz w:val="36"/>
          <w:szCs w:val="36"/>
          <w14:textFill>
            <w14:solidFill>
              <w14:schemeClr w14:val="tx1"/>
            </w14:solidFill>
          </w14:textFill>
        </w:rPr>
      </w:pPr>
      <w:r>
        <w:rPr>
          <w:rFonts w:hint="eastAsia" w:eastAsia="黑体"/>
          <w:b/>
          <w:bCs/>
          <w:color w:val="000000" w:themeColor="text1"/>
          <w:sz w:val="36"/>
          <w:szCs w:val="36"/>
          <w14:textFill>
            <w14:solidFill>
              <w14:schemeClr w14:val="tx1"/>
            </w14:solidFill>
          </w14:textFill>
        </w:rPr>
        <w:t>教育技术学</w:t>
      </w:r>
      <w:r>
        <w:rPr>
          <w:rFonts w:eastAsia="黑体"/>
          <w:b/>
          <w:bCs/>
          <w:color w:val="000000" w:themeColor="text1"/>
          <w:sz w:val="36"/>
          <w:szCs w:val="36"/>
          <w14:textFill>
            <w14:solidFill>
              <w14:schemeClr w14:val="tx1"/>
            </w14:solidFill>
          </w14:textFill>
        </w:rPr>
        <w:t>专业学术学位</w:t>
      </w:r>
      <w:r>
        <w:rPr>
          <w:rFonts w:hint="eastAsia" w:eastAsia="黑体"/>
          <w:b/>
          <w:bCs/>
          <w:color w:val="000000" w:themeColor="text1"/>
          <w:sz w:val="36"/>
          <w:szCs w:val="36"/>
          <w14:textFill>
            <w14:solidFill>
              <w14:schemeClr w14:val="tx1"/>
            </w14:solidFill>
          </w14:textFill>
        </w:rPr>
        <w:t>硕士</w:t>
      </w:r>
      <w:r>
        <w:rPr>
          <w:rFonts w:eastAsia="黑体"/>
          <w:b/>
          <w:bCs/>
          <w:color w:val="000000" w:themeColor="text1"/>
          <w:sz w:val="36"/>
          <w:szCs w:val="36"/>
          <w14:textFill>
            <w14:solidFill>
              <w14:schemeClr w14:val="tx1"/>
            </w14:solidFill>
          </w14:textFill>
        </w:rPr>
        <w:t>研究生培养方案</w:t>
      </w:r>
    </w:p>
    <w:p w14:paraId="05FD45FC">
      <w:pPr>
        <w:ind w:left="321" w:leftChars="153" w:right="227"/>
        <w:jc w:val="center"/>
        <w:rPr>
          <w:rFonts w:eastAsia="黑体"/>
          <w:b/>
          <w:bCs/>
          <w:color w:val="000000" w:themeColor="text1"/>
          <w:sz w:val="28"/>
          <w:szCs w:val="28"/>
          <w14:textFill>
            <w14:solidFill>
              <w14:schemeClr w14:val="tx1"/>
            </w14:solidFill>
          </w14:textFill>
        </w:rPr>
      </w:pPr>
      <w:r>
        <w:rPr>
          <w:rFonts w:eastAsia="黑体"/>
          <w:b/>
          <w:bCs/>
          <w:color w:val="000000" w:themeColor="text1"/>
          <w:sz w:val="28"/>
          <w:szCs w:val="28"/>
          <w14:textFill>
            <w14:solidFill>
              <w14:schemeClr w14:val="tx1"/>
            </w14:solidFill>
          </w14:textFill>
        </w:rPr>
        <w:t>（</w:t>
      </w:r>
      <w:r>
        <w:rPr>
          <w:rFonts w:hint="eastAsia" w:eastAsia="黑体"/>
          <w:b/>
          <w:bCs/>
          <w:color w:val="000000" w:themeColor="text1"/>
          <w:sz w:val="28"/>
          <w:szCs w:val="28"/>
          <w14:textFill>
            <w14:solidFill>
              <w14:schemeClr w14:val="tx1"/>
            </w14:solidFill>
          </w14:textFill>
        </w:rPr>
        <w:t>教育</w:t>
      </w:r>
      <w:r>
        <w:rPr>
          <w:rFonts w:eastAsia="黑体"/>
          <w:b/>
          <w:bCs/>
          <w:color w:val="000000" w:themeColor="text1"/>
          <w:sz w:val="28"/>
          <w:szCs w:val="28"/>
          <w14:textFill>
            <w14:solidFill>
              <w14:schemeClr w14:val="tx1"/>
            </w14:solidFill>
          </w14:textFill>
        </w:rPr>
        <w:t>学院)</w:t>
      </w:r>
    </w:p>
    <w:p w14:paraId="4009FA03">
      <w:pPr>
        <w:spacing w:line="360" w:lineRule="auto"/>
        <w:ind w:firstLine="560"/>
        <w:rPr>
          <w:rFonts w:eastAsia="黑体"/>
          <w:bCs/>
          <w:color w:val="000000" w:themeColor="text1"/>
          <w:sz w:val="28"/>
          <w:szCs w:val="28"/>
          <w14:textFill>
            <w14:solidFill>
              <w14:schemeClr w14:val="tx1"/>
            </w14:solidFill>
          </w14:textFill>
        </w:rPr>
      </w:pPr>
    </w:p>
    <w:p w14:paraId="14DE5C68">
      <w:pPr>
        <w:spacing w:line="360" w:lineRule="auto"/>
        <w:ind w:firstLine="560"/>
        <w:rPr>
          <w:rFonts w:asciiTheme="majorEastAsia" w:hAnsiTheme="majorEastAsia" w:eastAsiaTheme="majorEastAsia" w:cstheme="majorEastAsia"/>
          <w:b/>
          <w:color w:val="000000" w:themeColor="text1"/>
          <w:sz w:val="28"/>
          <w:szCs w:val="28"/>
          <w14:textFill>
            <w14:solidFill>
              <w14:schemeClr w14:val="tx1"/>
            </w14:solidFill>
          </w14:textFill>
        </w:rPr>
      </w:pPr>
      <w:r>
        <w:rPr>
          <w:rFonts w:hint="eastAsia" w:asciiTheme="majorEastAsia" w:hAnsiTheme="majorEastAsia" w:eastAsiaTheme="majorEastAsia" w:cstheme="majorEastAsia"/>
          <w:b/>
          <w:color w:val="000000" w:themeColor="text1"/>
          <w:sz w:val="28"/>
          <w:szCs w:val="28"/>
          <w14:textFill>
            <w14:solidFill>
              <w14:schemeClr w14:val="tx1"/>
            </w14:solidFill>
          </w14:textFill>
        </w:rPr>
        <w:t>一、专业名称、代码</w:t>
      </w:r>
    </w:p>
    <w:p w14:paraId="2064449B">
      <w:pPr>
        <w:widowControl/>
        <w:spacing w:line="360" w:lineRule="auto"/>
        <w:ind w:firstLine="480" w:firstLineChars="200"/>
        <w:rPr>
          <w:color w:val="000000" w:themeColor="text1"/>
          <w:kern w:val="0"/>
          <w:sz w:val="18"/>
          <w:szCs w:val="18"/>
          <w14:textFill>
            <w14:solidFill>
              <w14:schemeClr w14:val="tx1"/>
            </w14:solidFill>
          </w14:textFill>
        </w:rPr>
      </w:pPr>
      <w:r>
        <w:rPr>
          <w:color w:val="000000" w:themeColor="text1"/>
          <w:kern w:val="0"/>
          <w:sz w:val="24"/>
          <w14:textFill>
            <w14:solidFill>
              <w14:schemeClr w14:val="tx1"/>
            </w14:solidFill>
          </w14:textFill>
        </w:rPr>
        <w:t>专业名称：</w:t>
      </w:r>
      <w:r>
        <w:rPr>
          <w:rFonts w:hint="eastAsia"/>
          <w:color w:val="000000" w:themeColor="text1"/>
          <w:kern w:val="0"/>
          <w:sz w:val="24"/>
          <w14:textFill>
            <w14:solidFill>
              <w14:schemeClr w14:val="tx1"/>
            </w14:solidFill>
          </w14:textFill>
        </w:rPr>
        <w:t>教育技术学</w:t>
      </w:r>
    </w:p>
    <w:p w14:paraId="4248706A">
      <w:pPr>
        <w:widowControl/>
        <w:spacing w:line="360" w:lineRule="auto"/>
        <w:ind w:firstLine="480" w:firstLineChars="200"/>
        <w:rPr>
          <w:color w:val="000000" w:themeColor="text1"/>
          <w:kern w:val="0"/>
          <w:sz w:val="18"/>
          <w:szCs w:val="18"/>
          <w14:textFill>
            <w14:solidFill>
              <w14:schemeClr w14:val="tx1"/>
            </w14:solidFill>
          </w14:textFill>
        </w:rPr>
      </w:pPr>
      <w:r>
        <w:rPr>
          <w:color w:val="000000" w:themeColor="text1"/>
          <w:kern w:val="0"/>
          <w:sz w:val="24"/>
          <w14:textFill>
            <w14:solidFill>
              <w14:schemeClr w14:val="tx1"/>
            </w14:solidFill>
          </w14:textFill>
        </w:rPr>
        <w:t>专业代码：</w:t>
      </w:r>
      <w:r>
        <w:rPr>
          <w:rFonts w:hint="eastAsia"/>
          <w:color w:val="000000" w:themeColor="text1"/>
          <w:kern w:val="0"/>
          <w:sz w:val="24"/>
          <w14:textFill>
            <w14:solidFill>
              <w14:schemeClr w14:val="tx1"/>
            </w14:solidFill>
          </w14:textFill>
        </w:rPr>
        <w:t>040110</w:t>
      </w:r>
    </w:p>
    <w:p w14:paraId="6A7B237C">
      <w:pPr>
        <w:spacing w:line="360" w:lineRule="auto"/>
        <w:ind w:firstLine="560"/>
        <w:rPr>
          <w:rFonts w:asciiTheme="majorEastAsia" w:hAnsiTheme="majorEastAsia" w:eastAsiaTheme="majorEastAsia" w:cstheme="majorEastAsia"/>
          <w:b/>
          <w:color w:val="000000" w:themeColor="text1"/>
          <w:sz w:val="28"/>
          <w:szCs w:val="28"/>
          <w14:textFill>
            <w14:solidFill>
              <w14:schemeClr w14:val="tx1"/>
            </w14:solidFill>
          </w14:textFill>
        </w:rPr>
      </w:pPr>
      <w:r>
        <w:rPr>
          <w:rFonts w:hint="eastAsia" w:asciiTheme="majorEastAsia" w:hAnsiTheme="majorEastAsia" w:eastAsiaTheme="majorEastAsia" w:cstheme="majorEastAsia"/>
          <w:b/>
          <w:color w:val="000000" w:themeColor="text1"/>
          <w:sz w:val="28"/>
          <w:szCs w:val="28"/>
          <w14:textFill>
            <w14:solidFill>
              <w14:schemeClr w14:val="tx1"/>
            </w14:solidFill>
          </w14:textFill>
        </w:rPr>
        <w:t>二、专业简介</w:t>
      </w:r>
    </w:p>
    <w:p w14:paraId="24093D03">
      <w:pPr>
        <w:widowControl/>
        <w:spacing w:line="360" w:lineRule="auto"/>
        <w:ind w:firstLine="480" w:firstLineChars="200"/>
        <w:jc w:val="left"/>
        <w:rPr>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教育技术学隶属于教育学一级学科，学科代码为040110，是融合教育学、心理学、信息科学、传播学等多学科理论的交叉应用型学科，旨在通过现代信息技术优化教育过程与资源，推动教育现代化与智能化发展。河北大学教育技术学硕士学位点依托于1986年创建的全国第一批教育技术学硕士点建立，办学水平处于全国先进行列。本学科聚焦于教育信息化理论与实践，旨在通过教学过程与资源等的设计、开发、应用、管理和评价，推进教育教学数字化和智能化。河北大学教育技术学学科不仅拥有国家级精品课程、省级在线开放课程，还主持多项国家级、省部级课题，并发表多篇高水平学术论文。近年来，专业发展方向注重理论与实践相结合，强调理论创新和实践应用，致力于服务国家教育数字化战略，为我国教育数字化进程贡献坚实的理论支持和培养杰出的人才。</w:t>
      </w:r>
    </w:p>
    <w:p w14:paraId="51A1CE96">
      <w:pPr>
        <w:spacing w:line="360" w:lineRule="auto"/>
        <w:ind w:firstLine="560"/>
        <w:rPr>
          <w:rFonts w:asciiTheme="majorEastAsia" w:hAnsiTheme="majorEastAsia" w:eastAsiaTheme="majorEastAsia" w:cstheme="majorEastAsia"/>
          <w:b/>
          <w:color w:val="000000" w:themeColor="text1"/>
          <w:sz w:val="28"/>
          <w:szCs w:val="28"/>
          <w14:textFill>
            <w14:solidFill>
              <w14:schemeClr w14:val="tx1"/>
            </w14:solidFill>
          </w14:textFill>
        </w:rPr>
      </w:pPr>
      <w:r>
        <w:rPr>
          <w:rFonts w:hint="eastAsia" w:asciiTheme="majorEastAsia" w:hAnsiTheme="majorEastAsia" w:eastAsiaTheme="majorEastAsia" w:cstheme="majorEastAsia"/>
          <w:b/>
          <w:color w:val="000000" w:themeColor="text1"/>
          <w:sz w:val="28"/>
          <w:szCs w:val="28"/>
          <w14:textFill>
            <w14:solidFill>
              <w14:schemeClr w14:val="tx1"/>
            </w14:solidFill>
          </w14:textFill>
        </w:rPr>
        <w:t>三、研究方向</w:t>
      </w:r>
    </w:p>
    <w:p w14:paraId="536A4723">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1．教学设计的理论与实践</w:t>
      </w:r>
    </w:p>
    <w:p w14:paraId="03E7AC40">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本研究方向紧密围绕教学和培训领域开展系统的教学设计理论体系和实践方法探究。在理论层面，致力于挖掘和梳理教学设计的新思想、新理论以及新方法，紧跟教育领域发展的前沿趋势，不断拓展教学设计的内涵与外延。在实践方面，强调将所学的理论和方法应用于实际问题的解决中，能够针对不同的教学场景和学习需求，设计出科学合理的教学和培训项目或产品，促进知识的有效传递和学习者的能力发展，为教育和培训领域的发展提供有力的理论支持和实践指导。</w:t>
      </w:r>
    </w:p>
    <w:p w14:paraId="0EFC066F">
      <w:pPr>
        <w:spacing w:line="360" w:lineRule="auto"/>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2．数字化学习环境设计与开发</w:t>
      </w:r>
    </w:p>
    <w:p w14:paraId="0C0FEFF4">
      <w:pPr>
        <w:spacing w:line="360" w:lineRule="auto"/>
        <w:ind w:firstLine="435"/>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本研究方向依托相关的教育理论和技术理论，深入研究数字化学习媒体、学习资源以及学习环境的设计理论与方法，包括如何根据不同学习目标和学习者特征，设计具有吸引力和互动性的数字化学习媒体，如多媒体课件、在线学习视频等；注重学习资源的开发，包括数字化教材、在线题库等，确保资源的丰富性、科学性和可用性；在学习环境设计方面，将探索如何构建虚拟学习社区、在线学习平台等，营造良好的数字化学习氛围，促进学习者之间的交流与协作；以期为教育信息化的发展提供技术支持和创新思路，推动教育教学模式的变革和创新，提高教育教学的质量和效率。</w:t>
      </w:r>
    </w:p>
    <w:p w14:paraId="1CBD6CC9">
      <w:pPr>
        <w:spacing w:line="360" w:lineRule="auto"/>
        <w:ind w:firstLine="435"/>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3.信息技术教育</w:t>
      </w:r>
    </w:p>
    <w:p w14:paraId="2C0EA374">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本研究方向包括信息技术课程与教学、信息技术与课程整合两个方面。信息技术课程与教学方面涉及各级各类学校和培训机构的信息技术(计算机)课程的设计、教学过程与方法等方面，包括课程目标的确定、课程内容的选择与组织、教学方法的创新等。信息技术与课程整合方面涉及信息技术在各种课程中应用的理论和实践，致力于将信息技术融入到各个学科课程中，探索信息技术在课程教学中的应用理论和实践方法，如利用多媒体技术辅助课堂教学、借助网络资源拓展教学内容、运用智能教育软件进行个性化教学等，以提高课程教学的质量和效率，培养学生的创新思维和综合实践能力，促进教育的现代化发展。</w:t>
      </w:r>
    </w:p>
    <w:p w14:paraId="5615C45B">
      <w:pPr>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4．在线教育</w:t>
      </w:r>
    </w:p>
    <w:p w14:paraId="53B2BF9E">
      <w:pPr>
        <w:spacing w:line="360" w:lineRule="auto"/>
        <w:ind w:firstLine="48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本研究方向聚焦于远程教育的理论、方法和技术，深入探究如何利用现代信息技术构建高效、便捷的在线教育体系。关注远程教育的基本理论，包括教学模式、学习理论等，为在线教育的设计与实施提供理论基础；根据相关的理论、方法和技术开展应用研究，例如设计具有互动性、个性化特点的在线课程，以及构建稳定、安全、易于使用的远程教育平台；还关注在线学习的评价与反馈机制，以确保学习效果的达成。通过本方向的研究，可以满足社会对于在线教育不断增长的需求，为学习者提供灵活多样的学习机会，推动教育公平的实现，促进终身教育体系的建立和发展。</w:t>
      </w:r>
    </w:p>
    <w:p w14:paraId="00C9E6D2">
      <w:pPr>
        <w:spacing w:line="360" w:lineRule="auto"/>
        <w:ind w:firstLine="560"/>
        <w:rPr>
          <w:rFonts w:asciiTheme="majorEastAsia" w:hAnsiTheme="majorEastAsia" w:eastAsiaTheme="majorEastAsia" w:cstheme="majorEastAsia"/>
          <w:b/>
          <w:color w:val="000000" w:themeColor="text1"/>
          <w:sz w:val="28"/>
          <w:szCs w:val="28"/>
          <w14:textFill>
            <w14:solidFill>
              <w14:schemeClr w14:val="tx1"/>
            </w14:solidFill>
          </w14:textFill>
        </w:rPr>
      </w:pPr>
      <w:r>
        <w:rPr>
          <w:rFonts w:hint="eastAsia" w:asciiTheme="majorEastAsia" w:hAnsiTheme="majorEastAsia" w:eastAsiaTheme="majorEastAsia" w:cstheme="majorEastAsia"/>
          <w:b/>
          <w:color w:val="000000" w:themeColor="text1"/>
          <w:sz w:val="28"/>
          <w:szCs w:val="28"/>
          <w14:textFill>
            <w14:solidFill>
              <w14:schemeClr w14:val="tx1"/>
            </w14:solidFill>
          </w14:textFill>
        </w:rPr>
        <w:t>四、学制及学习年限</w:t>
      </w:r>
    </w:p>
    <w:p w14:paraId="7171D999">
      <w:pPr>
        <w:spacing w:line="360" w:lineRule="auto"/>
        <w:ind w:firstLine="480" w:firstLineChars="200"/>
        <w:rPr>
          <w:rFonts w:eastAsiaTheme="minorEastAsia"/>
          <w:i/>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本专业学制为</w:t>
      </w:r>
      <w:r>
        <w:rPr>
          <w:rFonts w:hint="eastAsia" w:eastAsiaTheme="minorEastAsia"/>
          <w:color w:val="000000" w:themeColor="text1"/>
          <w:sz w:val="24"/>
          <w14:textFill>
            <w14:solidFill>
              <w14:schemeClr w14:val="tx1"/>
            </w14:solidFill>
          </w14:textFill>
        </w:rPr>
        <w:t>3</w:t>
      </w:r>
      <w:r>
        <w:rPr>
          <w:rFonts w:eastAsiaTheme="minorEastAsia"/>
          <w:color w:val="000000" w:themeColor="text1"/>
          <w:sz w:val="24"/>
          <w14:textFill>
            <w14:solidFill>
              <w14:schemeClr w14:val="tx1"/>
            </w14:solidFill>
          </w14:textFill>
        </w:rPr>
        <w:t>年，在校最长学习年限（含休学）不超过</w:t>
      </w:r>
      <w:r>
        <w:rPr>
          <w:rFonts w:hint="eastAsia" w:eastAsiaTheme="minorEastAsia"/>
          <w:color w:val="000000" w:themeColor="text1"/>
          <w:sz w:val="24"/>
          <w14:textFill>
            <w14:solidFill>
              <w14:schemeClr w14:val="tx1"/>
            </w14:solidFill>
          </w14:textFill>
        </w:rPr>
        <w:t>6</w:t>
      </w:r>
      <w:r>
        <w:rPr>
          <w:rFonts w:eastAsiaTheme="minorEastAsia"/>
          <w:color w:val="000000" w:themeColor="text1"/>
          <w:sz w:val="24"/>
          <w14:textFill>
            <w14:solidFill>
              <w14:schemeClr w14:val="tx1"/>
            </w14:solidFill>
          </w14:textFill>
        </w:rPr>
        <w:t>年。</w:t>
      </w:r>
    </w:p>
    <w:p w14:paraId="356F8004">
      <w:pPr>
        <w:spacing w:line="360" w:lineRule="auto"/>
        <w:ind w:firstLine="560"/>
        <w:rPr>
          <w:rFonts w:asciiTheme="majorEastAsia" w:hAnsiTheme="majorEastAsia" w:eastAsiaTheme="majorEastAsia" w:cstheme="majorEastAsia"/>
          <w:b/>
          <w:color w:val="000000" w:themeColor="text1"/>
          <w:sz w:val="28"/>
          <w:szCs w:val="28"/>
          <w14:textFill>
            <w14:solidFill>
              <w14:schemeClr w14:val="tx1"/>
            </w14:solidFill>
          </w14:textFill>
        </w:rPr>
      </w:pPr>
      <w:r>
        <w:rPr>
          <w:rFonts w:hint="eastAsia" w:asciiTheme="majorEastAsia" w:hAnsiTheme="majorEastAsia" w:eastAsiaTheme="majorEastAsia" w:cstheme="majorEastAsia"/>
          <w:b/>
          <w:color w:val="000000" w:themeColor="text1"/>
          <w:sz w:val="28"/>
          <w:szCs w:val="28"/>
          <w14:textFill>
            <w14:solidFill>
              <w14:schemeClr w14:val="tx1"/>
            </w14:solidFill>
          </w14:textFill>
        </w:rPr>
        <w:t>五、培养目标</w:t>
      </w:r>
    </w:p>
    <w:p w14:paraId="08828BCA">
      <w:pPr>
        <w:snapToGrid w:val="0"/>
        <w:spacing w:line="420" w:lineRule="exact"/>
        <w:ind w:firstLine="480" w:firstLineChars="200"/>
        <w:jc w:val="left"/>
        <w:rPr>
          <w:rFonts w:ascii="宋体" w:hAnsi="宋体" w:cs="宋体"/>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教育技术学专业旨在培养能够在新技术教育领域从事教学媒体和教学系统的设计、开发、运用、管理和评价等的教育技术学科高级专门人才，包括各级师范院校和中等学校教育技术学课程教师以及各级电教馆、高校和普教的教育技术人员。</w:t>
      </w:r>
      <w:r>
        <w:rPr>
          <w:rFonts w:hint="eastAsia" w:ascii="宋体" w:hAnsi="宋体" w:cs="宋体"/>
          <w:color w:val="000000" w:themeColor="text1"/>
          <w:sz w:val="24"/>
          <w14:textFill>
            <w14:solidFill>
              <w14:schemeClr w14:val="tx1"/>
            </w14:solidFill>
          </w14:textFill>
        </w:rPr>
        <w:t>具体目标为：</w:t>
      </w:r>
    </w:p>
    <w:p w14:paraId="13396FFF">
      <w:pPr>
        <w:snapToGrid w:val="0"/>
        <w:spacing w:line="42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1．热爱祖国，拥护中国共产党领导。热爱教育事业，关爱学生，立德树人，为人师表，恪守教师职业道德规范。</w:t>
      </w:r>
    </w:p>
    <w:p w14:paraId="1D8A322D">
      <w:pPr>
        <w:snapToGrid w:val="0"/>
        <w:spacing w:line="42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2．掌握现代教育理论，具有良好的知识结构和扎实的专业基础，了解学科前沿和发展趋势。了解党和国家的教育方针政策和教育法律法规。</w:t>
      </w:r>
    </w:p>
    <w:p w14:paraId="59B3A616">
      <w:pPr>
        <w:snapToGrid w:val="0"/>
        <w:spacing w:line="42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3．具有较强的数字化教育教学能力，能有效地运用数字化技术手段和资源开展教育教学工作。</w:t>
      </w:r>
    </w:p>
    <w:p w14:paraId="5BF78D9B">
      <w:pPr>
        <w:snapToGrid w:val="0"/>
        <w:spacing w:line="42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4．具有较强的教育教学研究能力，善于发现、分析和解决教育教学实践问题。</w:t>
      </w:r>
    </w:p>
    <w:p w14:paraId="0859E029">
      <w:pPr>
        <w:snapToGrid w:val="0"/>
        <w:spacing w:line="42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5．具有较强的数字化教育产品设计与研发能力，能有效运用数字化技术解决</w:t>
      </w:r>
      <w:r>
        <w:rPr>
          <w:rFonts w:hint="eastAsia" w:ascii="宋体" w:hAnsi="宋体"/>
          <w:color w:val="000000" w:themeColor="text1"/>
          <w:sz w:val="24"/>
          <w14:textFill>
            <w14:solidFill>
              <w14:schemeClr w14:val="tx1"/>
            </w14:solidFill>
          </w14:textFill>
        </w:rPr>
        <w:t>实际教育问题。</w:t>
      </w:r>
    </w:p>
    <w:p w14:paraId="7F2C0A7F">
      <w:pPr>
        <w:snapToGrid w:val="0"/>
        <w:spacing w:line="42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6．具有终身学习与发展的意识与能力。</w:t>
      </w:r>
    </w:p>
    <w:p w14:paraId="579BAC83">
      <w:pPr>
        <w:snapToGrid w:val="0"/>
        <w:spacing w:line="420" w:lineRule="exact"/>
        <w:ind w:firstLine="480" w:firstLineChars="20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7. 能较为熟练地运用一种外国语阅读本专业的外文文献资料。</w:t>
      </w:r>
    </w:p>
    <w:p w14:paraId="49CB63FC">
      <w:pPr>
        <w:spacing w:line="360" w:lineRule="auto"/>
        <w:ind w:firstLine="560"/>
        <w:rPr>
          <w:rFonts w:asciiTheme="majorEastAsia" w:hAnsiTheme="majorEastAsia" w:eastAsiaTheme="majorEastAsia" w:cstheme="majorEastAsia"/>
          <w:b/>
          <w:color w:val="000000" w:themeColor="text1"/>
          <w:sz w:val="28"/>
          <w:szCs w:val="28"/>
          <w14:textFill>
            <w14:solidFill>
              <w14:schemeClr w14:val="tx1"/>
            </w14:solidFill>
          </w14:textFill>
        </w:rPr>
      </w:pPr>
      <w:r>
        <w:rPr>
          <w:rFonts w:hint="eastAsia" w:asciiTheme="majorEastAsia" w:hAnsiTheme="majorEastAsia" w:eastAsiaTheme="majorEastAsia" w:cstheme="majorEastAsia"/>
          <w:b/>
          <w:color w:val="000000" w:themeColor="text1"/>
          <w:sz w:val="28"/>
          <w:szCs w:val="28"/>
          <w14:textFill>
            <w14:solidFill>
              <w14:schemeClr w14:val="tx1"/>
            </w14:solidFill>
          </w14:textFill>
        </w:rPr>
        <w:t>六、培养方式</w:t>
      </w:r>
    </w:p>
    <w:p w14:paraId="713AEBA3">
      <w:pPr>
        <w:spacing w:line="360" w:lineRule="auto"/>
        <w:ind w:firstLine="480" w:firstLineChars="200"/>
        <w:rPr>
          <w:rFonts w:asciiTheme="minorEastAsia" w:hAnsiTheme="minorEastAsia" w:eastAsiaTheme="minorEastAsia"/>
          <w:bCs/>
          <w:i/>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t>有序组织开展课程教学、实践教学和学位论文撰写等培养环节，重视理论与实践相结合，注重协同育人。根据培养目标、课程性质和教学内容，</w:t>
      </w:r>
      <w:r>
        <w:rPr>
          <w:rFonts w:hint="eastAsia" w:ascii="宋体" w:hAnsi="宋体" w:cs="宋体"/>
          <w:color w:val="000000" w:themeColor="text1"/>
          <w:sz w:val="24"/>
          <w14:textFill>
            <w14:solidFill>
              <w14:schemeClr w14:val="tx1"/>
            </w14:solidFill>
          </w14:textFill>
        </w:rPr>
        <w:t>采用</w:t>
      </w:r>
      <w:r>
        <w:rPr>
          <w:rFonts w:ascii="宋体" w:hAnsi="宋体" w:cs="宋体"/>
          <w:color w:val="000000" w:themeColor="text1"/>
          <w:sz w:val="24"/>
          <w14:textFill>
            <w14:solidFill>
              <w14:schemeClr w14:val="tx1"/>
            </w14:solidFill>
          </w14:textFill>
        </w:rPr>
        <w:t>案例</w:t>
      </w:r>
      <w:r>
        <w:rPr>
          <w:rFonts w:hint="eastAsia" w:ascii="宋体" w:hAnsi="宋体" w:cs="宋体"/>
          <w:color w:val="000000" w:themeColor="text1"/>
          <w:sz w:val="24"/>
          <w14:textFill>
            <w14:solidFill>
              <w14:schemeClr w14:val="tx1"/>
            </w14:solidFill>
          </w14:textFill>
        </w:rPr>
        <w:t>式</w:t>
      </w:r>
      <w:r>
        <w:rPr>
          <w:rFonts w:ascii="宋体" w:hAnsi="宋体" w:cs="宋体"/>
          <w:color w:val="000000" w:themeColor="text1"/>
          <w:sz w:val="24"/>
          <w14:textFill>
            <w14:solidFill>
              <w14:schemeClr w14:val="tx1"/>
            </w14:solidFill>
          </w14:textFill>
        </w:rPr>
        <w:t>教学、项目式教学、小组合作</w:t>
      </w:r>
      <w:r>
        <w:rPr>
          <w:rFonts w:hint="eastAsia" w:ascii="宋体" w:hAnsi="宋体" w:cs="宋体"/>
          <w:color w:val="000000" w:themeColor="text1"/>
          <w:sz w:val="24"/>
          <w14:textFill>
            <w14:solidFill>
              <w14:schemeClr w14:val="tx1"/>
            </w14:solidFill>
          </w14:textFill>
        </w:rPr>
        <w:t>学习</w:t>
      </w:r>
      <w:r>
        <w:rPr>
          <w:rFonts w:ascii="宋体" w:hAnsi="宋体" w:cs="宋体"/>
          <w:color w:val="000000" w:themeColor="text1"/>
          <w:sz w:val="24"/>
          <w14:textFill>
            <w14:solidFill>
              <w14:schemeClr w14:val="tx1"/>
            </w14:solidFill>
          </w14:textFill>
        </w:rPr>
        <w:t>等教学方式。充分利用互联网</w:t>
      </w:r>
      <w:r>
        <w:rPr>
          <w:rFonts w:hint="eastAsia" w:ascii="宋体" w:hAnsi="宋体" w:cs="宋体"/>
          <w:color w:val="000000" w:themeColor="text1"/>
          <w:sz w:val="24"/>
          <w14:textFill>
            <w14:solidFill>
              <w14:schemeClr w14:val="tx1"/>
            </w14:solidFill>
          </w14:textFill>
        </w:rPr>
        <w:t>、人工智能、大数据</w:t>
      </w:r>
      <w:r>
        <w:rPr>
          <w:rFonts w:ascii="宋体" w:hAnsi="宋体" w:cs="宋体"/>
          <w:color w:val="000000" w:themeColor="text1"/>
          <w:sz w:val="24"/>
          <w14:textFill>
            <w14:solidFill>
              <w14:schemeClr w14:val="tx1"/>
            </w14:solidFill>
          </w14:textFill>
        </w:rPr>
        <w:t>等现代教学技术手段，开展线上线下、课内课外相结合的混合式教学，在教学中注重实践与反思。</w:t>
      </w:r>
    </w:p>
    <w:p w14:paraId="5F69AF15">
      <w:pPr>
        <w:spacing w:line="360" w:lineRule="auto"/>
        <w:ind w:firstLine="560"/>
        <w:rPr>
          <w:rFonts w:asciiTheme="majorEastAsia" w:hAnsiTheme="majorEastAsia" w:eastAsiaTheme="majorEastAsia" w:cstheme="majorEastAsia"/>
          <w:b/>
          <w:color w:val="000000" w:themeColor="text1"/>
          <w:sz w:val="28"/>
          <w:szCs w:val="28"/>
          <w14:textFill>
            <w14:solidFill>
              <w14:schemeClr w14:val="tx1"/>
            </w14:solidFill>
          </w14:textFill>
        </w:rPr>
      </w:pPr>
      <w:r>
        <w:rPr>
          <w:rFonts w:hint="eastAsia" w:asciiTheme="majorEastAsia" w:hAnsiTheme="majorEastAsia" w:eastAsiaTheme="majorEastAsia" w:cstheme="majorEastAsia"/>
          <w:b/>
          <w:color w:val="000000" w:themeColor="text1"/>
          <w:sz w:val="28"/>
          <w:szCs w:val="28"/>
          <w14:textFill>
            <w14:solidFill>
              <w14:schemeClr w14:val="tx1"/>
            </w14:solidFill>
          </w14:textFill>
        </w:rPr>
        <w:t>七、中期筛选</w:t>
      </w:r>
    </w:p>
    <w:p w14:paraId="053A31B9">
      <w:pPr>
        <w:spacing w:line="360" w:lineRule="auto"/>
        <w:ind w:firstLine="480" w:firstLineChars="200"/>
        <w:rPr>
          <w:rFonts w:eastAsiaTheme="minorEastAsia"/>
          <w:bCs/>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在完成培养方案规定的课程学习、考核成绩合格、获得规定的学分后，按照《河北大学研究生中期筛选管理办法》（校政字〔2021〕15号）的相关规定，组织开展中期筛选工作。</w:t>
      </w:r>
    </w:p>
    <w:p w14:paraId="61765BA5">
      <w:pPr>
        <w:spacing w:line="360" w:lineRule="auto"/>
        <w:ind w:firstLine="560"/>
        <w:rPr>
          <w:rFonts w:asciiTheme="majorEastAsia" w:hAnsiTheme="majorEastAsia" w:eastAsiaTheme="majorEastAsia" w:cstheme="majorEastAsia"/>
          <w:b/>
          <w:color w:val="000000" w:themeColor="text1"/>
          <w:sz w:val="28"/>
          <w:szCs w:val="28"/>
          <w14:textFill>
            <w14:solidFill>
              <w14:schemeClr w14:val="tx1"/>
            </w14:solidFill>
          </w14:textFill>
        </w:rPr>
      </w:pPr>
      <w:r>
        <w:rPr>
          <w:rFonts w:hint="eastAsia" w:asciiTheme="majorEastAsia" w:hAnsiTheme="majorEastAsia" w:eastAsiaTheme="majorEastAsia" w:cstheme="majorEastAsia"/>
          <w:b/>
          <w:color w:val="000000" w:themeColor="text1"/>
          <w:sz w:val="28"/>
          <w:szCs w:val="28"/>
          <w14:textFill>
            <w14:solidFill>
              <w14:schemeClr w14:val="tx1"/>
            </w14:solidFill>
          </w14:textFill>
        </w:rPr>
        <w:t>八、学位（毕业）论文</w:t>
      </w:r>
    </w:p>
    <w:p w14:paraId="0B30F93B">
      <w:pPr>
        <w:widowControl/>
        <w:spacing w:line="360" w:lineRule="auto"/>
        <w:ind w:firstLine="480"/>
        <w:jc w:val="left"/>
        <w:rPr>
          <w:color w:val="000000" w:themeColor="text1"/>
          <w:kern w:val="0"/>
          <w:sz w:val="24"/>
          <w14:textFill>
            <w14:solidFill>
              <w14:schemeClr w14:val="tx1"/>
            </w14:solidFill>
          </w14:textFill>
        </w:rPr>
      </w:pPr>
      <w:r>
        <w:rPr>
          <w:bCs/>
          <w:color w:val="000000" w:themeColor="text1"/>
          <w:kern w:val="0"/>
          <w:sz w:val="24"/>
          <w14:textFill>
            <w14:solidFill>
              <w14:schemeClr w14:val="tx1"/>
            </w14:solidFill>
          </w14:textFill>
        </w:rPr>
        <w:t>1</w:t>
      </w:r>
      <w:r>
        <w:rPr>
          <w:rFonts w:hint="eastAsia"/>
          <w:bCs/>
          <w:color w:val="000000" w:themeColor="text1"/>
          <w:kern w:val="0"/>
          <w:sz w:val="24"/>
          <w14:textFill>
            <w14:solidFill>
              <w14:schemeClr w14:val="tx1"/>
            </w14:solidFill>
          </w14:textFill>
        </w:rPr>
        <w:t>．</w:t>
      </w:r>
      <w:r>
        <w:rPr>
          <w:bCs/>
          <w:color w:val="000000" w:themeColor="text1"/>
          <w:kern w:val="0"/>
          <w:sz w:val="24"/>
          <w14:textFill>
            <w14:solidFill>
              <w14:schemeClr w14:val="tx1"/>
            </w14:solidFill>
          </w14:textFill>
        </w:rPr>
        <w:t>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color w:val="000000" w:themeColor="text1"/>
          <w:sz w:val="24"/>
          <w14:textFill>
            <w14:solidFill>
              <w14:schemeClr w14:val="tx1"/>
            </w14:solidFill>
          </w14:textFill>
        </w:rPr>
        <w:t>〔2025〕9号</w:t>
      </w:r>
      <w:r>
        <w:rPr>
          <w:color w:val="000000" w:themeColor="text1"/>
          <w:kern w:val="0"/>
          <w:sz w:val="24"/>
          <w14:textFill>
            <w14:solidFill>
              <w14:schemeClr w14:val="tx1"/>
            </w14:solidFill>
          </w14:textFill>
        </w:rPr>
        <w:t>）规定，博士研究生论文开题与答辩时间间隔原则上不少于18个月。学位（毕业）论文应当表明作者具有独立从事学术研究工作的能力，在学术研究领域做出创新性成果。</w:t>
      </w:r>
    </w:p>
    <w:p w14:paraId="6E5A63BB">
      <w:pPr>
        <w:widowControl/>
        <w:spacing w:line="360" w:lineRule="auto"/>
        <w:ind w:firstLine="480"/>
        <w:jc w:val="left"/>
        <w:rPr>
          <w:rFonts w:eastAsiaTheme="minorEastAsia"/>
          <w:bCs/>
          <w:color w:val="000000" w:themeColor="text1"/>
          <w:sz w:val="24"/>
          <w14:textFill>
            <w14:solidFill>
              <w14:schemeClr w14:val="tx1"/>
            </w14:solidFill>
          </w14:textFill>
        </w:rPr>
      </w:pPr>
      <w:r>
        <w:rPr>
          <w:bCs/>
          <w:color w:val="000000" w:themeColor="text1"/>
          <w:kern w:val="0"/>
          <w:sz w:val="24"/>
          <w14:textFill>
            <w14:solidFill>
              <w14:schemeClr w14:val="tx1"/>
            </w14:solidFill>
          </w14:textFill>
        </w:rPr>
        <w:t>2</w:t>
      </w:r>
      <w:r>
        <w:rPr>
          <w:rFonts w:hint="eastAsia"/>
          <w:bCs/>
          <w:color w:val="000000" w:themeColor="text1"/>
          <w:kern w:val="0"/>
          <w:sz w:val="24"/>
          <w14:textFill>
            <w14:solidFill>
              <w14:schemeClr w14:val="tx1"/>
            </w14:solidFill>
          </w14:textFill>
        </w:rPr>
        <w:t>．</w:t>
      </w:r>
      <w:r>
        <w:rPr>
          <w:bCs/>
          <w:color w:val="000000" w:themeColor="text1"/>
          <w:kern w:val="0"/>
          <w:sz w:val="24"/>
          <w14:textFill>
            <w14:solidFill>
              <w14:schemeClr w14:val="tx1"/>
            </w14:solidFill>
          </w14:textFill>
        </w:rPr>
        <w:t>开题：</w:t>
      </w:r>
      <w:r>
        <w:rPr>
          <w:rFonts w:eastAsiaTheme="minorEastAsia"/>
          <w:bCs/>
          <w:color w:val="000000" w:themeColor="text1"/>
          <w:sz w:val="24"/>
          <w14:textFill>
            <w14:solidFill>
              <w14:schemeClr w14:val="tx1"/>
            </w14:solidFill>
          </w14:textFill>
        </w:rPr>
        <w:t>开题是研究生培养过程中开展学位（毕业）论文工作的首要环节，要求研究生充分阅读国内外相关文献，撰写开题报告。开题报告应包含文献综述、论文选题依据、研究方案、预期目标与成果、工作计划等关键</w:t>
      </w:r>
      <w:r>
        <w:rPr>
          <w:rFonts w:hint="eastAsia" w:eastAsiaTheme="minorEastAsia"/>
          <w:bCs/>
          <w:color w:val="000000" w:themeColor="text1"/>
          <w:sz w:val="24"/>
          <w14:textFill>
            <w14:solidFill>
              <w14:schemeClr w14:val="tx1"/>
            </w14:solidFill>
          </w14:textFill>
        </w:rPr>
        <w:t>内容</w:t>
      </w:r>
      <w:r>
        <w:rPr>
          <w:rFonts w:eastAsiaTheme="minorEastAsia"/>
          <w:bCs/>
          <w:color w:val="000000" w:themeColor="text1"/>
          <w:sz w:val="24"/>
          <w14:textFill>
            <w14:solidFill>
              <w14:schemeClr w14:val="tx1"/>
            </w14:solidFill>
          </w14:textFill>
        </w:rPr>
        <w:t>。</w:t>
      </w:r>
    </w:p>
    <w:p w14:paraId="35338C58">
      <w:pPr>
        <w:widowControl/>
        <w:spacing w:line="360" w:lineRule="auto"/>
        <w:ind w:firstLine="480"/>
        <w:jc w:val="left"/>
        <w:rPr>
          <w:rFonts w:eastAsiaTheme="minorEastAsia"/>
          <w:bCs/>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原则上在入学后第3学期（最迟</w:t>
      </w:r>
      <w:r>
        <w:rPr>
          <w:rFonts w:hint="eastAsia" w:eastAsiaTheme="minorEastAsia"/>
          <w:bCs/>
          <w:color w:val="000000" w:themeColor="text1"/>
          <w:sz w:val="24"/>
          <w14:textFill>
            <w14:solidFill>
              <w14:schemeClr w14:val="tx1"/>
            </w14:solidFill>
          </w14:textFill>
        </w:rPr>
        <w:t>在</w:t>
      </w:r>
      <w:r>
        <w:rPr>
          <w:rFonts w:eastAsiaTheme="minorEastAsia"/>
          <w:bCs/>
          <w:color w:val="000000" w:themeColor="text1"/>
          <w:sz w:val="24"/>
          <w14:textFill>
            <w14:solidFill>
              <w14:schemeClr w14:val="tx1"/>
            </w14:solidFill>
          </w14:textFill>
        </w:rPr>
        <w:t>第4学期）完成开题。开题由3-5名具有</w:t>
      </w:r>
      <w:r>
        <w:rPr>
          <w:rFonts w:hint="eastAsia" w:eastAsiaTheme="minorEastAsia"/>
          <w:bCs/>
          <w:color w:val="000000" w:themeColor="text1"/>
          <w:sz w:val="24"/>
          <w14:textFill>
            <w14:solidFill>
              <w14:schemeClr w14:val="tx1"/>
            </w14:solidFill>
          </w14:textFill>
        </w:rPr>
        <w:t>副</w:t>
      </w:r>
      <w:r>
        <w:rPr>
          <w:rFonts w:eastAsiaTheme="minorEastAsia"/>
          <w:bCs/>
          <w:color w:val="000000" w:themeColor="text1"/>
          <w:sz w:val="24"/>
          <w14:textFill>
            <w14:solidFill>
              <w14:schemeClr w14:val="tx1"/>
            </w14:solidFill>
          </w14:textFill>
        </w:rPr>
        <w:t>高级</w:t>
      </w:r>
      <w:r>
        <w:rPr>
          <w:rFonts w:hint="eastAsia" w:eastAsiaTheme="minorEastAsia"/>
          <w:bCs/>
          <w:color w:val="000000" w:themeColor="text1"/>
          <w:sz w:val="24"/>
          <w14:textFill>
            <w14:solidFill>
              <w14:schemeClr w14:val="tx1"/>
            </w14:solidFill>
          </w14:textFill>
        </w:rPr>
        <w:t>及以上</w:t>
      </w:r>
      <w:r>
        <w:rPr>
          <w:rFonts w:eastAsiaTheme="minorEastAsia"/>
          <w:bCs/>
          <w:color w:val="000000" w:themeColor="text1"/>
          <w:sz w:val="24"/>
          <w14:textFill>
            <w14:solidFill>
              <w14:schemeClr w14:val="tx1"/>
            </w14:solidFill>
          </w14:textFill>
        </w:rPr>
        <w:t>专业技术职务人员参加，以学术报告的方式进行。</w:t>
      </w:r>
    </w:p>
    <w:p w14:paraId="4BB37D67">
      <w:pPr>
        <w:widowControl/>
        <w:spacing w:line="360" w:lineRule="auto"/>
        <w:ind w:firstLine="480"/>
        <w:jc w:val="left"/>
        <w:rPr>
          <w:i/>
          <w:color w:val="000000" w:themeColor="text1"/>
          <w:kern w:val="0"/>
          <w:sz w:val="24"/>
          <w14:textFill>
            <w14:solidFill>
              <w14:schemeClr w14:val="tx1"/>
            </w14:solidFill>
          </w14:textFill>
        </w:rPr>
      </w:pPr>
      <w:r>
        <w:rPr>
          <w:bCs/>
          <w:color w:val="000000" w:themeColor="text1"/>
          <w:kern w:val="0"/>
          <w:sz w:val="24"/>
          <w14:textFill>
            <w14:solidFill>
              <w14:schemeClr w14:val="tx1"/>
            </w14:solidFill>
          </w14:textFill>
        </w:rPr>
        <w:t>3</w:t>
      </w:r>
      <w:r>
        <w:rPr>
          <w:rFonts w:hint="eastAsia"/>
          <w:bCs/>
          <w:color w:val="000000" w:themeColor="text1"/>
          <w:kern w:val="0"/>
          <w:sz w:val="24"/>
          <w14:textFill>
            <w14:solidFill>
              <w14:schemeClr w14:val="tx1"/>
            </w14:solidFill>
          </w14:textFill>
        </w:rPr>
        <w:t>．</w:t>
      </w:r>
      <w:r>
        <w:rPr>
          <w:bCs/>
          <w:color w:val="000000" w:themeColor="text1"/>
          <w:kern w:val="0"/>
          <w:sz w:val="24"/>
          <w14:textFill>
            <w14:solidFill>
              <w14:schemeClr w14:val="tx1"/>
            </w14:solidFill>
          </w14:textFill>
        </w:rPr>
        <w:t>中期进展报告：</w:t>
      </w:r>
      <w:r>
        <w:rPr>
          <w:rFonts w:eastAsiaTheme="minorEastAsia"/>
          <w:bCs/>
          <w:color w:val="000000" w:themeColor="text1"/>
          <w:sz w:val="24"/>
          <w14:textFill>
            <w14:solidFill>
              <w14:schemeClr w14:val="tx1"/>
            </w14:solidFill>
          </w14:textFill>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1F055D67">
      <w:pPr>
        <w:widowControl/>
        <w:spacing w:line="360" w:lineRule="auto"/>
        <w:ind w:firstLine="480"/>
        <w:jc w:val="left"/>
        <w:rPr>
          <w:rFonts w:eastAsiaTheme="minorEastAsia"/>
          <w:bCs/>
          <w:color w:val="000000" w:themeColor="text1"/>
          <w:sz w:val="24"/>
          <w14:textFill>
            <w14:solidFill>
              <w14:schemeClr w14:val="tx1"/>
            </w14:solidFill>
          </w14:textFill>
        </w:rPr>
      </w:pPr>
      <w:r>
        <w:rPr>
          <w:bCs/>
          <w:color w:val="000000" w:themeColor="text1"/>
          <w:kern w:val="0"/>
          <w:sz w:val="24"/>
          <w14:textFill>
            <w14:solidFill>
              <w14:schemeClr w14:val="tx1"/>
            </w14:solidFill>
          </w14:textFill>
        </w:rPr>
        <w:t>4</w:t>
      </w:r>
      <w:r>
        <w:rPr>
          <w:rFonts w:hint="eastAsia"/>
          <w:bCs/>
          <w:color w:val="000000" w:themeColor="text1"/>
          <w:kern w:val="0"/>
          <w:sz w:val="24"/>
          <w14:textFill>
            <w14:solidFill>
              <w14:schemeClr w14:val="tx1"/>
            </w14:solidFill>
          </w14:textFill>
        </w:rPr>
        <w:t>．</w:t>
      </w:r>
      <w:r>
        <w:rPr>
          <w:bCs/>
          <w:color w:val="000000" w:themeColor="text1"/>
          <w:kern w:val="0"/>
          <w:sz w:val="24"/>
          <w14:textFill>
            <w14:solidFill>
              <w14:schemeClr w14:val="tx1"/>
            </w14:solidFill>
          </w14:textFill>
        </w:rPr>
        <w:t>学位申请：</w:t>
      </w:r>
      <w:r>
        <w:rPr>
          <w:rFonts w:eastAsiaTheme="minorEastAsia"/>
          <w:bCs/>
          <w:color w:val="000000" w:themeColor="text1"/>
          <w:sz w:val="24"/>
          <w14:textFill>
            <w14:solidFill>
              <w14:schemeClr w14:val="tx1"/>
            </w14:solidFill>
          </w14:textFill>
        </w:rPr>
        <w:t>达到学位授予条件的申请人，经导师同意后，应于答辩前三个月，向所属学位评定分委员会提出学位申请，提交学位申请材料。</w:t>
      </w:r>
    </w:p>
    <w:p w14:paraId="4BC445AB">
      <w:pPr>
        <w:widowControl/>
        <w:spacing w:line="360" w:lineRule="auto"/>
        <w:ind w:firstLine="480"/>
        <w:jc w:val="left"/>
        <w:rPr>
          <w:rFonts w:eastAsiaTheme="minorEastAsia"/>
          <w:bCs/>
          <w:color w:val="000000" w:themeColor="text1"/>
          <w:sz w:val="24"/>
          <w14:textFill>
            <w14:solidFill>
              <w14:schemeClr w14:val="tx1"/>
            </w14:solidFill>
          </w14:textFill>
        </w:rPr>
      </w:pPr>
      <w:r>
        <w:rPr>
          <w:bCs/>
          <w:color w:val="000000" w:themeColor="text1"/>
          <w:kern w:val="0"/>
          <w:sz w:val="24"/>
          <w14:textFill>
            <w14:solidFill>
              <w14:schemeClr w14:val="tx1"/>
            </w14:solidFill>
          </w14:textFill>
        </w:rPr>
        <w:t>5</w:t>
      </w:r>
      <w:r>
        <w:rPr>
          <w:rFonts w:hint="eastAsia"/>
          <w:bCs/>
          <w:color w:val="000000" w:themeColor="text1"/>
          <w:kern w:val="0"/>
          <w:sz w:val="24"/>
          <w14:textFill>
            <w14:solidFill>
              <w14:schemeClr w14:val="tx1"/>
            </w14:solidFill>
          </w14:textFill>
        </w:rPr>
        <w:t>．</w:t>
      </w:r>
      <w:r>
        <w:rPr>
          <w:bCs/>
          <w:color w:val="000000" w:themeColor="text1"/>
          <w:kern w:val="0"/>
          <w:sz w:val="24"/>
          <w14:textFill>
            <w14:solidFill>
              <w14:schemeClr w14:val="tx1"/>
            </w14:solidFill>
          </w14:textFill>
        </w:rPr>
        <w:t>预答辩：</w:t>
      </w:r>
      <w:r>
        <w:rPr>
          <w:rFonts w:eastAsiaTheme="minorEastAsia"/>
          <w:bCs/>
          <w:color w:val="000000" w:themeColor="text1"/>
          <w:sz w:val="24"/>
          <w14:textFill>
            <w14:solidFill>
              <w14:schemeClr w14:val="tx1"/>
            </w14:solidFill>
          </w14:textFill>
        </w:rPr>
        <w:t>学位申请人须进行学位论文预答辩。预答辩通过者，方可进入学位论文评阅、学位论文答辩等环节。学位（毕业）论文预答辩在正式答辩前3个月进行。</w:t>
      </w:r>
    </w:p>
    <w:p w14:paraId="712ACE1B">
      <w:pPr>
        <w:widowControl/>
        <w:spacing w:line="360" w:lineRule="auto"/>
        <w:ind w:firstLine="480"/>
        <w:jc w:val="left"/>
        <w:rPr>
          <w:color w:val="000000" w:themeColor="text1"/>
          <w:kern w:val="0"/>
          <w:sz w:val="24"/>
          <w14:textFill>
            <w14:solidFill>
              <w14:schemeClr w14:val="tx1"/>
            </w14:solidFill>
          </w14:textFill>
        </w:rPr>
      </w:pPr>
      <w:r>
        <w:rPr>
          <w:bCs/>
          <w:color w:val="000000" w:themeColor="text1"/>
          <w:kern w:val="0"/>
          <w:sz w:val="24"/>
          <w14:textFill>
            <w14:solidFill>
              <w14:schemeClr w14:val="tx1"/>
            </w14:solidFill>
          </w14:textFill>
        </w:rPr>
        <w:t>6</w:t>
      </w:r>
      <w:r>
        <w:rPr>
          <w:rFonts w:hint="eastAsia"/>
          <w:bCs/>
          <w:color w:val="000000" w:themeColor="text1"/>
          <w:kern w:val="0"/>
          <w:sz w:val="24"/>
          <w14:textFill>
            <w14:solidFill>
              <w14:schemeClr w14:val="tx1"/>
            </w14:solidFill>
          </w14:textFill>
        </w:rPr>
        <w:t>．</w:t>
      </w:r>
      <w:r>
        <w:rPr>
          <w:bCs/>
          <w:color w:val="000000" w:themeColor="text1"/>
          <w:kern w:val="0"/>
          <w:sz w:val="24"/>
          <w14:textFill>
            <w14:solidFill>
              <w14:schemeClr w14:val="tx1"/>
            </w14:solidFill>
          </w14:textFill>
        </w:rPr>
        <w:t>论文评阅：</w:t>
      </w:r>
      <w:r>
        <w:rPr>
          <w:rFonts w:eastAsiaTheme="minorEastAsia"/>
          <w:bCs/>
          <w:color w:val="000000" w:themeColor="text1"/>
          <w:sz w:val="24"/>
          <w14:textFill>
            <w14:solidFill>
              <w14:schemeClr w14:val="tx1"/>
            </w14:solidFill>
          </w14:textFill>
        </w:rPr>
        <w:t>学位（毕业）论文在获得导师组认可，经培养单位形式审查合格，并通过预答辩，方可提出进入评阅程序的申请。论文评阅在正式答辩前40天由研究生提出，由培养单位依据相关规定进行匿名评审。</w:t>
      </w:r>
      <w:r>
        <w:rPr>
          <w:color w:val="000000" w:themeColor="text1"/>
          <w:kern w:val="0"/>
          <w:sz w:val="24"/>
          <w14:textFill>
            <w14:solidFill>
              <w14:schemeClr w14:val="tx1"/>
            </w14:solidFill>
          </w14:textFill>
        </w:rPr>
        <w:t>评阅结果及异议处理按照《河北大学研究生学位论文或者实践成果评审管理办法》（校政字〔2025〕8号）执行。</w:t>
      </w:r>
    </w:p>
    <w:p w14:paraId="067F7527">
      <w:pPr>
        <w:widowControl/>
        <w:spacing w:line="360" w:lineRule="auto"/>
        <w:ind w:firstLine="480"/>
        <w:jc w:val="left"/>
        <w:rPr>
          <w:rFonts w:eastAsiaTheme="minorEastAsia"/>
          <w:i/>
          <w:color w:val="000000" w:themeColor="text1"/>
          <w:sz w:val="24"/>
          <w14:textFill>
            <w14:solidFill>
              <w14:schemeClr w14:val="tx1"/>
            </w14:solidFill>
          </w14:textFill>
        </w:rPr>
      </w:pPr>
      <w:r>
        <w:rPr>
          <w:bCs/>
          <w:color w:val="000000" w:themeColor="text1"/>
          <w:kern w:val="0"/>
          <w:sz w:val="24"/>
          <w14:textFill>
            <w14:solidFill>
              <w14:schemeClr w14:val="tx1"/>
            </w14:solidFill>
          </w14:textFill>
        </w:rPr>
        <w:t>7</w:t>
      </w:r>
      <w:r>
        <w:rPr>
          <w:rFonts w:hint="eastAsia"/>
          <w:bCs/>
          <w:color w:val="000000" w:themeColor="text1"/>
          <w:kern w:val="0"/>
          <w:sz w:val="24"/>
          <w14:textFill>
            <w14:solidFill>
              <w14:schemeClr w14:val="tx1"/>
            </w14:solidFill>
          </w14:textFill>
        </w:rPr>
        <w:t>．</w:t>
      </w:r>
      <w:r>
        <w:rPr>
          <w:bCs/>
          <w:color w:val="000000" w:themeColor="text1"/>
          <w:kern w:val="0"/>
          <w:sz w:val="24"/>
          <w14:textFill>
            <w14:solidFill>
              <w14:schemeClr w14:val="tx1"/>
            </w14:solidFill>
          </w14:textFill>
        </w:rPr>
        <w:t>答辩：学位（毕业）论文答辩按照</w:t>
      </w:r>
      <w:r>
        <w:rPr>
          <w:color w:val="000000" w:themeColor="text1"/>
          <w:kern w:val="0"/>
          <w:sz w:val="24"/>
          <w14:textFill>
            <w14:solidFill>
              <w14:schemeClr w14:val="tx1"/>
            </w14:solidFill>
          </w14:textFill>
        </w:rPr>
        <w:t>《河北大学博士、硕士学位授予工作实施细则》（校政字〔2025〕7号）执行。</w:t>
      </w:r>
    </w:p>
    <w:p w14:paraId="66A838F5">
      <w:pPr>
        <w:spacing w:line="360" w:lineRule="auto"/>
        <w:ind w:firstLine="560"/>
        <w:rPr>
          <w:rFonts w:asciiTheme="majorEastAsia" w:hAnsiTheme="majorEastAsia" w:eastAsiaTheme="majorEastAsia" w:cstheme="majorEastAsia"/>
          <w:b/>
          <w:color w:val="000000" w:themeColor="text1"/>
          <w:sz w:val="28"/>
          <w:szCs w:val="28"/>
          <w14:textFill>
            <w14:solidFill>
              <w14:schemeClr w14:val="tx1"/>
            </w14:solidFill>
          </w14:textFill>
        </w:rPr>
      </w:pPr>
      <w:r>
        <w:rPr>
          <w:rFonts w:hint="eastAsia" w:asciiTheme="majorEastAsia" w:hAnsiTheme="majorEastAsia" w:eastAsiaTheme="majorEastAsia" w:cstheme="majorEastAsia"/>
          <w:b/>
          <w:color w:val="000000" w:themeColor="text1"/>
          <w:sz w:val="28"/>
          <w:szCs w:val="28"/>
          <w14:textFill>
            <w14:solidFill>
              <w14:schemeClr w14:val="tx1"/>
            </w14:solidFill>
          </w14:textFill>
        </w:rPr>
        <w:t>九、毕业条件</w:t>
      </w:r>
    </w:p>
    <w:p w14:paraId="3B5E29B4">
      <w:pPr>
        <w:spacing w:line="440" w:lineRule="exact"/>
        <w:ind w:firstLine="480" w:firstLineChars="200"/>
        <w:rPr>
          <w:rFonts w:eastAsiaTheme="minorEastAsia"/>
          <w:bCs/>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1</w:t>
      </w:r>
      <w:r>
        <w:rPr>
          <w:rFonts w:hint="eastAsia" w:eastAsiaTheme="minorEastAsia"/>
          <w:bCs/>
          <w:color w:val="000000" w:themeColor="text1"/>
          <w:sz w:val="24"/>
          <w14:textFill>
            <w14:solidFill>
              <w14:schemeClr w14:val="tx1"/>
            </w14:solidFill>
          </w14:textFill>
        </w:rPr>
        <w:t>．</w:t>
      </w:r>
      <w:r>
        <w:rPr>
          <w:rFonts w:eastAsiaTheme="minorEastAsia"/>
          <w:bCs/>
          <w:color w:val="000000" w:themeColor="text1"/>
          <w:sz w:val="24"/>
          <w14:textFill>
            <w14:solidFill>
              <w14:schemeClr w14:val="tx1"/>
            </w14:solidFill>
          </w14:textFill>
        </w:rPr>
        <w:t>课程学习。研究生在规定修业年限内完成培养方案规定的课程学习，考核成绩合格，获得规定的学分。</w:t>
      </w:r>
    </w:p>
    <w:p w14:paraId="2672A281">
      <w:pPr>
        <w:spacing w:line="440" w:lineRule="exact"/>
        <w:ind w:firstLine="480" w:firstLineChars="200"/>
        <w:rPr>
          <w:rFonts w:eastAsiaTheme="minorEastAsia"/>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2</w:t>
      </w:r>
      <w:r>
        <w:rPr>
          <w:rFonts w:hint="eastAsia" w:eastAsiaTheme="minorEastAsia"/>
          <w:bCs/>
          <w:color w:val="000000" w:themeColor="text1"/>
          <w:sz w:val="24"/>
          <w14:textFill>
            <w14:solidFill>
              <w14:schemeClr w14:val="tx1"/>
            </w14:solidFill>
          </w14:textFill>
        </w:rPr>
        <w:t>．</w:t>
      </w:r>
      <w:r>
        <w:rPr>
          <w:rFonts w:eastAsiaTheme="minorEastAsia"/>
          <w:bCs/>
          <w:color w:val="000000" w:themeColor="text1"/>
          <w:sz w:val="24"/>
          <w14:textFill>
            <w14:solidFill>
              <w14:schemeClr w14:val="tx1"/>
            </w14:solidFill>
          </w14:textFill>
        </w:rPr>
        <w:t>学术活动。研究生</w:t>
      </w:r>
      <w:r>
        <w:rPr>
          <w:rFonts w:eastAsiaTheme="minorEastAsia"/>
          <w:color w:val="000000" w:themeColor="text1"/>
          <w:sz w:val="24"/>
          <w14:textFill>
            <w14:solidFill>
              <w14:schemeClr w14:val="tx1"/>
            </w14:solidFill>
          </w14:textFill>
        </w:rPr>
        <w:t>在读期间参加不少于</w:t>
      </w:r>
      <w:r>
        <w:rPr>
          <w:rFonts w:eastAsiaTheme="minorEastAsia"/>
          <w:iCs/>
          <w:color w:val="000000" w:themeColor="text1"/>
          <w:sz w:val="24"/>
          <w14:textFill>
            <w14:solidFill>
              <w14:schemeClr w14:val="tx1"/>
            </w14:solidFill>
          </w14:textFill>
        </w:rPr>
        <w:t>10</w:t>
      </w:r>
      <w:r>
        <w:rPr>
          <w:rFonts w:eastAsiaTheme="minorEastAsia"/>
          <w:color w:val="000000" w:themeColor="text1"/>
          <w:sz w:val="24"/>
          <w14:textFill>
            <w14:solidFill>
              <w14:schemeClr w14:val="tx1"/>
            </w14:solidFill>
          </w14:textFill>
        </w:rPr>
        <w:t>次学术活动，并撰写学术报告小结；以主讲人或宣讲人身份，参加在校内外举行的学术报告或学术讲座不少于</w:t>
      </w:r>
      <w:r>
        <w:rPr>
          <w:rFonts w:eastAsiaTheme="minorEastAsia"/>
          <w:iCs/>
          <w:color w:val="000000" w:themeColor="text1"/>
          <w:sz w:val="24"/>
          <w14:textFill>
            <w14:solidFill>
              <w14:schemeClr w14:val="tx1"/>
            </w14:solidFill>
          </w14:textFill>
        </w:rPr>
        <w:t>1</w:t>
      </w:r>
      <w:r>
        <w:rPr>
          <w:rFonts w:eastAsiaTheme="minorEastAsia"/>
          <w:color w:val="000000" w:themeColor="text1"/>
          <w:sz w:val="24"/>
          <w14:textFill>
            <w14:solidFill>
              <w14:schemeClr w14:val="tx1"/>
            </w14:solidFill>
          </w14:textFill>
        </w:rPr>
        <w:t>次。</w:t>
      </w:r>
    </w:p>
    <w:p w14:paraId="672BCDE7">
      <w:pPr>
        <w:spacing w:line="440" w:lineRule="exact"/>
        <w:ind w:firstLine="480" w:firstLineChars="200"/>
        <w:rPr>
          <w:rFonts w:eastAsiaTheme="minorEastAsia"/>
          <w:bCs/>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3</w:t>
      </w:r>
      <w:r>
        <w:rPr>
          <w:rFonts w:hint="eastAsia" w:eastAsiaTheme="minorEastAsia"/>
          <w:color w:val="000000" w:themeColor="text1"/>
          <w:sz w:val="24"/>
          <w14:textFill>
            <w14:solidFill>
              <w14:schemeClr w14:val="tx1"/>
            </w14:solidFill>
          </w14:textFill>
        </w:rPr>
        <w:t>．提前毕业。</w:t>
      </w:r>
      <w:r>
        <w:rPr>
          <w:rFonts w:eastAsiaTheme="minorEastAsia"/>
          <w:color w:val="000000" w:themeColor="text1"/>
          <w:sz w:val="24"/>
          <w14:textFill>
            <w14:solidFill>
              <w14:schemeClr w14:val="tx1"/>
            </w14:solidFill>
          </w14:textFill>
        </w:rPr>
        <w:t>符合《河北大学关于硕士研究生申请提前毕业的规定》（校研字〔2015〕5号）相关要求的，</w:t>
      </w:r>
      <w:r>
        <w:rPr>
          <w:rFonts w:eastAsiaTheme="minorEastAsia"/>
          <w:bCs/>
          <w:color w:val="000000" w:themeColor="text1"/>
          <w:sz w:val="24"/>
          <w14:textFill>
            <w14:solidFill>
              <w14:schemeClr w14:val="tx1"/>
            </w14:solidFill>
          </w14:textFill>
        </w:rPr>
        <w:t>可申请</w:t>
      </w:r>
      <w:r>
        <w:rPr>
          <w:rFonts w:eastAsiaTheme="minorEastAsia"/>
          <w:color w:val="000000" w:themeColor="text1"/>
          <w:sz w:val="24"/>
          <w14:textFill>
            <w14:solidFill>
              <w14:schemeClr w14:val="tx1"/>
            </w14:solidFill>
          </w14:textFill>
        </w:rPr>
        <w:t>提前毕业。</w:t>
      </w:r>
    </w:p>
    <w:p w14:paraId="168711F4">
      <w:pPr>
        <w:spacing w:line="440" w:lineRule="exact"/>
        <w:ind w:firstLine="480" w:firstLineChars="200"/>
        <w:rPr>
          <w:rFonts w:eastAsiaTheme="minorEastAsia"/>
          <w:bCs/>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4</w:t>
      </w:r>
      <w:r>
        <w:rPr>
          <w:rFonts w:hint="eastAsia" w:eastAsiaTheme="minorEastAsia"/>
          <w:bCs/>
          <w:color w:val="000000" w:themeColor="text1"/>
          <w:sz w:val="24"/>
          <w14:textFill>
            <w14:solidFill>
              <w14:schemeClr w14:val="tx1"/>
            </w14:solidFill>
          </w14:textFill>
        </w:rPr>
        <w:t>．</w:t>
      </w:r>
      <w:r>
        <w:rPr>
          <w:rFonts w:eastAsiaTheme="minorEastAsia"/>
          <w:bCs/>
          <w:color w:val="000000" w:themeColor="text1"/>
          <w:sz w:val="24"/>
          <w14:textFill>
            <w14:solidFill>
              <w14:schemeClr w14:val="tx1"/>
            </w14:solidFill>
          </w14:textFill>
        </w:rPr>
        <w:t>论文答辩。学位（毕业）论文经专家评审合格、通过学位（毕业）答辩，符合毕业资格审查后，准予毕业。</w:t>
      </w:r>
    </w:p>
    <w:p w14:paraId="0997EAEB">
      <w:pPr>
        <w:spacing w:line="360" w:lineRule="auto"/>
        <w:ind w:firstLine="560"/>
        <w:rPr>
          <w:rFonts w:asciiTheme="majorEastAsia" w:hAnsiTheme="majorEastAsia" w:eastAsiaTheme="majorEastAsia" w:cstheme="majorEastAsia"/>
          <w:b/>
          <w:color w:val="000000" w:themeColor="text1"/>
          <w:sz w:val="28"/>
          <w:szCs w:val="28"/>
          <w14:textFill>
            <w14:solidFill>
              <w14:schemeClr w14:val="tx1"/>
            </w14:solidFill>
          </w14:textFill>
        </w:rPr>
      </w:pPr>
      <w:r>
        <w:rPr>
          <w:rFonts w:hint="eastAsia" w:asciiTheme="majorEastAsia" w:hAnsiTheme="majorEastAsia" w:eastAsiaTheme="majorEastAsia" w:cstheme="majorEastAsia"/>
          <w:b/>
          <w:color w:val="000000" w:themeColor="text1"/>
          <w:sz w:val="28"/>
          <w:szCs w:val="28"/>
          <w14:textFill>
            <w14:solidFill>
              <w14:schemeClr w14:val="tx1"/>
            </w14:solidFill>
          </w14:textFill>
        </w:rPr>
        <w:t>十、创新性成果</w:t>
      </w:r>
    </w:p>
    <w:p w14:paraId="30D041FE">
      <w:pPr>
        <w:spacing w:line="360" w:lineRule="auto"/>
        <w:ind w:firstLine="480" w:firstLineChars="200"/>
        <w:rPr>
          <w:rFonts w:eastAsiaTheme="minorEastAsia"/>
          <w:bCs/>
          <w:color w:val="000000" w:themeColor="text1"/>
          <w:sz w:val="24"/>
          <w14:textFill>
            <w14:solidFill>
              <w14:schemeClr w14:val="tx1"/>
            </w14:solidFill>
          </w14:textFill>
        </w:rPr>
      </w:pPr>
      <w:r>
        <w:rPr>
          <w:rFonts w:hint="eastAsia" w:eastAsiaTheme="minorEastAsia"/>
          <w:bCs/>
          <w:color w:val="000000" w:themeColor="text1"/>
          <w:sz w:val="24"/>
          <w14:textFill>
            <w14:solidFill>
              <w14:schemeClr w14:val="tx1"/>
            </w14:solidFill>
          </w14:textFill>
        </w:rPr>
        <w:t>依据本学院制定的</w:t>
      </w:r>
      <w:r>
        <w:rPr>
          <w:rFonts w:eastAsiaTheme="minorEastAsia"/>
          <w:bCs/>
          <w:color w:val="000000" w:themeColor="text1"/>
          <w:sz w:val="24"/>
          <w14:textFill>
            <w14:solidFill>
              <w14:schemeClr w14:val="tx1"/>
            </w14:solidFill>
          </w14:textFill>
        </w:rPr>
        <w:t>创新性成果要求</w:t>
      </w:r>
      <w:r>
        <w:rPr>
          <w:rFonts w:hint="eastAsia" w:eastAsiaTheme="minorEastAsia"/>
          <w:bCs/>
          <w:color w:val="000000" w:themeColor="text1"/>
          <w:sz w:val="24"/>
          <w14:textFill>
            <w14:solidFill>
              <w14:schemeClr w14:val="tx1"/>
            </w14:solidFill>
          </w14:textFill>
        </w:rPr>
        <w:t>执行。</w:t>
      </w:r>
    </w:p>
    <w:p w14:paraId="67E2436A">
      <w:pPr>
        <w:spacing w:line="360" w:lineRule="auto"/>
        <w:ind w:firstLine="560"/>
        <w:rPr>
          <w:rFonts w:asciiTheme="majorEastAsia" w:hAnsiTheme="majorEastAsia" w:eastAsiaTheme="majorEastAsia" w:cstheme="majorEastAsia"/>
          <w:b/>
          <w:color w:val="000000" w:themeColor="text1"/>
          <w:sz w:val="28"/>
          <w:szCs w:val="28"/>
          <w14:textFill>
            <w14:solidFill>
              <w14:schemeClr w14:val="tx1"/>
            </w14:solidFill>
          </w14:textFill>
        </w:rPr>
      </w:pPr>
      <w:r>
        <w:rPr>
          <w:rFonts w:hint="eastAsia" w:asciiTheme="majorEastAsia" w:hAnsiTheme="majorEastAsia" w:eastAsiaTheme="majorEastAsia" w:cstheme="majorEastAsia"/>
          <w:b/>
          <w:color w:val="000000" w:themeColor="text1"/>
          <w:sz w:val="28"/>
          <w:szCs w:val="28"/>
          <w14:textFill>
            <w14:solidFill>
              <w14:schemeClr w14:val="tx1"/>
            </w14:solidFill>
          </w14:textFill>
        </w:rPr>
        <w:t>十一、学位授予</w:t>
      </w:r>
    </w:p>
    <w:p w14:paraId="5A7128AE">
      <w:pPr>
        <w:spacing w:line="360" w:lineRule="auto"/>
        <w:ind w:firstLine="480" w:firstLineChars="200"/>
        <w:rPr>
          <w:rFonts w:eastAsiaTheme="minorEastAsia"/>
          <w:bCs/>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研究生通过毕业资格审查，</w:t>
      </w:r>
      <w:r>
        <w:rPr>
          <w:color w:val="000000" w:themeColor="text1"/>
          <w:kern w:val="0"/>
          <w:sz w:val="24"/>
          <w14:textFill>
            <w14:solidFill>
              <w14:schemeClr w14:val="tx1"/>
            </w14:solidFill>
          </w14:textFill>
        </w:rPr>
        <w:t>满足本学院制定的创新性成果要求，</w:t>
      </w:r>
      <w:r>
        <w:rPr>
          <w:rFonts w:eastAsiaTheme="minorEastAsia"/>
          <w:bCs/>
          <w:color w:val="000000" w:themeColor="text1"/>
          <w:sz w:val="24"/>
          <w14:textFill>
            <w14:solidFill>
              <w14:schemeClr w14:val="tx1"/>
            </w14:solidFill>
          </w14:textFill>
        </w:rPr>
        <w:t>符合</w:t>
      </w:r>
      <w:r>
        <w:rPr>
          <w:color w:val="000000" w:themeColor="text1"/>
          <w:kern w:val="0"/>
          <w:sz w:val="24"/>
          <w14:textFill>
            <w14:solidFill>
              <w14:schemeClr w14:val="tx1"/>
            </w14:solidFill>
          </w14:textFill>
        </w:rPr>
        <w:t>《河北大学博士、硕士学位授予工作实施细则》（校政字〔2025〕7号）</w:t>
      </w:r>
      <w:r>
        <w:rPr>
          <w:rFonts w:eastAsiaTheme="minorEastAsia"/>
          <w:bCs/>
          <w:color w:val="000000" w:themeColor="text1"/>
          <w:sz w:val="24"/>
          <w14:textFill>
            <w14:solidFill>
              <w14:schemeClr w14:val="tx1"/>
            </w14:solidFill>
          </w14:textFill>
        </w:rPr>
        <w:t>的有关规定，达到学校学位授予标准，经学校学位评定委员会审议，授予博士学位。</w:t>
      </w:r>
    </w:p>
    <w:p w14:paraId="0A69C815">
      <w:pPr>
        <w:spacing w:line="360" w:lineRule="auto"/>
        <w:ind w:firstLine="560"/>
        <w:rPr>
          <w:rFonts w:asciiTheme="majorEastAsia" w:hAnsiTheme="majorEastAsia" w:eastAsiaTheme="majorEastAsia" w:cstheme="majorEastAsia"/>
          <w:b/>
          <w:color w:val="000000" w:themeColor="text1"/>
          <w:sz w:val="28"/>
          <w:szCs w:val="28"/>
          <w14:textFill>
            <w14:solidFill>
              <w14:schemeClr w14:val="tx1"/>
            </w14:solidFill>
          </w14:textFill>
        </w:rPr>
      </w:pPr>
      <w:r>
        <w:rPr>
          <w:rFonts w:hint="eastAsia" w:asciiTheme="majorEastAsia" w:hAnsiTheme="majorEastAsia" w:eastAsiaTheme="majorEastAsia" w:cstheme="majorEastAsia"/>
          <w:b/>
          <w:color w:val="000000" w:themeColor="text1"/>
          <w:sz w:val="28"/>
          <w:szCs w:val="28"/>
          <w14:textFill>
            <w14:solidFill>
              <w14:schemeClr w14:val="tx1"/>
            </w14:solidFill>
          </w14:textFill>
        </w:rPr>
        <w:t>十二、学分及课程设置</w:t>
      </w:r>
    </w:p>
    <w:p w14:paraId="02A73C10">
      <w:pPr>
        <w:spacing w:line="360" w:lineRule="auto"/>
        <w:ind w:firstLine="480"/>
        <w:rPr>
          <w:rFonts w:ascii="宋体" w:hAnsi="宋体"/>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本学科所属</w:t>
      </w:r>
      <w:r>
        <w:rPr>
          <w:rFonts w:hint="eastAsia" w:eastAsiaTheme="minorEastAsia"/>
          <w:color w:val="000000" w:themeColor="text1"/>
          <w:sz w:val="24"/>
          <w14:textFill>
            <w14:solidFill>
              <w14:schemeClr w14:val="tx1"/>
            </w14:solidFill>
          </w14:textFill>
        </w:rPr>
        <w:t>专业</w:t>
      </w:r>
      <w:r>
        <w:rPr>
          <w:rFonts w:eastAsiaTheme="minorEastAsia"/>
          <w:color w:val="000000" w:themeColor="text1"/>
          <w:sz w:val="24"/>
          <w14:textFill>
            <w14:solidFill>
              <w14:schemeClr w14:val="tx1"/>
            </w14:solidFill>
          </w14:textFill>
        </w:rPr>
        <w:t>最低修读学分为</w:t>
      </w:r>
      <w:r>
        <w:rPr>
          <w:rFonts w:hint="eastAsia" w:eastAsiaTheme="minorEastAsia"/>
          <w:color w:val="000000" w:themeColor="text1"/>
          <w:sz w:val="24"/>
          <w14:textFill>
            <w14:solidFill>
              <w14:schemeClr w14:val="tx1"/>
            </w14:solidFill>
          </w14:textFill>
        </w:rPr>
        <w:t>28</w:t>
      </w:r>
      <w:r>
        <w:rPr>
          <w:rFonts w:eastAsiaTheme="minorEastAsia"/>
          <w:color w:val="000000" w:themeColor="text1"/>
          <w:sz w:val="24"/>
          <w14:textFill>
            <w14:solidFill>
              <w14:schemeClr w14:val="tx1"/>
            </w14:solidFill>
          </w14:textFill>
        </w:rPr>
        <w:t>分，其中学位课</w:t>
      </w:r>
      <w:r>
        <w:rPr>
          <w:rFonts w:hint="eastAsia" w:eastAsiaTheme="minorEastAsia"/>
          <w:color w:val="000000" w:themeColor="text1"/>
          <w:sz w:val="24"/>
          <w14:textFill>
            <w14:solidFill>
              <w14:schemeClr w14:val="tx1"/>
            </w14:solidFill>
          </w14:textFill>
        </w:rPr>
        <w:t>15</w:t>
      </w:r>
      <w:r>
        <w:rPr>
          <w:rFonts w:eastAsiaTheme="minorEastAsia"/>
          <w:color w:val="000000" w:themeColor="text1"/>
          <w:sz w:val="24"/>
          <w14:textFill>
            <w14:solidFill>
              <w14:schemeClr w14:val="tx1"/>
            </w14:solidFill>
          </w14:textFill>
        </w:rPr>
        <w:t>学分</w:t>
      </w:r>
      <w:r>
        <w:rPr>
          <w:rFonts w:hint="eastAsia" w:eastAsiaTheme="minorEastAsia"/>
          <w:color w:val="000000" w:themeColor="text1"/>
          <w:sz w:val="24"/>
          <w14:textFill>
            <w14:solidFill>
              <w14:schemeClr w14:val="tx1"/>
            </w14:solidFill>
          </w14:textFill>
        </w:rPr>
        <w:t>，</w:t>
      </w:r>
      <w:r>
        <w:rPr>
          <w:rFonts w:eastAsiaTheme="minorEastAsia"/>
          <w:color w:val="000000" w:themeColor="text1"/>
          <w:sz w:val="24"/>
          <w14:textFill>
            <w14:solidFill>
              <w14:schemeClr w14:val="tx1"/>
            </w14:solidFill>
          </w14:textFill>
        </w:rPr>
        <w:t>非学位课</w:t>
      </w:r>
      <w:r>
        <w:rPr>
          <w:rFonts w:hint="eastAsia" w:eastAsiaTheme="minorEastAsia"/>
          <w:color w:val="000000" w:themeColor="text1"/>
          <w:sz w:val="24"/>
          <w14:textFill>
            <w14:solidFill>
              <w14:schemeClr w14:val="tx1"/>
            </w14:solidFill>
          </w14:textFill>
        </w:rPr>
        <w:t>12</w:t>
      </w:r>
      <w:r>
        <w:rPr>
          <w:rFonts w:eastAsiaTheme="minorEastAsia"/>
          <w:color w:val="000000" w:themeColor="text1"/>
          <w:sz w:val="24"/>
          <w14:textFill>
            <w14:solidFill>
              <w14:schemeClr w14:val="tx1"/>
            </w14:solidFill>
          </w14:textFill>
        </w:rPr>
        <w:t>学分</w:t>
      </w:r>
      <w:r>
        <w:rPr>
          <w:rFonts w:hint="eastAsia" w:eastAsiaTheme="minorEastAsia"/>
          <w:color w:val="000000" w:themeColor="text1"/>
          <w:sz w:val="24"/>
          <w14:textFill>
            <w14:solidFill>
              <w14:schemeClr w14:val="tx1"/>
            </w14:solidFill>
          </w14:textFill>
        </w:rPr>
        <w:t>，必修环节1分。</w:t>
      </w:r>
    </w:p>
    <w:p w14:paraId="753792F6">
      <w:pPr>
        <w:widowControl/>
        <w:snapToGrid w:val="0"/>
        <w:spacing w:line="420" w:lineRule="exact"/>
        <w:ind w:firstLine="480"/>
        <w:rPr>
          <w:rFonts w:ascii="宋体" w:hAnsi="宋体"/>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课程考核方式包括考试和考查</w:t>
      </w:r>
      <w:r>
        <w:rPr>
          <w:rFonts w:hint="eastAsia" w:eastAsiaTheme="minorEastAsia"/>
          <w:color w:val="000000" w:themeColor="text1"/>
          <w:sz w:val="24"/>
          <w14:textFill>
            <w14:solidFill>
              <w14:schemeClr w14:val="tx1"/>
            </w14:solidFill>
          </w14:textFill>
        </w:rPr>
        <w:t>，可以</w:t>
      </w:r>
      <w:r>
        <w:rPr>
          <w:rFonts w:hint="eastAsia" w:ascii="宋体" w:hAnsi="宋体" w:cs="宋体"/>
          <w:color w:val="000000" w:themeColor="text1"/>
          <w:kern w:val="0"/>
          <w:sz w:val="24"/>
          <w14:textFill>
            <w14:solidFill>
              <w14:schemeClr w14:val="tx1"/>
            </w14:solidFill>
          </w14:textFill>
        </w:rPr>
        <w:t>采取课程考试、课程论文、调查报告、教学设计、实践（实验）报告等多种评价方式，加强过程性评价，注重课程目标达成度评价，建立基于评价的课程与教学质量持续改进机制。</w:t>
      </w:r>
      <w:r>
        <w:rPr>
          <w:rFonts w:hint="eastAsia" w:ascii="宋体" w:hAnsi="宋体"/>
          <w:color w:val="000000" w:themeColor="text1"/>
          <w:sz w:val="24"/>
          <w14:textFill>
            <w14:solidFill>
              <w14:schemeClr w14:val="tx1"/>
            </w14:solidFill>
          </w14:textFill>
        </w:rPr>
        <w:t>考试成绩均按百分成绩评定。</w:t>
      </w:r>
    </w:p>
    <w:p w14:paraId="7FE9184E">
      <w:pPr>
        <w:spacing w:line="420" w:lineRule="exact"/>
        <w:ind w:firstLine="480"/>
        <w:rPr>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研究生课程考试不设补考环节，</w:t>
      </w:r>
      <w:r>
        <w:rPr>
          <w:color w:val="000000" w:themeColor="text1"/>
          <w:sz w:val="24"/>
          <w14:textFill>
            <w14:solidFill>
              <w14:schemeClr w14:val="tx1"/>
            </w14:solidFill>
          </w14:textFill>
        </w:rPr>
        <w:t>考试成绩</w:t>
      </w:r>
      <w:r>
        <w:rPr>
          <w:rFonts w:hint="eastAsia"/>
          <w:color w:val="000000" w:themeColor="text1"/>
          <w:sz w:val="24"/>
          <w14:textFill>
            <w14:solidFill>
              <w14:schemeClr w14:val="tx1"/>
            </w14:solidFill>
          </w14:textFill>
        </w:rPr>
        <w:t>低于60分的需重修。</w:t>
      </w:r>
    </w:p>
    <w:p w14:paraId="4EAB5460">
      <w:pPr>
        <w:spacing w:after="156" w:afterLines="50" w:line="440" w:lineRule="exact"/>
        <w:ind w:firstLine="482" w:firstLineChars="200"/>
        <w:jc w:val="center"/>
        <w:rPr>
          <w:rFonts w:eastAsiaTheme="minorEastAsia"/>
          <w:b/>
          <w:bCs/>
          <w:color w:val="000000" w:themeColor="text1"/>
          <w:sz w:val="24"/>
          <w14:textFill>
            <w14:solidFill>
              <w14:schemeClr w14:val="tx1"/>
            </w14:solidFill>
          </w14:textFill>
        </w:rPr>
      </w:pPr>
      <w:r>
        <w:rPr>
          <w:rFonts w:hint="eastAsia" w:eastAsiaTheme="minorEastAsia"/>
          <w:b/>
          <w:bCs/>
          <w:color w:val="000000" w:themeColor="text1"/>
          <w:sz w:val="24"/>
          <w14:textFill>
            <w14:solidFill>
              <w14:schemeClr w14:val="tx1"/>
            </w14:solidFill>
          </w14:textFill>
        </w:rPr>
        <w:t>教育技术</w:t>
      </w:r>
      <w:r>
        <w:rPr>
          <w:rFonts w:eastAsiaTheme="minorEastAsia"/>
          <w:b/>
          <w:bCs/>
          <w:color w:val="000000" w:themeColor="text1"/>
          <w:sz w:val="24"/>
          <w14:textFill>
            <w14:solidFill>
              <w14:schemeClr w14:val="tx1"/>
            </w14:solidFill>
          </w14:textFill>
        </w:rPr>
        <w:t>专业学术学位</w:t>
      </w:r>
      <w:r>
        <w:rPr>
          <w:rFonts w:hint="eastAsia" w:eastAsiaTheme="minorEastAsia"/>
          <w:b/>
          <w:bCs/>
          <w:color w:val="000000" w:themeColor="text1"/>
          <w:sz w:val="24"/>
          <w14:textFill>
            <w14:solidFill>
              <w14:schemeClr w14:val="tx1"/>
            </w14:solidFill>
          </w14:textFill>
        </w:rPr>
        <w:t>硕</w:t>
      </w:r>
      <w:r>
        <w:rPr>
          <w:rFonts w:eastAsiaTheme="minorEastAsia"/>
          <w:b/>
          <w:bCs/>
          <w:color w:val="000000" w:themeColor="text1"/>
          <w:sz w:val="24"/>
          <w14:textFill>
            <w14:solidFill>
              <w14:schemeClr w14:val="tx1"/>
            </w14:solidFill>
          </w14:textFill>
        </w:rPr>
        <w:t>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4AC3587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3708E637">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2F30B487">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4E5ACFE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5973A7F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74EEF65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77FF3D3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0C98F6D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33CAA7B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1490C86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7295691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4808AF2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190AB6E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w:t>
            </w:r>
            <w:r>
              <w:rPr>
                <w:rFonts w:hint="eastAsia"/>
                <w:color w:val="000000" w:themeColor="text1"/>
                <w:sz w:val="18"/>
                <w:szCs w:val="18"/>
                <w14:textFill>
                  <w14:solidFill>
                    <w14:schemeClr w14:val="tx1"/>
                  </w14:solidFill>
                </w14:textFill>
              </w:rPr>
              <w:t>00</w:t>
            </w:r>
            <w:r>
              <w:rPr>
                <w:color w:val="000000" w:themeColor="text1"/>
                <w:sz w:val="18"/>
                <w:szCs w:val="18"/>
                <w14:textFill>
                  <w14:solidFill>
                    <w14:schemeClr w14:val="tx1"/>
                  </w14:solidFill>
                </w14:textFill>
              </w:rPr>
              <w:t>001</w:t>
            </w:r>
          </w:p>
        </w:tc>
        <w:tc>
          <w:tcPr>
            <w:tcW w:w="709" w:type="dxa"/>
            <w:vAlign w:val="center"/>
          </w:tcPr>
          <w:p w14:paraId="414C6A4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7EB7F43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3A825CC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6DA001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297699F1">
            <w:pPr>
              <w:jc w:val="center"/>
              <w:rPr>
                <w:b/>
                <w:color w:val="000000" w:themeColor="text1"/>
                <w:sz w:val="18"/>
                <w:szCs w:val="18"/>
                <w14:textFill>
                  <w14:solidFill>
                    <w14:schemeClr w14:val="tx1"/>
                  </w14:solidFill>
                </w14:textFill>
              </w:rPr>
            </w:pPr>
          </w:p>
        </w:tc>
        <w:tc>
          <w:tcPr>
            <w:tcW w:w="1226" w:type="dxa"/>
            <w:vMerge w:val="continue"/>
            <w:vAlign w:val="center"/>
          </w:tcPr>
          <w:p w14:paraId="45195849">
            <w:pPr>
              <w:jc w:val="center"/>
              <w:rPr>
                <w:b/>
                <w:color w:val="000000" w:themeColor="text1"/>
                <w:sz w:val="18"/>
                <w:szCs w:val="18"/>
                <w14:textFill>
                  <w14:solidFill>
                    <w14:schemeClr w14:val="tx1"/>
                  </w14:solidFill>
                </w14:textFill>
              </w:rPr>
            </w:pPr>
          </w:p>
        </w:tc>
        <w:tc>
          <w:tcPr>
            <w:tcW w:w="3516" w:type="dxa"/>
            <w:vAlign w:val="center"/>
          </w:tcPr>
          <w:p w14:paraId="4399775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通用学术英语</w:t>
            </w:r>
          </w:p>
        </w:tc>
        <w:tc>
          <w:tcPr>
            <w:tcW w:w="1081" w:type="dxa"/>
            <w:vAlign w:val="center"/>
          </w:tcPr>
          <w:p w14:paraId="43AE5FC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TS0000002</w:t>
            </w:r>
          </w:p>
        </w:tc>
        <w:tc>
          <w:tcPr>
            <w:tcW w:w="709" w:type="dxa"/>
            <w:vAlign w:val="center"/>
          </w:tcPr>
          <w:p w14:paraId="26F88D2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7FFACDC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5954FA9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7F0E47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00DB1C9">
            <w:pPr>
              <w:jc w:val="center"/>
              <w:rPr>
                <w:b/>
                <w:color w:val="000000" w:themeColor="text1"/>
                <w:sz w:val="18"/>
                <w:szCs w:val="18"/>
                <w14:textFill>
                  <w14:solidFill>
                    <w14:schemeClr w14:val="tx1"/>
                  </w14:solidFill>
                </w14:textFill>
              </w:rPr>
            </w:pPr>
          </w:p>
        </w:tc>
        <w:tc>
          <w:tcPr>
            <w:tcW w:w="1226" w:type="dxa"/>
            <w:vMerge w:val="restart"/>
            <w:vAlign w:val="center"/>
          </w:tcPr>
          <w:p w14:paraId="2A89B047">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学科基础课</w:t>
            </w:r>
          </w:p>
          <w:p w14:paraId="6EDA9573">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w:t>
            </w:r>
            <w:r>
              <w:rPr>
                <w:b/>
                <w:color w:val="000000" w:themeColor="text1"/>
                <w:sz w:val="18"/>
                <w:szCs w:val="18"/>
                <w14:textFill>
                  <w14:solidFill>
                    <w14:schemeClr w14:val="tx1"/>
                  </w14:solidFill>
                </w14:textFill>
              </w:rPr>
              <w:t>7</w:t>
            </w:r>
            <w:r>
              <w:rPr>
                <w:rFonts w:hint="eastAsia"/>
                <w:b/>
                <w:color w:val="000000" w:themeColor="text1"/>
                <w:sz w:val="18"/>
                <w:szCs w:val="18"/>
                <w14:textFill>
                  <w14:solidFill>
                    <w14:schemeClr w14:val="tx1"/>
                  </w14:solidFill>
                </w14:textFill>
              </w:rPr>
              <w:t>学分）</w:t>
            </w:r>
          </w:p>
        </w:tc>
        <w:tc>
          <w:tcPr>
            <w:tcW w:w="3516" w:type="dxa"/>
            <w:shd w:val="clear" w:color="auto" w:fill="auto"/>
            <w:vAlign w:val="center"/>
          </w:tcPr>
          <w:p w14:paraId="260A8C3D">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习近平总书记关于教育的重要论述研究</w:t>
            </w:r>
          </w:p>
        </w:tc>
        <w:tc>
          <w:tcPr>
            <w:tcW w:w="1081" w:type="dxa"/>
            <w:shd w:val="clear" w:color="auto" w:fill="auto"/>
            <w:vAlign w:val="center"/>
          </w:tcPr>
          <w:p w14:paraId="6625960A">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TJ0600102</w:t>
            </w:r>
            <w:bookmarkStart w:id="0" w:name="_GoBack"/>
            <w:bookmarkEnd w:id="0"/>
          </w:p>
        </w:tc>
        <w:tc>
          <w:tcPr>
            <w:tcW w:w="709" w:type="dxa"/>
            <w:shd w:val="clear" w:color="auto" w:fill="auto"/>
            <w:vAlign w:val="center"/>
          </w:tcPr>
          <w:p w14:paraId="02D068A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shd w:val="clear" w:color="auto" w:fill="auto"/>
            <w:vAlign w:val="center"/>
          </w:tcPr>
          <w:p w14:paraId="393906D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shd w:val="clear" w:color="auto" w:fill="auto"/>
            <w:vAlign w:val="center"/>
          </w:tcPr>
          <w:p w14:paraId="12160255">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通修/考查</w:t>
            </w:r>
          </w:p>
        </w:tc>
      </w:tr>
      <w:tr w14:paraId="6EF49F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6ACBABD">
            <w:pPr>
              <w:jc w:val="center"/>
              <w:rPr>
                <w:b/>
                <w:color w:val="000000" w:themeColor="text1"/>
                <w:sz w:val="18"/>
                <w:szCs w:val="18"/>
                <w14:textFill>
                  <w14:solidFill>
                    <w14:schemeClr w14:val="tx1"/>
                  </w14:solidFill>
                </w14:textFill>
              </w:rPr>
            </w:pPr>
          </w:p>
        </w:tc>
        <w:tc>
          <w:tcPr>
            <w:tcW w:w="1226" w:type="dxa"/>
            <w:vMerge w:val="continue"/>
            <w:vAlign w:val="center"/>
          </w:tcPr>
          <w:p w14:paraId="63D8F917">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236B8AB6">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学术道德与论文写作</w:t>
            </w:r>
          </w:p>
        </w:tc>
        <w:tc>
          <w:tcPr>
            <w:tcW w:w="1081" w:type="dxa"/>
            <w:shd w:val="clear" w:color="auto" w:fill="auto"/>
            <w:vAlign w:val="center"/>
          </w:tcPr>
          <w:p w14:paraId="716032D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XS0600001</w:t>
            </w:r>
          </w:p>
        </w:tc>
        <w:tc>
          <w:tcPr>
            <w:tcW w:w="709" w:type="dxa"/>
            <w:shd w:val="clear" w:color="auto" w:fill="auto"/>
            <w:vAlign w:val="center"/>
          </w:tcPr>
          <w:p w14:paraId="7535A1B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t>
            </w:r>
          </w:p>
        </w:tc>
        <w:tc>
          <w:tcPr>
            <w:tcW w:w="709" w:type="dxa"/>
            <w:shd w:val="clear" w:color="auto" w:fill="auto"/>
            <w:vAlign w:val="center"/>
          </w:tcPr>
          <w:p w14:paraId="49F038C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shd w:val="clear" w:color="auto" w:fill="auto"/>
            <w:vAlign w:val="center"/>
          </w:tcPr>
          <w:p w14:paraId="250B361E">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通修/考查</w:t>
            </w:r>
          </w:p>
        </w:tc>
      </w:tr>
      <w:tr w14:paraId="74C4DCF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BF1D525">
            <w:pPr>
              <w:jc w:val="center"/>
              <w:rPr>
                <w:b/>
                <w:color w:val="000000" w:themeColor="text1"/>
                <w:sz w:val="18"/>
                <w:szCs w:val="18"/>
                <w14:textFill>
                  <w14:solidFill>
                    <w14:schemeClr w14:val="tx1"/>
                  </w14:solidFill>
                </w14:textFill>
              </w:rPr>
            </w:pPr>
          </w:p>
        </w:tc>
        <w:tc>
          <w:tcPr>
            <w:tcW w:w="1226" w:type="dxa"/>
            <w:vMerge w:val="continue"/>
            <w:vAlign w:val="center"/>
          </w:tcPr>
          <w:p w14:paraId="778AC681">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21EE2971">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教育量化与质性研究方法</w:t>
            </w:r>
          </w:p>
        </w:tc>
        <w:tc>
          <w:tcPr>
            <w:tcW w:w="1081" w:type="dxa"/>
            <w:shd w:val="clear" w:color="auto" w:fill="auto"/>
            <w:vAlign w:val="center"/>
          </w:tcPr>
          <w:p w14:paraId="48B8A127">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XS0600002</w:t>
            </w:r>
          </w:p>
        </w:tc>
        <w:tc>
          <w:tcPr>
            <w:tcW w:w="709" w:type="dxa"/>
            <w:shd w:val="clear" w:color="auto" w:fill="auto"/>
            <w:vAlign w:val="center"/>
          </w:tcPr>
          <w:p w14:paraId="6E0B2B7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t>
            </w:r>
          </w:p>
        </w:tc>
        <w:tc>
          <w:tcPr>
            <w:tcW w:w="709" w:type="dxa"/>
            <w:shd w:val="clear" w:color="auto" w:fill="auto"/>
            <w:vAlign w:val="center"/>
          </w:tcPr>
          <w:p w14:paraId="3D90177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shd w:val="clear" w:color="auto" w:fill="auto"/>
            <w:vAlign w:val="center"/>
          </w:tcPr>
          <w:p w14:paraId="5BE17EA8">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通修/考查</w:t>
            </w:r>
          </w:p>
        </w:tc>
      </w:tr>
      <w:tr w14:paraId="36AFBA4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0F6956F">
            <w:pPr>
              <w:jc w:val="center"/>
              <w:rPr>
                <w:b/>
                <w:color w:val="000000" w:themeColor="text1"/>
                <w:sz w:val="18"/>
                <w:szCs w:val="18"/>
                <w14:textFill>
                  <w14:solidFill>
                    <w14:schemeClr w14:val="tx1"/>
                  </w14:solidFill>
                </w14:textFill>
              </w:rPr>
            </w:pPr>
          </w:p>
        </w:tc>
        <w:tc>
          <w:tcPr>
            <w:tcW w:w="1226" w:type="dxa"/>
            <w:vMerge w:val="restart"/>
            <w:vAlign w:val="center"/>
          </w:tcPr>
          <w:p w14:paraId="1CB01CB6">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0BB75BE1">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w:t>
            </w:r>
            <w:r>
              <w:rPr>
                <w:b/>
                <w:color w:val="000000" w:themeColor="text1"/>
                <w:sz w:val="18"/>
                <w:szCs w:val="18"/>
                <w14:textFill>
                  <w14:solidFill>
                    <w14:schemeClr w14:val="tx1"/>
                  </w14:solidFill>
                </w14:textFill>
              </w:rPr>
              <w:t>4</w:t>
            </w:r>
            <w:r>
              <w:rPr>
                <w:rFonts w:hint="eastAsia"/>
                <w:b/>
                <w:color w:val="000000" w:themeColor="text1"/>
                <w:sz w:val="18"/>
                <w:szCs w:val="18"/>
                <w14:textFill>
                  <w14:solidFill>
                    <w14:schemeClr w14:val="tx1"/>
                  </w14:solidFill>
                </w14:textFill>
              </w:rPr>
              <w:t>学分）</w:t>
            </w:r>
          </w:p>
        </w:tc>
        <w:tc>
          <w:tcPr>
            <w:tcW w:w="3516" w:type="dxa"/>
          </w:tcPr>
          <w:p w14:paraId="1078251B">
            <w:pPr>
              <w:rPr>
                <w:color w:val="000000" w:themeColor="text1"/>
                <w14:textFill>
                  <w14:solidFill>
                    <w14:schemeClr w14:val="tx1"/>
                  </w14:solidFill>
                </w14:textFill>
              </w:rPr>
            </w:pPr>
            <w:r>
              <w:rPr>
                <w:rFonts w:hint="eastAsia"/>
                <w:color w:val="000000" w:themeColor="text1"/>
                <w:sz w:val="18"/>
                <w:szCs w:val="18"/>
                <w14:textFill>
                  <w14:solidFill>
                    <w14:schemeClr w14:val="tx1"/>
                  </w14:solidFill>
                </w14:textFill>
              </w:rPr>
              <w:t>教学设计专题研究</w:t>
            </w:r>
          </w:p>
        </w:tc>
        <w:tc>
          <w:tcPr>
            <w:tcW w:w="1081" w:type="dxa"/>
            <w:shd w:val="clear" w:color="auto" w:fill="auto"/>
            <w:vAlign w:val="center"/>
          </w:tcPr>
          <w:p w14:paraId="2A033024">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XS0686102</w:t>
            </w:r>
          </w:p>
        </w:tc>
        <w:tc>
          <w:tcPr>
            <w:tcW w:w="709" w:type="dxa"/>
            <w:shd w:val="clear" w:color="auto" w:fill="auto"/>
            <w:vAlign w:val="center"/>
          </w:tcPr>
          <w:p w14:paraId="42DA2437">
            <w:pPr>
              <w:jc w:val="center"/>
              <w:rPr>
                <w:color w:val="000000" w:themeColor="text1"/>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43DC9350">
            <w:pPr>
              <w:jc w:val="center"/>
              <w:rPr>
                <w:color w:val="000000" w:themeColor="text1"/>
                <w14:textFill>
                  <w14:solidFill>
                    <w14:schemeClr w14:val="tx1"/>
                  </w14:solidFill>
                </w14:textFill>
              </w:rPr>
            </w:pPr>
            <w:r>
              <w:rPr>
                <w:color w:val="000000" w:themeColor="text1"/>
                <w:sz w:val="18"/>
                <w:szCs w:val="18"/>
                <w14:textFill>
                  <w14:solidFill>
                    <w14:schemeClr w14:val="tx1"/>
                  </w14:solidFill>
                </w14:textFill>
              </w:rPr>
              <w:t>2</w:t>
            </w:r>
          </w:p>
        </w:tc>
        <w:tc>
          <w:tcPr>
            <w:tcW w:w="1045" w:type="dxa"/>
            <w:shd w:val="clear" w:color="auto" w:fill="auto"/>
            <w:vAlign w:val="center"/>
          </w:tcPr>
          <w:p w14:paraId="0BA91401">
            <w:pPr>
              <w:jc w:val="center"/>
              <w:rPr>
                <w:bCs/>
                <w:color w:val="000000" w:themeColor="text1"/>
                <w:sz w:val="18"/>
                <w:szCs w:val="18"/>
                <w14:textFill>
                  <w14:solidFill>
                    <w14:schemeClr w14:val="tx1"/>
                  </w14:solidFill>
                </w14:textFill>
              </w:rPr>
            </w:pPr>
          </w:p>
        </w:tc>
      </w:tr>
      <w:tr w14:paraId="768719D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5077FBC">
            <w:pPr>
              <w:jc w:val="center"/>
              <w:rPr>
                <w:b/>
                <w:color w:val="000000" w:themeColor="text1"/>
                <w:sz w:val="18"/>
                <w:szCs w:val="18"/>
                <w14:textFill>
                  <w14:solidFill>
                    <w14:schemeClr w14:val="tx1"/>
                  </w14:solidFill>
                </w14:textFill>
              </w:rPr>
            </w:pPr>
          </w:p>
        </w:tc>
        <w:tc>
          <w:tcPr>
            <w:tcW w:w="1226" w:type="dxa"/>
            <w:vMerge w:val="continue"/>
            <w:vAlign w:val="center"/>
          </w:tcPr>
          <w:p w14:paraId="7F6E6419">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4C46584">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人工智能教学应用</w:t>
            </w:r>
          </w:p>
        </w:tc>
        <w:tc>
          <w:tcPr>
            <w:tcW w:w="1081" w:type="dxa"/>
            <w:shd w:val="clear" w:color="auto" w:fill="auto"/>
            <w:vAlign w:val="center"/>
          </w:tcPr>
          <w:p w14:paraId="3F2C36E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XS0686113</w:t>
            </w:r>
          </w:p>
        </w:tc>
        <w:tc>
          <w:tcPr>
            <w:tcW w:w="709" w:type="dxa"/>
            <w:shd w:val="clear" w:color="auto" w:fill="auto"/>
            <w:vAlign w:val="center"/>
          </w:tcPr>
          <w:p w14:paraId="5C67510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480F23D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shd w:val="clear" w:color="auto" w:fill="auto"/>
            <w:vAlign w:val="center"/>
          </w:tcPr>
          <w:p w14:paraId="0B6BA1C5">
            <w:pPr>
              <w:jc w:val="center"/>
              <w:rPr>
                <w:color w:val="000000" w:themeColor="text1"/>
                <w:sz w:val="18"/>
                <w:szCs w:val="18"/>
                <w14:textFill>
                  <w14:solidFill>
                    <w14:schemeClr w14:val="tx1"/>
                  </w14:solidFill>
                </w14:textFill>
              </w:rPr>
            </w:pPr>
          </w:p>
        </w:tc>
      </w:tr>
      <w:tr w14:paraId="7526A7A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48BA83B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5A7A56B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41C8348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040CDF5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3BA5329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55EE87A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FF99AB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0C480E8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57C6F09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F064219">
            <w:pPr>
              <w:jc w:val="center"/>
              <w:rPr>
                <w:b/>
                <w:color w:val="000000" w:themeColor="text1"/>
                <w:sz w:val="18"/>
                <w:szCs w:val="18"/>
                <w14:textFill>
                  <w14:solidFill>
                    <w14:schemeClr w14:val="tx1"/>
                  </w14:solidFill>
                </w14:textFill>
              </w:rPr>
            </w:pPr>
          </w:p>
        </w:tc>
        <w:tc>
          <w:tcPr>
            <w:tcW w:w="1226" w:type="dxa"/>
            <w:vMerge w:val="continue"/>
            <w:vAlign w:val="center"/>
          </w:tcPr>
          <w:p w14:paraId="5039B1F6">
            <w:pPr>
              <w:jc w:val="center"/>
              <w:rPr>
                <w:b/>
                <w:color w:val="000000" w:themeColor="text1"/>
                <w:sz w:val="18"/>
                <w:szCs w:val="18"/>
                <w14:textFill>
                  <w14:solidFill>
                    <w14:schemeClr w14:val="tx1"/>
                  </w14:solidFill>
                </w14:textFill>
              </w:rPr>
            </w:pPr>
          </w:p>
        </w:tc>
        <w:tc>
          <w:tcPr>
            <w:tcW w:w="3516" w:type="dxa"/>
            <w:vAlign w:val="center"/>
          </w:tcPr>
          <w:p w14:paraId="0D13F359">
            <w:pPr>
              <w:adjustRightInd w:val="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自然辩证法概论</w:t>
            </w:r>
          </w:p>
        </w:tc>
        <w:tc>
          <w:tcPr>
            <w:tcW w:w="1081" w:type="dxa"/>
            <w:vAlign w:val="center"/>
          </w:tcPr>
          <w:p w14:paraId="2C5A709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TS0000102</w:t>
            </w:r>
          </w:p>
        </w:tc>
        <w:tc>
          <w:tcPr>
            <w:tcW w:w="709" w:type="dxa"/>
            <w:vAlign w:val="center"/>
          </w:tcPr>
          <w:p w14:paraId="7643E09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6A49EE5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2887A08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6E35AE2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237FC53">
            <w:pPr>
              <w:rPr>
                <w:b/>
                <w:color w:val="000000" w:themeColor="text1"/>
                <w:sz w:val="18"/>
                <w:szCs w:val="18"/>
                <w14:textFill>
                  <w14:solidFill>
                    <w14:schemeClr w14:val="tx1"/>
                  </w14:solidFill>
                </w14:textFill>
              </w:rPr>
            </w:pPr>
          </w:p>
        </w:tc>
        <w:tc>
          <w:tcPr>
            <w:tcW w:w="1226" w:type="dxa"/>
            <w:vMerge w:val="restart"/>
            <w:vAlign w:val="center"/>
          </w:tcPr>
          <w:p w14:paraId="7FE0EB5A">
            <w:pPr>
              <w:adjustRightInd w:val="0"/>
              <w:snapToGrid w:val="0"/>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教学设计的理论与实践选修课</w:t>
            </w:r>
          </w:p>
        </w:tc>
        <w:tc>
          <w:tcPr>
            <w:tcW w:w="3516" w:type="dxa"/>
            <w:shd w:val="clear" w:color="auto" w:fill="auto"/>
            <w:vAlign w:val="center"/>
          </w:tcPr>
          <w:p w14:paraId="4F430295">
            <w:pP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教育技术学专题</w:t>
            </w:r>
          </w:p>
        </w:tc>
        <w:tc>
          <w:tcPr>
            <w:tcW w:w="1081" w:type="dxa"/>
            <w:shd w:val="clear" w:color="auto" w:fill="auto"/>
            <w:vAlign w:val="center"/>
          </w:tcPr>
          <w:p w14:paraId="7784788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XS0686101</w:t>
            </w:r>
          </w:p>
        </w:tc>
        <w:tc>
          <w:tcPr>
            <w:tcW w:w="709" w:type="dxa"/>
            <w:shd w:val="clear" w:color="auto" w:fill="auto"/>
            <w:vAlign w:val="center"/>
          </w:tcPr>
          <w:p w14:paraId="78D6F106">
            <w:pPr>
              <w:jc w:val="center"/>
              <w:rPr>
                <w:color w:val="000000" w:themeColor="text1"/>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52B2DC5C">
            <w:pPr>
              <w:jc w:val="center"/>
              <w:rPr>
                <w:color w:val="000000" w:themeColor="text1"/>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restart"/>
            <w:vAlign w:val="center"/>
          </w:tcPr>
          <w:p w14:paraId="1A83B8DB">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3837B9A7">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t>
            </w:r>
            <w:r>
              <w:rPr>
                <w:color w:val="000000" w:themeColor="text1"/>
                <w:sz w:val="18"/>
                <w:szCs w:val="18"/>
                <w14:textFill>
                  <w14:solidFill>
                    <w14:schemeClr w14:val="tx1"/>
                  </w14:solidFill>
                </w14:textFill>
              </w:rPr>
              <w:t>学分</w:t>
            </w:r>
          </w:p>
        </w:tc>
      </w:tr>
      <w:tr w14:paraId="68918D2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9819F8B">
            <w:pPr>
              <w:rPr>
                <w:b/>
                <w:color w:val="000000" w:themeColor="text1"/>
                <w:sz w:val="18"/>
                <w:szCs w:val="18"/>
                <w14:textFill>
                  <w14:solidFill>
                    <w14:schemeClr w14:val="tx1"/>
                  </w14:solidFill>
                </w14:textFill>
              </w:rPr>
            </w:pPr>
          </w:p>
        </w:tc>
        <w:tc>
          <w:tcPr>
            <w:tcW w:w="1226" w:type="dxa"/>
            <w:vMerge w:val="continue"/>
            <w:vAlign w:val="center"/>
          </w:tcPr>
          <w:p w14:paraId="1D99C0AD">
            <w:pPr>
              <w:adjustRightInd w:val="0"/>
              <w:snapToGrid w:val="0"/>
              <w:jc w:val="center"/>
              <w:rPr>
                <w:b/>
                <w:color w:val="000000" w:themeColor="text1"/>
                <w:sz w:val="18"/>
                <w:szCs w:val="18"/>
                <w14:textFill>
                  <w14:solidFill>
                    <w14:schemeClr w14:val="tx1"/>
                  </w14:solidFill>
                </w14:textFill>
              </w:rPr>
            </w:pPr>
          </w:p>
        </w:tc>
        <w:tc>
          <w:tcPr>
            <w:tcW w:w="3516" w:type="dxa"/>
            <w:shd w:val="clear" w:color="auto" w:fill="auto"/>
            <w:vAlign w:val="center"/>
          </w:tcPr>
          <w:p w14:paraId="0609DFEB">
            <w:pPr>
              <w:adjustRightInd w:val="0"/>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信息科技课程与教材研究</w:t>
            </w:r>
          </w:p>
        </w:tc>
        <w:tc>
          <w:tcPr>
            <w:tcW w:w="1081" w:type="dxa"/>
            <w:shd w:val="clear" w:color="auto" w:fill="auto"/>
            <w:vAlign w:val="center"/>
          </w:tcPr>
          <w:p w14:paraId="4060D1D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XS0686111</w:t>
            </w:r>
          </w:p>
        </w:tc>
        <w:tc>
          <w:tcPr>
            <w:tcW w:w="709" w:type="dxa"/>
            <w:shd w:val="clear" w:color="auto" w:fill="auto"/>
            <w:vAlign w:val="center"/>
          </w:tcPr>
          <w:p w14:paraId="6A3B8F5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36781EC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45667B29">
            <w:pPr>
              <w:adjustRightInd w:val="0"/>
              <w:snapToGrid w:val="0"/>
              <w:jc w:val="center"/>
              <w:rPr>
                <w:color w:val="000000" w:themeColor="text1"/>
                <w:sz w:val="18"/>
                <w:szCs w:val="18"/>
                <w14:textFill>
                  <w14:solidFill>
                    <w14:schemeClr w14:val="tx1"/>
                  </w14:solidFill>
                </w14:textFill>
              </w:rPr>
            </w:pPr>
          </w:p>
        </w:tc>
      </w:tr>
      <w:tr w14:paraId="314486C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E0B9FC1">
            <w:pPr>
              <w:rPr>
                <w:b/>
                <w:color w:val="000000" w:themeColor="text1"/>
                <w:sz w:val="18"/>
                <w:szCs w:val="18"/>
                <w14:textFill>
                  <w14:solidFill>
                    <w14:schemeClr w14:val="tx1"/>
                  </w14:solidFill>
                </w14:textFill>
              </w:rPr>
            </w:pPr>
          </w:p>
        </w:tc>
        <w:tc>
          <w:tcPr>
            <w:tcW w:w="1226" w:type="dxa"/>
            <w:vMerge w:val="continue"/>
            <w:vAlign w:val="center"/>
          </w:tcPr>
          <w:p w14:paraId="10D40CDA">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5BBC0A21">
            <w:pPr>
              <w:adjustRightInd w:val="0"/>
              <w:snapToGrid w:val="0"/>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学习科学与技术</w:t>
            </w:r>
          </w:p>
        </w:tc>
        <w:tc>
          <w:tcPr>
            <w:tcW w:w="1081" w:type="dxa"/>
            <w:shd w:val="clear" w:color="auto" w:fill="auto"/>
            <w:vAlign w:val="center"/>
          </w:tcPr>
          <w:p w14:paraId="2DFC8E4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XS0686105</w:t>
            </w:r>
          </w:p>
        </w:tc>
        <w:tc>
          <w:tcPr>
            <w:tcW w:w="709" w:type="dxa"/>
            <w:shd w:val="clear" w:color="auto" w:fill="auto"/>
            <w:vAlign w:val="center"/>
          </w:tcPr>
          <w:p w14:paraId="44F5C32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0DEC6F75">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0BFD24CD">
            <w:pPr>
              <w:jc w:val="center"/>
              <w:rPr>
                <w:color w:val="000000" w:themeColor="text1"/>
                <w:sz w:val="18"/>
                <w:szCs w:val="18"/>
                <w14:textFill>
                  <w14:solidFill>
                    <w14:schemeClr w14:val="tx1"/>
                  </w14:solidFill>
                </w14:textFill>
              </w:rPr>
            </w:pPr>
          </w:p>
        </w:tc>
      </w:tr>
      <w:tr w14:paraId="6FE04ED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2E06065">
            <w:pPr>
              <w:rPr>
                <w:b/>
                <w:color w:val="000000" w:themeColor="text1"/>
                <w:sz w:val="18"/>
                <w:szCs w:val="18"/>
                <w14:textFill>
                  <w14:solidFill>
                    <w14:schemeClr w14:val="tx1"/>
                  </w14:solidFill>
                </w14:textFill>
              </w:rPr>
            </w:pPr>
          </w:p>
        </w:tc>
        <w:tc>
          <w:tcPr>
            <w:tcW w:w="1226" w:type="dxa"/>
            <w:vMerge w:val="restart"/>
            <w:vAlign w:val="center"/>
          </w:tcPr>
          <w:p w14:paraId="7D09AA9C">
            <w:pPr>
              <w:adjustRightInd w:val="0"/>
              <w:snapToGrid w:val="0"/>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数字化学习环境设计与开发选修课</w:t>
            </w:r>
          </w:p>
        </w:tc>
        <w:tc>
          <w:tcPr>
            <w:tcW w:w="3516" w:type="dxa"/>
            <w:shd w:val="clear" w:color="auto" w:fill="auto"/>
            <w:vAlign w:val="center"/>
          </w:tcPr>
          <w:p w14:paraId="040B2A85">
            <w:pPr>
              <w:adjustRightInd w:val="0"/>
              <w:snapToGrid w:val="0"/>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数字化教学资源设计与制作</w:t>
            </w:r>
          </w:p>
        </w:tc>
        <w:tc>
          <w:tcPr>
            <w:tcW w:w="1081" w:type="dxa"/>
            <w:shd w:val="clear" w:color="auto" w:fill="auto"/>
            <w:vAlign w:val="center"/>
          </w:tcPr>
          <w:p w14:paraId="17B0E4F7">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XS0686107</w:t>
            </w:r>
          </w:p>
        </w:tc>
        <w:tc>
          <w:tcPr>
            <w:tcW w:w="709" w:type="dxa"/>
            <w:shd w:val="clear" w:color="auto" w:fill="auto"/>
            <w:vAlign w:val="center"/>
          </w:tcPr>
          <w:p w14:paraId="742A1A81">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6E5B272E">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restart"/>
            <w:vAlign w:val="center"/>
          </w:tcPr>
          <w:p w14:paraId="2B4D91E4">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245395E3">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r>
              <w:rPr>
                <w:color w:val="000000" w:themeColor="text1"/>
                <w:sz w:val="18"/>
                <w:szCs w:val="18"/>
                <w14:textFill>
                  <w14:solidFill>
                    <w14:schemeClr w14:val="tx1"/>
                  </w14:solidFill>
                </w14:textFill>
              </w:rPr>
              <w:t>学分</w:t>
            </w:r>
          </w:p>
        </w:tc>
      </w:tr>
      <w:tr w14:paraId="48ABED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7011313">
            <w:pPr>
              <w:rPr>
                <w:b/>
                <w:color w:val="000000" w:themeColor="text1"/>
                <w:sz w:val="18"/>
                <w:szCs w:val="18"/>
                <w14:textFill>
                  <w14:solidFill>
                    <w14:schemeClr w14:val="tx1"/>
                  </w14:solidFill>
                </w14:textFill>
              </w:rPr>
            </w:pPr>
          </w:p>
        </w:tc>
        <w:tc>
          <w:tcPr>
            <w:tcW w:w="1226" w:type="dxa"/>
            <w:vMerge w:val="continue"/>
            <w:vAlign w:val="center"/>
          </w:tcPr>
          <w:p w14:paraId="354C5847">
            <w:pPr>
              <w:adjustRightInd w:val="0"/>
              <w:snapToGrid w:val="0"/>
              <w:jc w:val="center"/>
              <w:rPr>
                <w:b/>
                <w:color w:val="000000" w:themeColor="text1"/>
                <w:sz w:val="18"/>
                <w:szCs w:val="18"/>
                <w14:textFill>
                  <w14:solidFill>
                    <w14:schemeClr w14:val="tx1"/>
                  </w14:solidFill>
                </w14:textFill>
              </w:rPr>
            </w:pPr>
          </w:p>
        </w:tc>
        <w:tc>
          <w:tcPr>
            <w:tcW w:w="3516" w:type="dxa"/>
            <w:shd w:val="clear" w:color="auto" w:fill="auto"/>
            <w:vAlign w:val="center"/>
          </w:tcPr>
          <w:p w14:paraId="1A8DDC02">
            <w:pPr>
              <w:adjustRightInd w:val="0"/>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数字化课程设计与开发</w:t>
            </w:r>
          </w:p>
        </w:tc>
        <w:tc>
          <w:tcPr>
            <w:tcW w:w="1081" w:type="dxa"/>
            <w:shd w:val="clear" w:color="auto" w:fill="auto"/>
            <w:vAlign w:val="center"/>
          </w:tcPr>
          <w:p w14:paraId="7BB7988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XS0686109</w:t>
            </w:r>
          </w:p>
        </w:tc>
        <w:tc>
          <w:tcPr>
            <w:tcW w:w="709" w:type="dxa"/>
            <w:shd w:val="clear" w:color="auto" w:fill="auto"/>
            <w:vAlign w:val="center"/>
          </w:tcPr>
          <w:p w14:paraId="0F8FB8D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62B993B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536E2A78">
            <w:pPr>
              <w:adjustRightInd w:val="0"/>
              <w:snapToGrid w:val="0"/>
              <w:jc w:val="center"/>
              <w:rPr>
                <w:color w:val="000000" w:themeColor="text1"/>
                <w:sz w:val="18"/>
                <w:szCs w:val="18"/>
                <w14:textFill>
                  <w14:solidFill>
                    <w14:schemeClr w14:val="tx1"/>
                  </w14:solidFill>
                </w14:textFill>
              </w:rPr>
            </w:pPr>
          </w:p>
        </w:tc>
      </w:tr>
      <w:tr w14:paraId="5DAFDC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AE7CEC5">
            <w:pPr>
              <w:rPr>
                <w:b/>
                <w:color w:val="000000" w:themeColor="text1"/>
                <w:sz w:val="18"/>
                <w:szCs w:val="18"/>
                <w14:textFill>
                  <w14:solidFill>
                    <w14:schemeClr w14:val="tx1"/>
                  </w14:solidFill>
                </w14:textFill>
              </w:rPr>
            </w:pPr>
          </w:p>
        </w:tc>
        <w:tc>
          <w:tcPr>
            <w:tcW w:w="1226" w:type="dxa"/>
            <w:vMerge w:val="restart"/>
            <w:vAlign w:val="center"/>
          </w:tcPr>
          <w:p w14:paraId="2D98413E">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信息技术教育选修课</w:t>
            </w:r>
          </w:p>
        </w:tc>
        <w:tc>
          <w:tcPr>
            <w:tcW w:w="3516" w:type="dxa"/>
            <w:shd w:val="clear" w:color="auto" w:fill="auto"/>
            <w:vAlign w:val="center"/>
          </w:tcPr>
          <w:p w14:paraId="3CA37DC8">
            <w:pPr>
              <w:adjustRightInd w:val="0"/>
              <w:snapToGrid w:val="0"/>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信息技术教育专题研究</w:t>
            </w:r>
          </w:p>
        </w:tc>
        <w:tc>
          <w:tcPr>
            <w:tcW w:w="1081" w:type="dxa"/>
            <w:shd w:val="clear" w:color="auto" w:fill="auto"/>
            <w:vAlign w:val="center"/>
          </w:tcPr>
          <w:p w14:paraId="7A26A01C">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XS0686103</w:t>
            </w:r>
          </w:p>
        </w:tc>
        <w:tc>
          <w:tcPr>
            <w:tcW w:w="709" w:type="dxa"/>
            <w:shd w:val="clear" w:color="auto" w:fill="auto"/>
            <w:vAlign w:val="center"/>
          </w:tcPr>
          <w:p w14:paraId="64C8D704">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7708EA32">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restart"/>
            <w:vAlign w:val="center"/>
          </w:tcPr>
          <w:p w14:paraId="7696EA78">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39368E0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r>
              <w:rPr>
                <w:color w:val="000000" w:themeColor="text1"/>
                <w:sz w:val="18"/>
                <w:szCs w:val="18"/>
                <w14:textFill>
                  <w14:solidFill>
                    <w14:schemeClr w14:val="tx1"/>
                  </w14:solidFill>
                </w14:textFill>
              </w:rPr>
              <w:t>学分</w:t>
            </w:r>
          </w:p>
        </w:tc>
      </w:tr>
      <w:tr w14:paraId="790EE77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C8AC0E9">
            <w:pPr>
              <w:rPr>
                <w:b/>
                <w:color w:val="000000" w:themeColor="text1"/>
                <w:sz w:val="18"/>
                <w:szCs w:val="18"/>
                <w14:textFill>
                  <w14:solidFill>
                    <w14:schemeClr w14:val="tx1"/>
                  </w14:solidFill>
                </w14:textFill>
              </w:rPr>
            </w:pPr>
          </w:p>
        </w:tc>
        <w:tc>
          <w:tcPr>
            <w:tcW w:w="1226" w:type="dxa"/>
            <w:vMerge w:val="continue"/>
            <w:vAlign w:val="center"/>
          </w:tcPr>
          <w:p w14:paraId="3B806C23">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3B0FBDDC">
            <w:pPr>
              <w:adjustRightInd w:val="0"/>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信息技术与课程整合</w:t>
            </w:r>
          </w:p>
        </w:tc>
        <w:tc>
          <w:tcPr>
            <w:tcW w:w="1081" w:type="dxa"/>
            <w:shd w:val="clear" w:color="auto" w:fill="auto"/>
            <w:vAlign w:val="center"/>
          </w:tcPr>
          <w:p w14:paraId="36A90B6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XS0686104</w:t>
            </w:r>
          </w:p>
        </w:tc>
        <w:tc>
          <w:tcPr>
            <w:tcW w:w="709" w:type="dxa"/>
            <w:shd w:val="clear" w:color="auto" w:fill="auto"/>
            <w:vAlign w:val="center"/>
          </w:tcPr>
          <w:p w14:paraId="79EB3F0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256F37C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4549FF7C">
            <w:pPr>
              <w:jc w:val="center"/>
              <w:rPr>
                <w:color w:val="000000" w:themeColor="text1"/>
                <w:sz w:val="18"/>
                <w:szCs w:val="18"/>
                <w14:textFill>
                  <w14:solidFill>
                    <w14:schemeClr w14:val="tx1"/>
                  </w14:solidFill>
                </w14:textFill>
              </w:rPr>
            </w:pPr>
          </w:p>
        </w:tc>
      </w:tr>
      <w:tr w14:paraId="2DA1B1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8DB433D">
            <w:pPr>
              <w:rPr>
                <w:b/>
                <w:color w:val="000000" w:themeColor="text1"/>
                <w:sz w:val="18"/>
                <w:szCs w:val="18"/>
                <w14:textFill>
                  <w14:solidFill>
                    <w14:schemeClr w14:val="tx1"/>
                  </w14:solidFill>
                </w14:textFill>
              </w:rPr>
            </w:pPr>
          </w:p>
        </w:tc>
        <w:tc>
          <w:tcPr>
            <w:tcW w:w="1226" w:type="dxa"/>
            <w:vMerge w:val="continue"/>
            <w:vAlign w:val="center"/>
          </w:tcPr>
          <w:p w14:paraId="29FA24DF">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11D6688F">
            <w:pPr>
              <w:adjustRightInd w:val="0"/>
              <w:snapToGrid w:val="0"/>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中职信息科技教学研究</w:t>
            </w:r>
          </w:p>
        </w:tc>
        <w:tc>
          <w:tcPr>
            <w:tcW w:w="1081" w:type="dxa"/>
            <w:shd w:val="clear" w:color="auto" w:fill="auto"/>
            <w:vAlign w:val="center"/>
          </w:tcPr>
          <w:p w14:paraId="7ACFEACE">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XS0686110</w:t>
            </w:r>
          </w:p>
        </w:tc>
        <w:tc>
          <w:tcPr>
            <w:tcW w:w="709" w:type="dxa"/>
            <w:shd w:val="clear" w:color="auto" w:fill="auto"/>
            <w:vAlign w:val="center"/>
          </w:tcPr>
          <w:p w14:paraId="3DC0233E">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5E83BFB6">
            <w:pPr>
              <w:jc w:val="center"/>
              <w:rPr>
                <w:i/>
                <w:color w:val="000000" w:themeColor="text1"/>
                <w:sz w:val="18"/>
                <w:szCs w:val="18"/>
                <w14:textFill>
                  <w14:solidFill>
                    <w14:schemeClr w14:val="tx1"/>
                  </w14:solidFill>
                </w14:textFill>
              </w:rPr>
            </w:pPr>
            <w:r>
              <w:rPr>
                <w:rFonts w:hint="eastAsia"/>
                <w:i/>
                <w:color w:val="000000" w:themeColor="text1"/>
                <w:sz w:val="18"/>
                <w:szCs w:val="18"/>
                <w14:textFill>
                  <w14:solidFill>
                    <w14:schemeClr w14:val="tx1"/>
                  </w14:solidFill>
                </w14:textFill>
              </w:rPr>
              <w:t>2</w:t>
            </w:r>
          </w:p>
        </w:tc>
        <w:tc>
          <w:tcPr>
            <w:tcW w:w="1045" w:type="dxa"/>
            <w:vMerge w:val="continue"/>
            <w:vAlign w:val="center"/>
          </w:tcPr>
          <w:p w14:paraId="612206E5">
            <w:pPr>
              <w:jc w:val="center"/>
              <w:rPr>
                <w:color w:val="000000" w:themeColor="text1"/>
                <w:sz w:val="18"/>
                <w:szCs w:val="18"/>
                <w14:textFill>
                  <w14:solidFill>
                    <w14:schemeClr w14:val="tx1"/>
                  </w14:solidFill>
                </w14:textFill>
              </w:rPr>
            </w:pPr>
          </w:p>
        </w:tc>
      </w:tr>
      <w:tr w14:paraId="582C411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FC91119">
            <w:pPr>
              <w:rPr>
                <w:b/>
                <w:color w:val="000000" w:themeColor="text1"/>
                <w:sz w:val="18"/>
                <w:szCs w:val="18"/>
                <w14:textFill>
                  <w14:solidFill>
                    <w14:schemeClr w14:val="tx1"/>
                  </w14:solidFill>
                </w14:textFill>
              </w:rPr>
            </w:pPr>
          </w:p>
        </w:tc>
        <w:tc>
          <w:tcPr>
            <w:tcW w:w="1226" w:type="dxa"/>
            <w:vMerge w:val="restart"/>
            <w:vAlign w:val="center"/>
          </w:tcPr>
          <w:p w14:paraId="10282726">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在线教育选修课</w:t>
            </w:r>
          </w:p>
        </w:tc>
        <w:tc>
          <w:tcPr>
            <w:tcW w:w="3516" w:type="dxa"/>
            <w:shd w:val="clear" w:color="auto" w:fill="auto"/>
            <w:vAlign w:val="center"/>
          </w:tcPr>
          <w:p w14:paraId="2D6597B2">
            <w:pP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远程教育学</w:t>
            </w:r>
          </w:p>
        </w:tc>
        <w:tc>
          <w:tcPr>
            <w:tcW w:w="1081" w:type="dxa"/>
            <w:shd w:val="clear" w:color="auto" w:fill="auto"/>
            <w:vAlign w:val="center"/>
          </w:tcPr>
          <w:p w14:paraId="0490A56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XS0686108</w:t>
            </w:r>
          </w:p>
        </w:tc>
        <w:tc>
          <w:tcPr>
            <w:tcW w:w="709" w:type="dxa"/>
            <w:shd w:val="clear" w:color="auto" w:fill="auto"/>
            <w:vAlign w:val="center"/>
          </w:tcPr>
          <w:p w14:paraId="0008A62A">
            <w:pPr>
              <w:jc w:val="center"/>
              <w:rPr>
                <w:color w:val="000000" w:themeColor="text1"/>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7A1422AE">
            <w:pPr>
              <w:jc w:val="center"/>
              <w:rPr>
                <w:color w:val="000000" w:themeColor="text1"/>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restart"/>
            <w:vAlign w:val="center"/>
          </w:tcPr>
          <w:p w14:paraId="4FFD6413">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763B5FA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r>
              <w:rPr>
                <w:color w:val="000000" w:themeColor="text1"/>
                <w:sz w:val="18"/>
                <w:szCs w:val="18"/>
                <w14:textFill>
                  <w14:solidFill>
                    <w14:schemeClr w14:val="tx1"/>
                  </w14:solidFill>
                </w14:textFill>
              </w:rPr>
              <w:t>学分</w:t>
            </w:r>
          </w:p>
        </w:tc>
      </w:tr>
      <w:tr w14:paraId="07E82AD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C6E4BC0">
            <w:pPr>
              <w:rPr>
                <w:b/>
                <w:color w:val="000000" w:themeColor="text1"/>
                <w:sz w:val="18"/>
                <w:szCs w:val="18"/>
                <w14:textFill>
                  <w14:solidFill>
                    <w14:schemeClr w14:val="tx1"/>
                  </w14:solidFill>
                </w14:textFill>
              </w:rPr>
            </w:pPr>
          </w:p>
        </w:tc>
        <w:tc>
          <w:tcPr>
            <w:tcW w:w="1226" w:type="dxa"/>
            <w:vMerge w:val="continue"/>
          </w:tcPr>
          <w:p w14:paraId="15D645F3">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0B7A12EE">
            <w:pPr>
              <w:adjustRightInd w:val="0"/>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教育技术测量与评价</w:t>
            </w:r>
          </w:p>
        </w:tc>
        <w:tc>
          <w:tcPr>
            <w:tcW w:w="1081" w:type="dxa"/>
            <w:shd w:val="clear" w:color="auto" w:fill="auto"/>
            <w:vAlign w:val="center"/>
          </w:tcPr>
          <w:p w14:paraId="61496D0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XS0686106</w:t>
            </w:r>
          </w:p>
        </w:tc>
        <w:tc>
          <w:tcPr>
            <w:tcW w:w="709" w:type="dxa"/>
            <w:shd w:val="clear" w:color="auto" w:fill="auto"/>
            <w:vAlign w:val="center"/>
          </w:tcPr>
          <w:p w14:paraId="5E942AE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709" w:type="dxa"/>
            <w:shd w:val="clear" w:color="auto" w:fill="auto"/>
            <w:vAlign w:val="center"/>
          </w:tcPr>
          <w:p w14:paraId="54D5F2C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717A46C2">
            <w:pPr>
              <w:jc w:val="center"/>
              <w:rPr>
                <w:color w:val="000000" w:themeColor="text1"/>
                <w:sz w:val="18"/>
                <w:szCs w:val="18"/>
                <w14:textFill>
                  <w14:solidFill>
                    <w14:schemeClr w14:val="tx1"/>
                  </w14:solidFill>
                </w14:textFill>
              </w:rPr>
            </w:pPr>
          </w:p>
        </w:tc>
      </w:tr>
      <w:tr w14:paraId="6BCFCA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2DA4326">
            <w:pPr>
              <w:rPr>
                <w:b/>
                <w:color w:val="000000" w:themeColor="text1"/>
                <w:sz w:val="18"/>
                <w:szCs w:val="18"/>
                <w14:textFill>
                  <w14:solidFill>
                    <w14:schemeClr w14:val="tx1"/>
                  </w14:solidFill>
                </w14:textFill>
              </w:rPr>
            </w:pPr>
          </w:p>
        </w:tc>
        <w:tc>
          <w:tcPr>
            <w:tcW w:w="1226" w:type="dxa"/>
            <w:vMerge w:val="continue"/>
          </w:tcPr>
          <w:p w14:paraId="08439905">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1458B3C2">
            <w:pPr>
              <w:adjustRightInd w:val="0"/>
              <w:snapToGrid w:val="0"/>
              <w:rPr>
                <w:i/>
                <w:color w:val="000000" w:themeColor="text1"/>
                <w:sz w:val="18"/>
                <w:szCs w:val="18"/>
                <w14:textFill>
                  <w14:solidFill>
                    <w14:schemeClr w14:val="tx1"/>
                  </w14:solidFill>
                </w14:textFill>
              </w:rPr>
            </w:pPr>
            <w:r>
              <w:rPr>
                <w:rFonts w:hint="eastAsia"/>
                <w:color w:val="000000" w:themeColor="text1"/>
                <w:sz w:val="18"/>
                <w:szCs w:val="18"/>
                <w:lang w:eastAsia="zh"/>
                <w14:textFill>
                  <w14:solidFill>
                    <w14:schemeClr w14:val="tx1"/>
                  </w14:solidFill>
                </w14:textFill>
              </w:rPr>
              <w:t>数智教育技术实用方法</w:t>
            </w:r>
          </w:p>
        </w:tc>
        <w:tc>
          <w:tcPr>
            <w:tcW w:w="1081" w:type="dxa"/>
            <w:shd w:val="clear" w:color="auto" w:fill="auto"/>
            <w:vAlign w:val="center"/>
          </w:tcPr>
          <w:p w14:paraId="2BE0F4A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XS0686112</w:t>
            </w:r>
          </w:p>
        </w:tc>
        <w:tc>
          <w:tcPr>
            <w:tcW w:w="709" w:type="dxa"/>
            <w:shd w:val="clear" w:color="auto" w:fill="auto"/>
            <w:vAlign w:val="center"/>
          </w:tcPr>
          <w:p w14:paraId="11263D6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2897CE9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7FBA4802">
            <w:pPr>
              <w:jc w:val="center"/>
              <w:rPr>
                <w:color w:val="000000" w:themeColor="text1"/>
                <w:sz w:val="18"/>
                <w:szCs w:val="18"/>
                <w14:textFill>
                  <w14:solidFill>
                    <w14:schemeClr w14:val="tx1"/>
                  </w14:solidFill>
                </w14:textFill>
              </w:rPr>
            </w:pPr>
          </w:p>
        </w:tc>
      </w:tr>
      <w:tr w14:paraId="3C01541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27" w:hRule="atLeast"/>
          <w:jc w:val="center"/>
        </w:trPr>
        <w:tc>
          <w:tcPr>
            <w:tcW w:w="571" w:type="dxa"/>
            <w:vMerge w:val="restart"/>
            <w:vAlign w:val="center"/>
          </w:tcPr>
          <w:p w14:paraId="571D36B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04AC20D5">
            <w:pPr>
              <w:jc w:val="center"/>
              <w:rPr>
                <w:b/>
                <w:color w:val="000000" w:themeColor="text1"/>
                <w:sz w:val="18"/>
                <w:szCs w:val="18"/>
                <w14:textFill>
                  <w14:solidFill>
                    <w14:schemeClr w14:val="tx1"/>
                  </w14:solidFill>
                </w14:textFill>
              </w:rPr>
            </w:pPr>
          </w:p>
        </w:tc>
        <w:tc>
          <w:tcPr>
            <w:tcW w:w="1226" w:type="dxa"/>
            <w:vMerge w:val="restart"/>
            <w:vAlign w:val="center"/>
          </w:tcPr>
          <w:p w14:paraId="678B5D4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6F1B042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1938EF5C">
            <w:pPr>
              <w:jc w:val="center"/>
              <w:rPr>
                <w:color w:val="000000" w:themeColor="text1"/>
                <w:sz w:val="18"/>
                <w:szCs w:val="18"/>
                <w14:textFill>
                  <w14:solidFill>
                    <w14:schemeClr w14:val="tx1"/>
                  </w14:solidFill>
                </w14:textFill>
              </w:rPr>
            </w:pPr>
          </w:p>
        </w:tc>
        <w:tc>
          <w:tcPr>
            <w:tcW w:w="709" w:type="dxa"/>
            <w:vAlign w:val="center"/>
          </w:tcPr>
          <w:p w14:paraId="1F6DE3A3">
            <w:pPr>
              <w:jc w:val="center"/>
              <w:rPr>
                <w:color w:val="000000" w:themeColor="text1"/>
                <w:sz w:val="18"/>
                <w:szCs w:val="18"/>
                <w14:textFill>
                  <w14:solidFill>
                    <w14:schemeClr w14:val="tx1"/>
                  </w14:solidFill>
                </w14:textFill>
              </w:rPr>
            </w:pPr>
          </w:p>
        </w:tc>
        <w:tc>
          <w:tcPr>
            <w:tcW w:w="709" w:type="dxa"/>
            <w:vAlign w:val="center"/>
          </w:tcPr>
          <w:p w14:paraId="4959396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34668543">
            <w:pPr>
              <w:jc w:val="center"/>
              <w:rPr>
                <w:i/>
                <w:color w:val="000000" w:themeColor="text1"/>
                <w:sz w:val="18"/>
                <w:szCs w:val="18"/>
                <w14:textFill>
                  <w14:solidFill>
                    <w14:schemeClr w14:val="tx1"/>
                  </w14:solidFill>
                </w14:textFill>
              </w:rPr>
            </w:pPr>
          </w:p>
        </w:tc>
      </w:tr>
      <w:tr w14:paraId="12CAAE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7D101558">
            <w:pPr>
              <w:jc w:val="center"/>
              <w:rPr>
                <w:b/>
                <w:color w:val="000000" w:themeColor="text1"/>
                <w:sz w:val="18"/>
                <w:szCs w:val="18"/>
                <w14:textFill>
                  <w14:solidFill>
                    <w14:schemeClr w14:val="tx1"/>
                  </w14:solidFill>
                </w14:textFill>
              </w:rPr>
            </w:pPr>
          </w:p>
        </w:tc>
        <w:tc>
          <w:tcPr>
            <w:tcW w:w="1226" w:type="dxa"/>
            <w:vMerge w:val="continue"/>
            <w:vAlign w:val="center"/>
          </w:tcPr>
          <w:p w14:paraId="30478218">
            <w:pPr>
              <w:jc w:val="center"/>
              <w:rPr>
                <w:b/>
                <w:color w:val="000000" w:themeColor="text1"/>
                <w:sz w:val="18"/>
                <w:szCs w:val="18"/>
                <w14:textFill>
                  <w14:solidFill>
                    <w14:schemeClr w14:val="tx1"/>
                  </w14:solidFill>
                </w14:textFill>
              </w:rPr>
            </w:pPr>
          </w:p>
        </w:tc>
        <w:tc>
          <w:tcPr>
            <w:tcW w:w="3516" w:type="dxa"/>
            <w:vAlign w:val="center"/>
          </w:tcPr>
          <w:p w14:paraId="13D4785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081" w:type="dxa"/>
            <w:vAlign w:val="center"/>
          </w:tcPr>
          <w:p w14:paraId="2A2D8E0D">
            <w:pPr>
              <w:jc w:val="center"/>
              <w:rPr>
                <w:color w:val="000000" w:themeColor="text1"/>
                <w:sz w:val="18"/>
                <w:szCs w:val="18"/>
                <w14:textFill>
                  <w14:solidFill>
                    <w14:schemeClr w14:val="tx1"/>
                  </w14:solidFill>
                </w14:textFill>
              </w:rPr>
            </w:pPr>
          </w:p>
        </w:tc>
        <w:tc>
          <w:tcPr>
            <w:tcW w:w="709" w:type="dxa"/>
            <w:vAlign w:val="center"/>
          </w:tcPr>
          <w:p w14:paraId="011726A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50AFD53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1-3</w:t>
            </w:r>
          </w:p>
        </w:tc>
        <w:tc>
          <w:tcPr>
            <w:tcW w:w="1045" w:type="dxa"/>
            <w:vMerge w:val="continue"/>
            <w:vAlign w:val="center"/>
          </w:tcPr>
          <w:p w14:paraId="68E886B7">
            <w:pPr>
              <w:jc w:val="center"/>
              <w:rPr>
                <w:color w:val="000000" w:themeColor="text1"/>
                <w:sz w:val="18"/>
                <w:szCs w:val="18"/>
                <w14:textFill>
                  <w14:solidFill>
                    <w14:schemeClr w14:val="tx1"/>
                  </w14:solidFill>
                </w14:textFill>
              </w:rPr>
            </w:pPr>
          </w:p>
        </w:tc>
      </w:tr>
      <w:tr w14:paraId="332D90F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3A6ABF7">
            <w:pPr>
              <w:rPr>
                <w:b/>
                <w:color w:val="000000" w:themeColor="text1"/>
                <w:sz w:val="18"/>
                <w:szCs w:val="18"/>
                <w14:textFill>
                  <w14:solidFill>
                    <w14:schemeClr w14:val="tx1"/>
                  </w14:solidFill>
                </w14:textFill>
              </w:rPr>
            </w:pPr>
          </w:p>
        </w:tc>
        <w:tc>
          <w:tcPr>
            <w:tcW w:w="1226" w:type="dxa"/>
            <w:vMerge w:val="restart"/>
            <w:vAlign w:val="center"/>
          </w:tcPr>
          <w:p w14:paraId="62E4546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7347C99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1A7B8034">
            <w:pPr>
              <w:jc w:val="center"/>
              <w:rPr>
                <w:color w:val="000000" w:themeColor="text1"/>
                <w:sz w:val="18"/>
                <w:szCs w:val="18"/>
                <w14:textFill>
                  <w14:solidFill>
                    <w14:schemeClr w14:val="tx1"/>
                  </w14:solidFill>
                </w14:textFill>
              </w:rPr>
            </w:pPr>
          </w:p>
        </w:tc>
        <w:tc>
          <w:tcPr>
            <w:tcW w:w="709" w:type="dxa"/>
            <w:vAlign w:val="center"/>
          </w:tcPr>
          <w:p w14:paraId="2EC6C678">
            <w:pPr>
              <w:jc w:val="center"/>
              <w:rPr>
                <w:color w:val="000000" w:themeColor="text1"/>
                <w:sz w:val="18"/>
                <w:szCs w:val="18"/>
                <w14:textFill>
                  <w14:solidFill>
                    <w14:schemeClr w14:val="tx1"/>
                  </w14:solidFill>
                </w14:textFill>
              </w:rPr>
            </w:pPr>
          </w:p>
        </w:tc>
        <w:tc>
          <w:tcPr>
            <w:tcW w:w="709" w:type="dxa"/>
            <w:vAlign w:val="center"/>
          </w:tcPr>
          <w:p w14:paraId="54F5187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3-5</w:t>
            </w:r>
          </w:p>
        </w:tc>
        <w:tc>
          <w:tcPr>
            <w:tcW w:w="1045" w:type="dxa"/>
            <w:vMerge w:val="restart"/>
            <w:vAlign w:val="center"/>
          </w:tcPr>
          <w:p w14:paraId="05F23D6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60F7D05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3C987D1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AB28E0B">
            <w:pPr>
              <w:rPr>
                <w:b/>
                <w:color w:val="000000" w:themeColor="text1"/>
                <w:sz w:val="18"/>
                <w:szCs w:val="18"/>
                <w14:textFill>
                  <w14:solidFill>
                    <w14:schemeClr w14:val="tx1"/>
                  </w14:solidFill>
                </w14:textFill>
              </w:rPr>
            </w:pPr>
          </w:p>
        </w:tc>
        <w:tc>
          <w:tcPr>
            <w:tcW w:w="1226" w:type="dxa"/>
            <w:vMerge w:val="continue"/>
            <w:vAlign w:val="center"/>
          </w:tcPr>
          <w:p w14:paraId="527AF347">
            <w:pPr>
              <w:jc w:val="center"/>
              <w:rPr>
                <w:b/>
                <w:color w:val="000000" w:themeColor="text1"/>
                <w:sz w:val="18"/>
                <w:szCs w:val="18"/>
                <w14:textFill>
                  <w14:solidFill>
                    <w14:schemeClr w14:val="tx1"/>
                  </w14:solidFill>
                </w14:textFill>
              </w:rPr>
            </w:pPr>
          </w:p>
        </w:tc>
        <w:tc>
          <w:tcPr>
            <w:tcW w:w="3516" w:type="dxa"/>
            <w:vAlign w:val="center"/>
          </w:tcPr>
          <w:p w14:paraId="27E6F5F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5EEB98AE">
            <w:pPr>
              <w:jc w:val="center"/>
              <w:rPr>
                <w:color w:val="000000" w:themeColor="text1"/>
                <w:sz w:val="18"/>
                <w:szCs w:val="18"/>
                <w14:textFill>
                  <w14:solidFill>
                    <w14:schemeClr w14:val="tx1"/>
                  </w14:solidFill>
                </w14:textFill>
              </w:rPr>
            </w:pPr>
          </w:p>
        </w:tc>
        <w:tc>
          <w:tcPr>
            <w:tcW w:w="709" w:type="dxa"/>
            <w:vAlign w:val="center"/>
          </w:tcPr>
          <w:p w14:paraId="06C80BAB">
            <w:pPr>
              <w:jc w:val="center"/>
              <w:rPr>
                <w:color w:val="000000" w:themeColor="text1"/>
                <w:sz w:val="18"/>
                <w:szCs w:val="18"/>
                <w14:textFill>
                  <w14:solidFill>
                    <w14:schemeClr w14:val="tx1"/>
                  </w14:solidFill>
                </w14:textFill>
              </w:rPr>
            </w:pPr>
          </w:p>
        </w:tc>
        <w:tc>
          <w:tcPr>
            <w:tcW w:w="709" w:type="dxa"/>
            <w:vAlign w:val="center"/>
          </w:tcPr>
          <w:p w14:paraId="03DBD2C4">
            <w:pPr>
              <w:ind w:firstLine="180" w:firstLineChars="1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1045" w:type="dxa"/>
            <w:vMerge w:val="continue"/>
            <w:vAlign w:val="center"/>
          </w:tcPr>
          <w:p w14:paraId="5AEA1235">
            <w:pPr>
              <w:jc w:val="center"/>
              <w:rPr>
                <w:color w:val="000000" w:themeColor="text1"/>
                <w:sz w:val="18"/>
                <w:szCs w:val="18"/>
                <w14:textFill>
                  <w14:solidFill>
                    <w14:schemeClr w14:val="tx1"/>
                  </w14:solidFill>
                </w14:textFill>
              </w:rPr>
            </w:pPr>
          </w:p>
        </w:tc>
      </w:tr>
      <w:tr w14:paraId="48DFEF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A05DF92">
            <w:pPr>
              <w:rPr>
                <w:b/>
                <w:color w:val="000000" w:themeColor="text1"/>
                <w:sz w:val="18"/>
                <w:szCs w:val="18"/>
                <w14:textFill>
                  <w14:solidFill>
                    <w14:schemeClr w14:val="tx1"/>
                  </w14:solidFill>
                </w14:textFill>
              </w:rPr>
            </w:pPr>
          </w:p>
        </w:tc>
        <w:tc>
          <w:tcPr>
            <w:tcW w:w="1226" w:type="dxa"/>
            <w:vMerge w:val="continue"/>
            <w:vAlign w:val="center"/>
          </w:tcPr>
          <w:p w14:paraId="793BCB07">
            <w:pPr>
              <w:jc w:val="center"/>
              <w:rPr>
                <w:b/>
                <w:color w:val="000000" w:themeColor="text1"/>
                <w:sz w:val="18"/>
                <w:szCs w:val="18"/>
                <w14:textFill>
                  <w14:solidFill>
                    <w14:schemeClr w14:val="tx1"/>
                  </w14:solidFill>
                </w14:textFill>
              </w:rPr>
            </w:pPr>
          </w:p>
        </w:tc>
        <w:tc>
          <w:tcPr>
            <w:tcW w:w="3516" w:type="dxa"/>
            <w:vAlign w:val="center"/>
          </w:tcPr>
          <w:p w14:paraId="2B2198E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论文中期进展报告</w:t>
            </w:r>
          </w:p>
        </w:tc>
        <w:tc>
          <w:tcPr>
            <w:tcW w:w="1081" w:type="dxa"/>
            <w:vAlign w:val="center"/>
          </w:tcPr>
          <w:p w14:paraId="1BD49243">
            <w:pPr>
              <w:jc w:val="center"/>
              <w:rPr>
                <w:color w:val="000000" w:themeColor="text1"/>
                <w:sz w:val="18"/>
                <w:szCs w:val="18"/>
                <w14:textFill>
                  <w14:solidFill>
                    <w14:schemeClr w14:val="tx1"/>
                  </w14:solidFill>
                </w14:textFill>
              </w:rPr>
            </w:pPr>
          </w:p>
        </w:tc>
        <w:tc>
          <w:tcPr>
            <w:tcW w:w="709" w:type="dxa"/>
            <w:vAlign w:val="center"/>
          </w:tcPr>
          <w:p w14:paraId="153A5C91">
            <w:pPr>
              <w:jc w:val="center"/>
              <w:rPr>
                <w:color w:val="000000" w:themeColor="text1"/>
                <w:sz w:val="18"/>
                <w:szCs w:val="18"/>
                <w14:textFill>
                  <w14:solidFill>
                    <w14:schemeClr w14:val="tx1"/>
                  </w14:solidFill>
                </w14:textFill>
              </w:rPr>
            </w:pPr>
          </w:p>
        </w:tc>
        <w:tc>
          <w:tcPr>
            <w:tcW w:w="709" w:type="dxa"/>
            <w:vAlign w:val="center"/>
          </w:tcPr>
          <w:p w14:paraId="12DED52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t>
            </w:r>
          </w:p>
        </w:tc>
        <w:tc>
          <w:tcPr>
            <w:tcW w:w="1045" w:type="dxa"/>
            <w:vMerge w:val="continue"/>
          </w:tcPr>
          <w:p w14:paraId="5D6B79E8">
            <w:pPr>
              <w:jc w:val="center"/>
              <w:rPr>
                <w:color w:val="000000" w:themeColor="text1"/>
                <w:sz w:val="18"/>
                <w:szCs w:val="18"/>
                <w14:textFill>
                  <w14:solidFill>
                    <w14:schemeClr w14:val="tx1"/>
                  </w14:solidFill>
                </w14:textFill>
              </w:rPr>
            </w:pPr>
          </w:p>
        </w:tc>
      </w:tr>
      <w:tr w14:paraId="0B68077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845B130">
            <w:pPr>
              <w:rPr>
                <w:b/>
                <w:color w:val="000000" w:themeColor="text1"/>
                <w:sz w:val="18"/>
                <w:szCs w:val="18"/>
                <w14:textFill>
                  <w14:solidFill>
                    <w14:schemeClr w14:val="tx1"/>
                  </w14:solidFill>
                </w14:textFill>
              </w:rPr>
            </w:pPr>
          </w:p>
        </w:tc>
        <w:tc>
          <w:tcPr>
            <w:tcW w:w="1226" w:type="dxa"/>
            <w:vMerge w:val="continue"/>
            <w:vAlign w:val="center"/>
          </w:tcPr>
          <w:p w14:paraId="642DA176">
            <w:pPr>
              <w:jc w:val="center"/>
              <w:rPr>
                <w:b/>
                <w:color w:val="000000" w:themeColor="text1"/>
                <w:sz w:val="18"/>
                <w:szCs w:val="18"/>
                <w14:textFill>
                  <w14:solidFill>
                    <w14:schemeClr w14:val="tx1"/>
                  </w14:solidFill>
                </w14:textFill>
              </w:rPr>
            </w:pPr>
          </w:p>
        </w:tc>
        <w:tc>
          <w:tcPr>
            <w:tcW w:w="3516" w:type="dxa"/>
            <w:vAlign w:val="center"/>
          </w:tcPr>
          <w:p w14:paraId="06F2293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700A3F4E">
            <w:pPr>
              <w:jc w:val="center"/>
              <w:rPr>
                <w:color w:val="000000" w:themeColor="text1"/>
                <w:sz w:val="18"/>
                <w:szCs w:val="18"/>
                <w14:textFill>
                  <w14:solidFill>
                    <w14:schemeClr w14:val="tx1"/>
                  </w14:solidFill>
                </w14:textFill>
              </w:rPr>
            </w:pPr>
          </w:p>
        </w:tc>
        <w:tc>
          <w:tcPr>
            <w:tcW w:w="709" w:type="dxa"/>
            <w:vAlign w:val="center"/>
          </w:tcPr>
          <w:p w14:paraId="03840000">
            <w:pPr>
              <w:jc w:val="center"/>
              <w:rPr>
                <w:color w:val="000000" w:themeColor="text1"/>
                <w:sz w:val="18"/>
                <w:szCs w:val="18"/>
                <w14:textFill>
                  <w14:solidFill>
                    <w14:schemeClr w14:val="tx1"/>
                  </w14:solidFill>
                </w14:textFill>
              </w:rPr>
            </w:pPr>
          </w:p>
        </w:tc>
        <w:tc>
          <w:tcPr>
            <w:tcW w:w="709" w:type="dxa"/>
            <w:vAlign w:val="center"/>
          </w:tcPr>
          <w:p w14:paraId="6CD1B4D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w:t>
            </w:r>
          </w:p>
        </w:tc>
        <w:tc>
          <w:tcPr>
            <w:tcW w:w="1045" w:type="dxa"/>
            <w:vMerge w:val="continue"/>
          </w:tcPr>
          <w:p w14:paraId="10B1810E">
            <w:pPr>
              <w:jc w:val="center"/>
              <w:rPr>
                <w:color w:val="000000" w:themeColor="text1"/>
                <w:sz w:val="18"/>
                <w:szCs w:val="18"/>
                <w14:textFill>
                  <w14:solidFill>
                    <w14:schemeClr w14:val="tx1"/>
                  </w14:solidFill>
                </w14:textFill>
              </w:rPr>
            </w:pPr>
          </w:p>
        </w:tc>
      </w:tr>
      <w:tr w14:paraId="2521815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28619D4">
            <w:pPr>
              <w:rPr>
                <w:color w:val="000000" w:themeColor="text1"/>
                <w:sz w:val="18"/>
                <w:szCs w:val="18"/>
                <w14:textFill>
                  <w14:solidFill>
                    <w14:schemeClr w14:val="tx1"/>
                  </w14:solidFill>
                </w14:textFill>
              </w:rPr>
            </w:pPr>
          </w:p>
        </w:tc>
        <w:tc>
          <w:tcPr>
            <w:tcW w:w="1226" w:type="dxa"/>
            <w:vMerge w:val="continue"/>
          </w:tcPr>
          <w:p w14:paraId="59F4C501">
            <w:pPr>
              <w:jc w:val="center"/>
              <w:rPr>
                <w:color w:val="000000" w:themeColor="text1"/>
                <w:sz w:val="18"/>
                <w:szCs w:val="18"/>
                <w14:textFill>
                  <w14:solidFill>
                    <w14:schemeClr w14:val="tx1"/>
                  </w14:solidFill>
                </w14:textFill>
              </w:rPr>
            </w:pPr>
          </w:p>
        </w:tc>
        <w:tc>
          <w:tcPr>
            <w:tcW w:w="3516" w:type="dxa"/>
            <w:vAlign w:val="center"/>
          </w:tcPr>
          <w:p w14:paraId="0781425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0ACD0F06">
            <w:pPr>
              <w:jc w:val="center"/>
              <w:rPr>
                <w:color w:val="000000" w:themeColor="text1"/>
                <w:sz w:val="18"/>
                <w:szCs w:val="18"/>
                <w14:textFill>
                  <w14:solidFill>
                    <w14:schemeClr w14:val="tx1"/>
                  </w14:solidFill>
                </w14:textFill>
              </w:rPr>
            </w:pPr>
          </w:p>
        </w:tc>
        <w:tc>
          <w:tcPr>
            <w:tcW w:w="709" w:type="dxa"/>
            <w:vAlign w:val="center"/>
          </w:tcPr>
          <w:p w14:paraId="76CB538A">
            <w:pPr>
              <w:jc w:val="center"/>
              <w:rPr>
                <w:color w:val="000000" w:themeColor="text1"/>
                <w:sz w:val="18"/>
                <w:szCs w:val="18"/>
                <w14:textFill>
                  <w14:solidFill>
                    <w14:schemeClr w14:val="tx1"/>
                  </w14:solidFill>
                </w14:textFill>
              </w:rPr>
            </w:pPr>
          </w:p>
        </w:tc>
        <w:tc>
          <w:tcPr>
            <w:tcW w:w="709" w:type="dxa"/>
            <w:vAlign w:val="center"/>
          </w:tcPr>
          <w:p w14:paraId="047990F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7D339988">
            <w:pPr>
              <w:jc w:val="center"/>
              <w:rPr>
                <w:color w:val="000000" w:themeColor="text1"/>
                <w:sz w:val="18"/>
                <w:szCs w:val="18"/>
                <w14:textFill>
                  <w14:solidFill>
                    <w14:schemeClr w14:val="tx1"/>
                  </w14:solidFill>
                </w14:textFill>
              </w:rPr>
            </w:pPr>
          </w:p>
        </w:tc>
      </w:tr>
      <w:tr w14:paraId="749507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4D2E108">
            <w:pPr>
              <w:rPr>
                <w:color w:val="000000" w:themeColor="text1"/>
                <w:sz w:val="18"/>
                <w:szCs w:val="18"/>
                <w14:textFill>
                  <w14:solidFill>
                    <w14:schemeClr w14:val="tx1"/>
                  </w14:solidFill>
                </w14:textFill>
              </w:rPr>
            </w:pPr>
          </w:p>
        </w:tc>
        <w:tc>
          <w:tcPr>
            <w:tcW w:w="1226" w:type="dxa"/>
            <w:vMerge w:val="continue"/>
          </w:tcPr>
          <w:p w14:paraId="1CD5A68C">
            <w:pPr>
              <w:jc w:val="center"/>
              <w:rPr>
                <w:color w:val="000000" w:themeColor="text1"/>
                <w:sz w:val="18"/>
                <w:szCs w:val="18"/>
                <w14:textFill>
                  <w14:solidFill>
                    <w14:schemeClr w14:val="tx1"/>
                  </w14:solidFill>
                </w14:textFill>
              </w:rPr>
            </w:pPr>
          </w:p>
        </w:tc>
        <w:tc>
          <w:tcPr>
            <w:tcW w:w="3516" w:type="dxa"/>
            <w:vAlign w:val="center"/>
          </w:tcPr>
          <w:p w14:paraId="68096B1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70D7C7B3">
            <w:pPr>
              <w:jc w:val="center"/>
              <w:rPr>
                <w:color w:val="000000" w:themeColor="text1"/>
                <w:sz w:val="18"/>
                <w:szCs w:val="18"/>
                <w14:textFill>
                  <w14:solidFill>
                    <w14:schemeClr w14:val="tx1"/>
                  </w14:solidFill>
                </w14:textFill>
              </w:rPr>
            </w:pPr>
          </w:p>
        </w:tc>
        <w:tc>
          <w:tcPr>
            <w:tcW w:w="709" w:type="dxa"/>
            <w:vAlign w:val="center"/>
          </w:tcPr>
          <w:p w14:paraId="055856D0">
            <w:pPr>
              <w:jc w:val="center"/>
              <w:rPr>
                <w:color w:val="000000" w:themeColor="text1"/>
                <w:sz w:val="18"/>
                <w:szCs w:val="18"/>
                <w14:textFill>
                  <w14:solidFill>
                    <w14:schemeClr w14:val="tx1"/>
                  </w14:solidFill>
                </w14:textFill>
              </w:rPr>
            </w:pPr>
          </w:p>
        </w:tc>
        <w:tc>
          <w:tcPr>
            <w:tcW w:w="709" w:type="dxa"/>
            <w:vAlign w:val="center"/>
          </w:tcPr>
          <w:p w14:paraId="5B97765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17A32AAE">
            <w:pPr>
              <w:jc w:val="center"/>
              <w:rPr>
                <w:color w:val="000000" w:themeColor="text1"/>
                <w:sz w:val="18"/>
                <w:szCs w:val="18"/>
                <w14:textFill>
                  <w14:solidFill>
                    <w14:schemeClr w14:val="tx1"/>
                  </w14:solidFill>
                </w14:textFill>
              </w:rPr>
            </w:pPr>
          </w:p>
        </w:tc>
      </w:tr>
    </w:tbl>
    <w:p w14:paraId="742BB5AA">
      <w:pPr>
        <w:spacing w:line="440" w:lineRule="exact"/>
        <w:ind w:firstLine="480" w:firstLineChars="200"/>
        <w:rPr>
          <w:rFonts w:eastAsiaTheme="minorEastAsia"/>
          <w:bCs/>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*公共外语课程按入学时的外国语考试科目修读相关语种。</w:t>
      </w:r>
    </w:p>
    <w:p w14:paraId="12D782F9">
      <w:pPr>
        <w:spacing w:line="440" w:lineRule="exact"/>
        <w:ind w:firstLine="480" w:firstLineChars="200"/>
        <w:rPr>
          <w:rFonts w:eastAsiaTheme="minorEastAsia"/>
          <w:bCs/>
          <w:color w:val="000000" w:themeColor="text1"/>
          <w:sz w:val="24"/>
          <w14:textFill>
            <w14:solidFill>
              <w14:schemeClr w14:val="tx1"/>
            </w14:solidFill>
          </w14:textFill>
        </w:rPr>
      </w:pPr>
    </w:p>
    <w:p w14:paraId="7B3FA641">
      <w:pPr>
        <w:spacing w:line="360" w:lineRule="auto"/>
        <w:ind w:firstLine="560"/>
        <w:rPr>
          <w:rFonts w:asciiTheme="majorEastAsia" w:hAnsiTheme="majorEastAsia" w:eastAsiaTheme="majorEastAsia" w:cstheme="majorEastAsia"/>
          <w:b/>
          <w:color w:val="000000" w:themeColor="text1"/>
          <w:sz w:val="28"/>
          <w:szCs w:val="28"/>
          <w14:textFill>
            <w14:solidFill>
              <w14:schemeClr w14:val="tx1"/>
            </w14:solidFill>
          </w14:textFill>
        </w:rPr>
      </w:pPr>
      <w:r>
        <w:rPr>
          <w:rFonts w:hint="eastAsia" w:asciiTheme="majorEastAsia" w:hAnsiTheme="majorEastAsia" w:eastAsiaTheme="majorEastAsia" w:cstheme="majorEastAsia"/>
          <w:b/>
          <w:color w:val="000000" w:themeColor="text1"/>
          <w:sz w:val="28"/>
          <w:szCs w:val="28"/>
          <w14:textFill>
            <w14:solidFill>
              <w14:schemeClr w14:val="tx1"/>
            </w14:solidFill>
          </w14:textFill>
        </w:rPr>
        <w:t>十三、其他需要说明事项</w:t>
      </w:r>
    </w:p>
    <w:p w14:paraId="54DBCD98">
      <w:pPr>
        <w:spacing w:line="440" w:lineRule="exact"/>
        <w:ind w:firstLine="480" w:firstLineChars="200"/>
        <w:rPr>
          <w:rFonts w:eastAsiaTheme="minorEastAsia"/>
          <w:bCs/>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1</w:t>
      </w:r>
      <w:r>
        <w:rPr>
          <w:rFonts w:hint="eastAsia" w:eastAsiaTheme="minorEastAsia"/>
          <w:bCs/>
          <w:color w:val="000000" w:themeColor="text1"/>
          <w:sz w:val="24"/>
          <w14:textFill>
            <w14:solidFill>
              <w14:schemeClr w14:val="tx1"/>
            </w14:solidFill>
          </w14:textFill>
        </w:rPr>
        <w:t>．</w:t>
      </w:r>
      <w:r>
        <w:rPr>
          <w:rFonts w:eastAsiaTheme="minorEastAsia"/>
          <w:bCs/>
          <w:color w:val="000000" w:themeColor="text1"/>
          <w:sz w:val="24"/>
          <w14:textFill>
            <w14:solidFill>
              <w14:schemeClr w14:val="tx1"/>
            </w14:solidFill>
          </w14:textFill>
        </w:rPr>
        <w:t>非学位课中的方向选修课模块由各培养单位自行设置，并给出具体选修学分要求。</w:t>
      </w:r>
    </w:p>
    <w:p w14:paraId="40A26472">
      <w:pPr>
        <w:spacing w:after="156" w:afterLines="50" w:line="440" w:lineRule="exact"/>
        <w:ind w:firstLine="480" w:firstLineChars="200"/>
        <w:rPr>
          <w:rFonts w:eastAsiaTheme="minorEastAsia"/>
          <w:b/>
          <w:bCs/>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2</w:t>
      </w:r>
      <w:r>
        <w:rPr>
          <w:rFonts w:hint="eastAsia" w:eastAsiaTheme="minorEastAsia"/>
          <w:bCs/>
          <w:color w:val="000000" w:themeColor="text1"/>
          <w:sz w:val="24"/>
          <w14:textFill>
            <w14:solidFill>
              <w14:schemeClr w14:val="tx1"/>
            </w14:solidFill>
          </w14:textFill>
        </w:rPr>
        <w:t>．</w:t>
      </w:r>
      <w:r>
        <w:rPr>
          <w:rFonts w:eastAsiaTheme="minorEastAsia"/>
          <w:bCs/>
          <w:color w:val="000000" w:themeColor="text1"/>
          <w:sz w:val="24"/>
          <w14:textFill>
            <w14:solidFill>
              <w14:schemeClr w14:val="tx1"/>
            </w14:solidFill>
          </w14:textFill>
        </w:rPr>
        <w:t>毕业总学分：</w:t>
      </w:r>
      <w:r>
        <w:rPr>
          <w:rFonts w:hint="eastAsia" w:eastAsiaTheme="minorEastAsia"/>
          <w:bCs/>
          <w:color w:val="000000" w:themeColor="text1"/>
          <w:sz w:val="24"/>
          <w14:textFill>
            <w14:solidFill>
              <w14:schemeClr w14:val="tx1"/>
            </w14:solidFill>
          </w14:textFill>
        </w:rPr>
        <w:t>学位课</w:t>
      </w:r>
      <w:r>
        <w:rPr>
          <w:rFonts w:eastAsiaTheme="minorEastAsia"/>
          <w:bCs/>
          <w:color w:val="000000" w:themeColor="text1"/>
          <w:sz w:val="24"/>
          <w14:textFill>
            <w14:solidFill>
              <w14:schemeClr w14:val="tx1"/>
            </w14:solidFill>
          </w14:textFill>
        </w:rPr>
        <w:t>+</w:t>
      </w:r>
      <w:r>
        <w:rPr>
          <w:rFonts w:hint="eastAsia" w:eastAsiaTheme="minorEastAsia"/>
          <w:bCs/>
          <w:color w:val="000000" w:themeColor="text1"/>
          <w:sz w:val="24"/>
          <w14:textFill>
            <w14:solidFill>
              <w14:schemeClr w14:val="tx1"/>
            </w14:solidFill>
          </w14:textFill>
        </w:rPr>
        <w:t>非学位课</w:t>
      </w:r>
      <w:r>
        <w:rPr>
          <w:rFonts w:eastAsiaTheme="minorEastAsia"/>
          <w:bCs/>
          <w:color w:val="000000" w:themeColor="text1"/>
          <w:sz w:val="24"/>
          <w14:textFill>
            <w14:solidFill>
              <w14:schemeClr w14:val="tx1"/>
            </w14:solidFill>
          </w14:textFill>
        </w:rPr>
        <w:t>+必修环节。</w:t>
      </w:r>
    </w:p>
    <w:p w14:paraId="54C2AD85">
      <w:pPr>
        <w:spacing w:line="440" w:lineRule="exact"/>
        <w:ind w:firstLine="480" w:firstLineChars="200"/>
        <w:rPr>
          <w:rFonts w:eastAsiaTheme="minorEastAsia"/>
          <w:bCs/>
          <w:color w:val="000000" w:themeColor="text1"/>
          <w:sz w:val="24"/>
          <w14:textFill>
            <w14:solidFill>
              <w14:schemeClr w14:val="tx1"/>
            </w14:solidFill>
          </w14:textFill>
        </w:rPr>
      </w:pPr>
    </w:p>
    <w:p w14:paraId="07E1707B">
      <w:pPr>
        <w:spacing w:line="440" w:lineRule="exact"/>
        <w:ind w:firstLine="480" w:firstLineChars="200"/>
        <w:rPr>
          <w:rFonts w:eastAsiaTheme="minorEastAsia"/>
          <w:bCs/>
          <w:color w:val="000000" w:themeColor="text1"/>
          <w:sz w:val="24"/>
          <w14:textFill>
            <w14:solidFill>
              <w14:schemeClr w14:val="tx1"/>
            </w14:solidFill>
          </w14:textFill>
        </w:rPr>
      </w:pPr>
    </w:p>
    <w:p w14:paraId="5EBA0B69">
      <w:pPr>
        <w:spacing w:line="440" w:lineRule="exact"/>
        <w:ind w:firstLine="480" w:firstLineChars="200"/>
        <w:rPr>
          <w:rFonts w:eastAsiaTheme="minorEastAsia"/>
          <w:bCs/>
          <w:color w:val="000000" w:themeColor="text1"/>
          <w:sz w:val="24"/>
          <w14:textFill>
            <w14:solidFill>
              <w14:schemeClr w14:val="tx1"/>
            </w14:solidFill>
          </w14:textFill>
        </w:rPr>
      </w:pPr>
    </w:p>
    <w:p w14:paraId="264D76B7">
      <w:pPr>
        <w:spacing w:line="440" w:lineRule="exact"/>
        <w:ind w:firstLine="480" w:firstLineChars="200"/>
        <w:rPr>
          <w:rFonts w:eastAsiaTheme="minorEastAsia"/>
          <w:bCs/>
          <w:color w:val="000000" w:themeColor="text1"/>
          <w:sz w:val="24"/>
          <w14:textFill>
            <w14:solidFill>
              <w14:schemeClr w14:val="tx1"/>
            </w14:solidFill>
          </w14:textFill>
        </w:rPr>
      </w:pPr>
    </w:p>
    <w:p w14:paraId="7F1C310A">
      <w:pPr>
        <w:spacing w:line="440" w:lineRule="exact"/>
        <w:ind w:firstLine="480" w:firstLineChars="200"/>
        <w:rPr>
          <w:rFonts w:eastAsiaTheme="minorEastAsia"/>
          <w:bCs/>
          <w:color w:val="000000" w:themeColor="text1"/>
          <w:sz w:val="24"/>
          <w14:textFill>
            <w14:solidFill>
              <w14:schemeClr w14:val="tx1"/>
            </w14:solidFill>
          </w14:textFill>
        </w:rPr>
      </w:pPr>
    </w:p>
    <w:p w14:paraId="1CE4CC57">
      <w:pPr>
        <w:spacing w:line="440" w:lineRule="exact"/>
        <w:ind w:firstLine="480" w:firstLineChars="200"/>
        <w:rPr>
          <w:rFonts w:eastAsiaTheme="minorEastAsia"/>
          <w:bCs/>
          <w:color w:val="000000" w:themeColor="text1"/>
          <w:sz w:val="24"/>
          <w14:textFill>
            <w14:solidFill>
              <w14:schemeClr w14:val="tx1"/>
            </w14:solidFill>
          </w14:textFill>
        </w:rPr>
      </w:pPr>
    </w:p>
    <w:p w14:paraId="72A9DE95">
      <w:pPr>
        <w:spacing w:line="440" w:lineRule="exact"/>
        <w:ind w:firstLine="480" w:firstLineChars="200"/>
        <w:rPr>
          <w:rFonts w:eastAsiaTheme="minorEastAsia"/>
          <w:bCs/>
          <w:color w:val="000000" w:themeColor="text1"/>
          <w:sz w:val="24"/>
          <w14:textFill>
            <w14:solidFill>
              <w14:schemeClr w14:val="tx1"/>
            </w14:solidFill>
          </w14:textFill>
        </w:rPr>
      </w:pPr>
    </w:p>
    <w:p w14:paraId="22AF42A4">
      <w:pPr>
        <w:spacing w:line="440" w:lineRule="exact"/>
        <w:ind w:firstLine="480" w:firstLineChars="200"/>
        <w:rPr>
          <w:rFonts w:eastAsiaTheme="minorEastAsia"/>
          <w:bCs/>
          <w:color w:val="000000" w:themeColor="text1"/>
          <w:sz w:val="24"/>
          <w14:textFill>
            <w14:solidFill>
              <w14:schemeClr w14:val="tx1"/>
            </w14:solidFill>
          </w14:textFill>
        </w:rPr>
      </w:pPr>
    </w:p>
    <w:p w14:paraId="41B3E3B5">
      <w:pPr>
        <w:spacing w:line="440" w:lineRule="exact"/>
        <w:ind w:firstLine="480" w:firstLineChars="200"/>
        <w:rPr>
          <w:rFonts w:eastAsiaTheme="minorEastAsia"/>
          <w:bCs/>
          <w:color w:val="000000" w:themeColor="text1"/>
          <w:sz w:val="24"/>
          <w14:textFill>
            <w14:solidFill>
              <w14:schemeClr w14:val="tx1"/>
            </w14:solidFill>
          </w14:textFill>
        </w:rPr>
      </w:pPr>
    </w:p>
    <w:p w14:paraId="4C99A868">
      <w:pPr>
        <w:spacing w:line="440" w:lineRule="exact"/>
        <w:ind w:firstLine="480" w:firstLineChars="200"/>
        <w:rPr>
          <w:rFonts w:eastAsiaTheme="minorEastAsia"/>
          <w:bCs/>
          <w:color w:val="000000" w:themeColor="text1"/>
          <w:sz w:val="24"/>
          <w14:textFill>
            <w14:solidFill>
              <w14:schemeClr w14:val="tx1"/>
            </w14:solidFill>
          </w14:textFill>
        </w:rPr>
      </w:pPr>
    </w:p>
    <w:p w14:paraId="49BA27F0">
      <w:pPr>
        <w:spacing w:line="440" w:lineRule="exact"/>
        <w:ind w:firstLine="482" w:firstLineChars="200"/>
        <w:rPr>
          <w:rFonts w:eastAsiaTheme="minorEastAsia"/>
          <w:b/>
          <w:bCs/>
          <w:color w:val="000000" w:themeColor="text1"/>
          <w:sz w:val="24"/>
          <w14:textFill>
            <w14:solidFill>
              <w14:schemeClr w14:val="tx1"/>
            </w14:solidFill>
          </w14:textFill>
        </w:rPr>
      </w:pPr>
    </w:p>
    <w:p w14:paraId="754391CB">
      <w:pPr>
        <w:spacing w:line="440" w:lineRule="exact"/>
        <w:ind w:firstLine="480" w:firstLineChars="200"/>
        <w:rPr>
          <w:rFonts w:eastAsiaTheme="minorEastAsia"/>
          <w:bCs/>
          <w:color w:val="000000" w:themeColor="text1"/>
          <w:sz w:val="24"/>
          <w14:textFill>
            <w14:solidFill>
              <w14:schemeClr w14:val="tx1"/>
            </w14:solidFill>
          </w14:textFill>
        </w:rPr>
      </w:pPr>
    </w:p>
    <w:p w14:paraId="4A763188">
      <w:pPr>
        <w:spacing w:line="440" w:lineRule="exact"/>
        <w:ind w:firstLine="480" w:firstLineChars="200"/>
        <w:rPr>
          <w:rFonts w:eastAsia="黑体"/>
          <w:bCs/>
          <w:color w:val="000000" w:themeColor="text1"/>
          <w:sz w:val="24"/>
          <w14:textFill>
            <w14:solidFill>
              <w14:schemeClr w14:val="tx1"/>
            </w14:solidFill>
          </w14:textFill>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8A"/>
    <w:rsid w:val="000517AD"/>
    <w:rsid w:val="0005309E"/>
    <w:rsid w:val="00053173"/>
    <w:rsid w:val="00054712"/>
    <w:rsid w:val="00054F25"/>
    <w:rsid w:val="00057DA0"/>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335"/>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D7AA0"/>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34A4"/>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75C"/>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775"/>
    <w:rsid w:val="00153B3C"/>
    <w:rsid w:val="001544A4"/>
    <w:rsid w:val="001548B0"/>
    <w:rsid w:val="001559E7"/>
    <w:rsid w:val="00155AAE"/>
    <w:rsid w:val="001566EB"/>
    <w:rsid w:val="00156DDA"/>
    <w:rsid w:val="00160DA3"/>
    <w:rsid w:val="0016181D"/>
    <w:rsid w:val="00162151"/>
    <w:rsid w:val="00162801"/>
    <w:rsid w:val="0016284B"/>
    <w:rsid w:val="00163A5C"/>
    <w:rsid w:val="00163CF7"/>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68B9"/>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4D2C"/>
    <w:rsid w:val="001E5492"/>
    <w:rsid w:val="001E57D0"/>
    <w:rsid w:val="001F03A6"/>
    <w:rsid w:val="001F0AE0"/>
    <w:rsid w:val="001F11BA"/>
    <w:rsid w:val="001F16FF"/>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3CC4"/>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57B"/>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33C6"/>
    <w:rsid w:val="00345BF6"/>
    <w:rsid w:val="00350E12"/>
    <w:rsid w:val="00351789"/>
    <w:rsid w:val="00352485"/>
    <w:rsid w:val="00352525"/>
    <w:rsid w:val="003539D7"/>
    <w:rsid w:val="00353D6B"/>
    <w:rsid w:val="003560E0"/>
    <w:rsid w:val="003617F2"/>
    <w:rsid w:val="00361966"/>
    <w:rsid w:val="00362BF4"/>
    <w:rsid w:val="00364D73"/>
    <w:rsid w:val="00364E5A"/>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97A7D"/>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3F38"/>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ACF"/>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2274"/>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42"/>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5B"/>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23A"/>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23C5"/>
    <w:rsid w:val="00697E04"/>
    <w:rsid w:val="006A06EB"/>
    <w:rsid w:val="006A2469"/>
    <w:rsid w:val="006A28CE"/>
    <w:rsid w:val="006A29EA"/>
    <w:rsid w:val="006A2D59"/>
    <w:rsid w:val="006A50A8"/>
    <w:rsid w:val="006A593C"/>
    <w:rsid w:val="006A63AD"/>
    <w:rsid w:val="006A670F"/>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2A35"/>
    <w:rsid w:val="00794CA2"/>
    <w:rsid w:val="00795991"/>
    <w:rsid w:val="00796724"/>
    <w:rsid w:val="007A010B"/>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83"/>
    <w:rsid w:val="007F56C1"/>
    <w:rsid w:val="007F6C56"/>
    <w:rsid w:val="007F7069"/>
    <w:rsid w:val="0080018D"/>
    <w:rsid w:val="00800422"/>
    <w:rsid w:val="008017DD"/>
    <w:rsid w:val="00801847"/>
    <w:rsid w:val="008029A2"/>
    <w:rsid w:val="00803651"/>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84B"/>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2A3"/>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6B3F"/>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5EE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60F3"/>
    <w:rsid w:val="00996F91"/>
    <w:rsid w:val="0099791C"/>
    <w:rsid w:val="009A2000"/>
    <w:rsid w:val="009A3455"/>
    <w:rsid w:val="009A3A70"/>
    <w:rsid w:val="009A489E"/>
    <w:rsid w:val="009A524E"/>
    <w:rsid w:val="009A5BB6"/>
    <w:rsid w:val="009A63F7"/>
    <w:rsid w:val="009A7D3D"/>
    <w:rsid w:val="009B2552"/>
    <w:rsid w:val="009B343F"/>
    <w:rsid w:val="009B3B09"/>
    <w:rsid w:val="009B41CF"/>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3870"/>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B23"/>
    <w:rsid w:val="00A53FB7"/>
    <w:rsid w:val="00A54190"/>
    <w:rsid w:val="00A54C9D"/>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652"/>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3FA"/>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16B"/>
    <w:rsid w:val="00BF6770"/>
    <w:rsid w:val="00BF6F0C"/>
    <w:rsid w:val="00BF76BC"/>
    <w:rsid w:val="00BF7C26"/>
    <w:rsid w:val="00C0054E"/>
    <w:rsid w:val="00C016B0"/>
    <w:rsid w:val="00C01D98"/>
    <w:rsid w:val="00C037E6"/>
    <w:rsid w:val="00C03F50"/>
    <w:rsid w:val="00C03F67"/>
    <w:rsid w:val="00C04449"/>
    <w:rsid w:val="00C04E94"/>
    <w:rsid w:val="00C050FB"/>
    <w:rsid w:val="00C0653F"/>
    <w:rsid w:val="00C07244"/>
    <w:rsid w:val="00C07C99"/>
    <w:rsid w:val="00C10723"/>
    <w:rsid w:val="00C15458"/>
    <w:rsid w:val="00C155C6"/>
    <w:rsid w:val="00C15991"/>
    <w:rsid w:val="00C15D7B"/>
    <w:rsid w:val="00C16989"/>
    <w:rsid w:val="00C16CF8"/>
    <w:rsid w:val="00C175A2"/>
    <w:rsid w:val="00C17836"/>
    <w:rsid w:val="00C17BAF"/>
    <w:rsid w:val="00C21AA7"/>
    <w:rsid w:val="00C21C6A"/>
    <w:rsid w:val="00C21F9D"/>
    <w:rsid w:val="00C235CE"/>
    <w:rsid w:val="00C27286"/>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0B2"/>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4BA8"/>
    <w:rsid w:val="00C76AA5"/>
    <w:rsid w:val="00C80343"/>
    <w:rsid w:val="00C80653"/>
    <w:rsid w:val="00C81AA5"/>
    <w:rsid w:val="00C81E33"/>
    <w:rsid w:val="00C82D7C"/>
    <w:rsid w:val="00C83623"/>
    <w:rsid w:val="00C85CD7"/>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626"/>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351"/>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57E02"/>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6EA8"/>
    <w:rsid w:val="00D973E0"/>
    <w:rsid w:val="00D9741A"/>
    <w:rsid w:val="00DA0C9A"/>
    <w:rsid w:val="00DA1246"/>
    <w:rsid w:val="00DA2F62"/>
    <w:rsid w:val="00DA31B1"/>
    <w:rsid w:val="00DA3EC9"/>
    <w:rsid w:val="00DA556E"/>
    <w:rsid w:val="00DA6F15"/>
    <w:rsid w:val="00DB1A6A"/>
    <w:rsid w:val="00DB2C18"/>
    <w:rsid w:val="00DB2FEE"/>
    <w:rsid w:val="00DB320C"/>
    <w:rsid w:val="00DB3CF7"/>
    <w:rsid w:val="00DB45CA"/>
    <w:rsid w:val="00DB4BBD"/>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97D"/>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1E61"/>
    <w:rsid w:val="00E42BA4"/>
    <w:rsid w:val="00E4687A"/>
    <w:rsid w:val="00E46A79"/>
    <w:rsid w:val="00E472F0"/>
    <w:rsid w:val="00E47C9F"/>
    <w:rsid w:val="00E51A3B"/>
    <w:rsid w:val="00E531FD"/>
    <w:rsid w:val="00E5419F"/>
    <w:rsid w:val="00E55770"/>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876D1"/>
    <w:rsid w:val="00E9078D"/>
    <w:rsid w:val="00E912A3"/>
    <w:rsid w:val="00E92034"/>
    <w:rsid w:val="00E922F1"/>
    <w:rsid w:val="00E92E26"/>
    <w:rsid w:val="00E934FD"/>
    <w:rsid w:val="00E93C3F"/>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2A1"/>
    <w:rsid w:val="00EB3E9A"/>
    <w:rsid w:val="00EB47EF"/>
    <w:rsid w:val="00EB4C13"/>
    <w:rsid w:val="00EB5370"/>
    <w:rsid w:val="00EB5514"/>
    <w:rsid w:val="00EB6FAB"/>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1BB2"/>
    <w:rsid w:val="00F63AAF"/>
    <w:rsid w:val="00F63E0A"/>
    <w:rsid w:val="00F644DD"/>
    <w:rsid w:val="00F65330"/>
    <w:rsid w:val="00F7096E"/>
    <w:rsid w:val="00F71D06"/>
    <w:rsid w:val="00F741E3"/>
    <w:rsid w:val="00F75C54"/>
    <w:rsid w:val="00F800B7"/>
    <w:rsid w:val="00F80158"/>
    <w:rsid w:val="00F80AE7"/>
    <w:rsid w:val="00F83766"/>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378D"/>
    <w:rsid w:val="00F942A2"/>
    <w:rsid w:val="00F950EB"/>
    <w:rsid w:val="00F953AE"/>
    <w:rsid w:val="00F9545A"/>
    <w:rsid w:val="00F956C9"/>
    <w:rsid w:val="00F96B84"/>
    <w:rsid w:val="00F96F5A"/>
    <w:rsid w:val="00F974F0"/>
    <w:rsid w:val="00FA1E0D"/>
    <w:rsid w:val="00FA4609"/>
    <w:rsid w:val="00FA55CF"/>
    <w:rsid w:val="00FA59DD"/>
    <w:rsid w:val="00FA6372"/>
    <w:rsid w:val="00FA669F"/>
    <w:rsid w:val="00FA762D"/>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A0E"/>
    <w:rsid w:val="00FF1F8D"/>
    <w:rsid w:val="00FF2D9D"/>
    <w:rsid w:val="00FF40BB"/>
    <w:rsid w:val="00FF5CED"/>
    <w:rsid w:val="00FF7300"/>
    <w:rsid w:val="00FF735B"/>
    <w:rsid w:val="00FF7521"/>
    <w:rsid w:val="153B0F5F"/>
    <w:rsid w:val="18D8336D"/>
    <w:rsid w:val="1C990DAE"/>
    <w:rsid w:val="1FE96C05"/>
    <w:rsid w:val="21E87AF3"/>
    <w:rsid w:val="23902475"/>
    <w:rsid w:val="28D667EF"/>
    <w:rsid w:val="2B166C16"/>
    <w:rsid w:val="2FE4156D"/>
    <w:rsid w:val="34E15227"/>
    <w:rsid w:val="3A775CCD"/>
    <w:rsid w:val="415F3F89"/>
    <w:rsid w:val="5385202A"/>
    <w:rsid w:val="545D78A2"/>
    <w:rsid w:val="5B9F5E24"/>
    <w:rsid w:val="5BC96AFE"/>
    <w:rsid w:val="5F375E16"/>
    <w:rsid w:val="67C223E6"/>
    <w:rsid w:val="6C9068CD"/>
    <w:rsid w:val="733A25B5"/>
    <w:rsid w:val="73FB1E5F"/>
    <w:rsid w:val="755310F7"/>
    <w:rsid w:val="7623126D"/>
    <w:rsid w:val="7AC25959"/>
    <w:rsid w:val="7FA64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 w:type="paragraph" w:customStyle="1" w:styleId="27">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6</Pages>
  <Words>4000</Words>
  <Characters>4210</Characters>
  <Lines>210</Lines>
  <Paragraphs>205</Paragraphs>
  <TotalTime>106</TotalTime>
  <ScaleCrop>false</ScaleCrop>
  <LinksUpToDate>false</LinksUpToDate>
  <CharactersWithSpaces>4215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WPS_1642090307</cp:lastModifiedBy>
  <cp:lastPrinted>2025-06-13T08:00:30Z</cp:lastPrinted>
  <dcterms:modified xsi:type="dcterms:W3CDTF">2025-06-13T08:00:33Z</dcterms:modified>
  <cp:revision>128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eyJoZGlkIjoiMmQ0ZmE4MDRkM2M1MjdlNGM2NTVkYWQ2Y2EwNDRkNjMiLCJ1c2VySWQiOiIxMzE2NzE0NTYyIn0=</vt:lpwstr>
  </property>
  <property fmtid="{D5CDD505-2E9C-101B-9397-08002B2CF9AE}" pid="4" name="ICV">
    <vt:lpwstr>39957FC6F32C4E28AD48736256111467_12</vt:lpwstr>
  </property>
</Properties>
</file>