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C66B9">
      <w:pPr>
        <w:spacing w:line="360" w:lineRule="auto"/>
        <w:jc w:val="center"/>
        <w:rPr>
          <w:rFonts w:eastAsia="黑体"/>
          <w:b w:val="0"/>
          <w:bCs/>
          <w:sz w:val="36"/>
          <w:szCs w:val="36"/>
        </w:rPr>
      </w:pPr>
      <w:r>
        <w:rPr>
          <w:rFonts w:hint="eastAsia" w:eastAsia="黑体"/>
          <w:b w:val="0"/>
          <w:bCs/>
          <w:sz w:val="36"/>
          <w:szCs w:val="36"/>
          <w:u w:val="single"/>
        </w:rPr>
        <w:t>民商法学</w:t>
      </w:r>
      <w:r>
        <w:rPr>
          <w:rFonts w:eastAsia="黑体"/>
          <w:b w:val="0"/>
          <w:bCs/>
          <w:sz w:val="36"/>
          <w:szCs w:val="36"/>
        </w:rPr>
        <w:t>专业学术学位硕士研究生培养方案</w:t>
      </w:r>
    </w:p>
    <w:p w14:paraId="1FFDC747">
      <w:pPr>
        <w:spacing w:line="360" w:lineRule="auto"/>
        <w:jc w:val="center"/>
        <w:rPr>
          <w:rFonts w:eastAsia="黑体"/>
          <w:b w:val="0"/>
          <w:bCs/>
          <w:sz w:val="28"/>
          <w:szCs w:val="28"/>
        </w:rPr>
      </w:pPr>
      <w:r>
        <w:rPr>
          <w:rFonts w:eastAsia="黑体"/>
          <w:b w:val="0"/>
          <w:bCs/>
          <w:sz w:val="28"/>
          <w:szCs w:val="28"/>
        </w:rPr>
        <w:t>（</w:t>
      </w:r>
      <w:r>
        <w:rPr>
          <w:rFonts w:hint="eastAsia" w:eastAsia="黑体"/>
          <w:b w:val="0"/>
          <w:bCs/>
          <w:sz w:val="28"/>
          <w:szCs w:val="28"/>
        </w:rPr>
        <w:t>法</w:t>
      </w:r>
      <w:r>
        <w:rPr>
          <w:rFonts w:eastAsia="黑体"/>
          <w:b w:val="0"/>
          <w:bCs/>
          <w:sz w:val="28"/>
          <w:szCs w:val="28"/>
        </w:rPr>
        <w:t>学院)</w:t>
      </w:r>
    </w:p>
    <w:p w14:paraId="65B14A1C">
      <w:pPr>
        <w:spacing w:line="360" w:lineRule="auto"/>
        <w:ind w:firstLine="560" w:firstLineChars="200"/>
        <w:rPr>
          <w:rFonts w:eastAsia="黑体"/>
          <w:b w:val="0"/>
          <w:bCs/>
          <w:sz w:val="28"/>
          <w:szCs w:val="28"/>
        </w:rPr>
      </w:pPr>
      <w:r>
        <w:rPr>
          <w:rFonts w:eastAsia="黑体"/>
          <w:b w:val="0"/>
          <w:bCs/>
          <w:sz w:val="28"/>
          <w:szCs w:val="28"/>
        </w:rPr>
        <w:t>一、专业名称、代码</w:t>
      </w:r>
    </w:p>
    <w:p w14:paraId="69F1F178">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民商法学</w:t>
      </w:r>
    </w:p>
    <w:p w14:paraId="73BC737E">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030105</w:t>
      </w:r>
    </w:p>
    <w:p w14:paraId="326FEF04">
      <w:pPr>
        <w:spacing w:line="360" w:lineRule="auto"/>
        <w:ind w:firstLine="560" w:firstLineChars="200"/>
        <w:rPr>
          <w:rFonts w:eastAsia="黑体"/>
          <w:b w:val="0"/>
          <w:bCs/>
          <w:color w:val="000000" w:themeColor="text1"/>
          <w:sz w:val="28"/>
          <w:szCs w:val="28"/>
          <w14:textFill>
            <w14:solidFill>
              <w14:schemeClr w14:val="tx1"/>
            </w14:solidFill>
          </w14:textFill>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412CC66F">
      <w:pPr>
        <w:pStyle w:val="6"/>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河北大学法学学科肇始于1939年，重建于1980年，具备扎实的法学本科教育实践基础和长久的历史发展历程。现今已成为一个拥有优秀师资团队、坚实专业基础、较强科研实力和较大发展潜力的一级学科，系学校部省合建“燕赵文化学科群”配合学科、河北大学重点建设的国内一流学科。2000年法学院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2019年，又获批设立法学一级学科博士后科研流动站。上述学科发展</w:t>
      </w:r>
      <w:r>
        <w:rPr>
          <w:rFonts w:ascii="宋体" w:hAnsi="宋体" w:eastAsia="宋体" w:cs="宋体"/>
          <w:sz w:val="24"/>
          <w:szCs w:val="24"/>
          <w:lang w:val="en-US"/>
        </w:rPr>
        <w:t>不仅优化了河北大学的学科布局，还填补了河北省法学</w:t>
      </w:r>
      <w:r>
        <w:rPr>
          <w:rFonts w:hint="eastAsia" w:ascii="宋体" w:hAnsi="宋体" w:eastAsia="宋体" w:cs="宋体"/>
          <w:sz w:val="24"/>
          <w:szCs w:val="24"/>
          <w:lang w:val="en-US"/>
        </w:rPr>
        <w:t>博士学位授权点的</w:t>
      </w:r>
      <w:r>
        <w:rPr>
          <w:rFonts w:ascii="宋体" w:hAnsi="宋体" w:eastAsia="宋体" w:cs="宋体"/>
          <w:sz w:val="24"/>
          <w:szCs w:val="24"/>
          <w:lang w:val="en-US"/>
        </w:rPr>
        <w:t>空白。近年来，河北大学法学学科积极服务京津冀协同发展、雄安新区建设、冬奥会等重大国家战略以及区域经济社会发展和法治河北建设。学科聚焦京津冀区域生态环境治理、区域刑事法治与环境犯罪治理、冬奥会法治保障、公益诉讼等关键问题开展研究，逐步形成了稳定的研究方向和鲜明的研究特色，并产出了一批高质量的研究成果，为相关领域的发展提供了有力的智力支持。</w:t>
      </w:r>
    </w:p>
    <w:p w14:paraId="60E92AEC">
      <w:pPr>
        <w:pStyle w:val="6"/>
        <w:spacing w:line="360" w:lineRule="auto"/>
        <w:ind w:firstLine="480" w:firstLineChars="200"/>
        <w:rPr>
          <w:rFonts w:hint="eastAsia" w:ascii="宋体" w:hAnsi="宋体" w:eastAsia="宋体" w:cs="宋体"/>
          <w:iCs/>
          <w:sz w:val="24"/>
          <w:szCs w:val="24"/>
          <w:lang w:val="en-US" w:bidi="ar-SA"/>
        </w:rPr>
      </w:pPr>
      <w:r>
        <w:rPr>
          <w:rFonts w:hint="eastAsia" w:ascii="宋体" w:hAnsi="宋体" w:eastAsia="宋体" w:cs="宋体"/>
          <w:iCs/>
          <w:sz w:val="24"/>
          <w:szCs w:val="24"/>
          <w:lang w:val="en-US" w:bidi="ar-SA"/>
        </w:rPr>
        <w:t>民商法学专业是法学一级学科下设的重要二级学科，</w:t>
      </w:r>
      <w:r>
        <w:rPr>
          <w:rFonts w:hint="eastAsia" w:ascii="宋体" w:hAnsi="宋体" w:eastAsia="宋体" w:cs="宋体"/>
          <w:iCs/>
          <w:sz w:val="24"/>
          <w:szCs w:val="24"/>
          <w:lang w:val="en-US" w:eastAsia="zh-CN" w:bidi="ar-SA"/>
        </w:rPr>
        <w:t>该专业</w:t>
      </w:r>
      <w:r>
        <w:rPr>
          <w:rFonts w:hint="eastAsia" w:ascii="宋体" w:hAnsi="宋体" w:eastAsia="宋体" w:cs="宋体"/>
          <w:iCs/>
          <w:sz w:val="24"/>
          <w:szCs w:val="24"/>
          <w:lang w:val="en-US" w:bidi="ar-SA"/>
        </w:rPr>
        <w:t>致力于传统民法、商法和知识产权法基本理论、立法、制度规则解释、历史比较、中外比较、法律思想、价值理念等领域的研究，下设民法学、商法学和知识产权法学三个研究方向，强调民商法理论与实务结合，始终紧跟民商法理论发展前沿，关注民商事立法和司法实务中的疑难问题，为拓展民商事理论研究、完备民商事法律规范体系、推动民商事法治实践提供智力支撑。</w:t>
      </w:r>
    </w:p>
    <w:p w14:paraId="460E019A">
      <w:pPr>
        <w:spacing w:line="360" w:lineRule="auto"/>
        <w:ind w:firstLine="560" w:firstLineChars="200"/>
        <w:rPr>
          <w:rFonts w:eastAsia="黑体"/>
          <w:b w:val="0"/>
          <w:bCs/>
          <w:color w:val="000000" w:themeColor="text1"/>
          <w:sz w:val="28"/>
          <w:szCs w:val="28"/>
          <w14:textFill>
            <w14:solidFill>
              <w14:schemeClr w14:val="tx1"/>
            </w14:solidFill>
          </w14:textFill>
        </w:rPr>
      </w:pPr>
      <w:r>
        <w:rPr>
          <w:rFonts w:eastAsia="黑体"/>
          <w:b w:val="0"/>
          <w:bCs/>
          <w:color w:val="000000" w:themeColor="text1"/>
          <w:sz w:val="28"/>
          <w:szCs w:val="28"/>
          <w14:textFill>
            <w14:solidFill>
              <w14:schemeClr w14:val="tx1"/>
            </w14:solidFill>
          </w14:textFill>
        </w:rPr>
        <w:t>三、研究方向</w:t>
      </w:r>
    </w:p>
    <w:p w14:paraId="2FFE82FA">
      <w:pPr>
        <w:spacing w:line="360" w:lineRule="auto"/>
        <w:ind w:firstLine="480" w:firstLineChars="200"/>
        <w:rPr>
          <w:rFonts w:hint="eastAsia" w:ascii="宋体" w:hAnsi="宋体" w:cs="宋体"/>
          <w:bCs/>
          <w:sz w:val="24"/>
        </w:rPr>
      </w:pPr>
      <w:bookmarkStart w:id="0" w:name="OLE_LINK3"/>
      <w:r>
        <w:rPr>
          <w:rFonts w:hint="eastAsia" w:ascii="宋体" w:hAnsi="宋体" w:cs="宋体"/>
          <w:bCs/>
          <w:sz w:val="24"/>
        </w:rPr>
        <w:t>民商法学专业设置三个研究方向：</w:t>
      </w:r>
    </w:p>
    <w:p w14:paraId="7CFB0255">
      <w:pPr>
        <w:spacing w:line="360" w:lineRule="auto"/>
        <w:ind w:firstLine="480" w:firstLineChars="200"/>
        <w:rPr>
          <w:rFonts w:hint="eastAsia" w:ascii="宋体" w:hAnsi="宋体" w:cs="宋体"/>
          <w:bCs/>
          <w:sz w:val="24"/>
          <w:lang w:val="en-US" w:eastAsia="zh-CN"/>
        </w:rPr>
      </w:pPr>
      <w:r>
        <w:rPr>
          <w:rFonts w:hint="eastAsia" w:ascii="宋体" w:hAnsi="宋体" w:cs="宋体"/>
          <w:bCs/>
          <w:sz w:val="24"/>
        </w:rPr>
        <w:t>（一）民法学</w:t>
      </w:r>
      <w:r>
        <w:rPr>
          <w:rFonts w:hint="eastAsia" w:ascii="宋体" w:hAnsi="宋体" w:cs="宋体"/>
          <w:bCs/>
          <w:sz w:val="24"/>
          <w:lang w:eastAsia="zh-CN"/>
        </w:rPr>
        <w:t>。</w:t>
      </w:r>
      <w:r>
        <w:rPr>
          <w:rFonts w:hint="eastAsia" w:ascii="宋体" w:hAnsi="宋体" w:cs="宋体"/>
          <w:bCs/>
          <w:sz w:val="24"/>
          <w:lang w:val="en-US" w:eastAsia="zh-CN"/>
        </w:rPr>
        <w:t>民法学方向深耕民法基础理论，包含民法总论、物权法、债与合同法、人格权法、婚姻家庭法、继承法、侵权责任法等法律领域，侧重从多角度对民法的基本理论和各种具体制度进行考察剖析，深入探究民法典实施与司法解释制定和实施中的疑难问题，为构建具有中国特色的民法理论体系与裁判规则提供有力的学理支撑。</w:t>
      </w:r>
    </w:p>
    <w:p w14:paraId="7F4C0F66">
      <w:pPr>
        <w:spacing w:line="360" w:lineRule="auto"/>
        <w:ind w:firstLine="480" w:firstLineChars="200"/>
        <w:rPr>
          <w:rFonts w:hint="eastAsia" w:ascii="宋体" w:hAnsi="宋体" w:cs="宋体"/>
          <w:bCs/>
          <w:sz w:val="24"/>
        </w:rPr>
      </w:pPr>
      <w:r>
        <w:rPr>
          <w:rFonts w:hint="eastAsia" w:ascii="宋体" w:hAnsi="宋体" w:cs="宋体"/>
          <w:bCs/>
          <w:sz w:val="24"/>
        </w:rPr>
        <w:t>（二）商法学</w:t>
      </w:r>
      <w:r>
        <w:rPr>
          <w:rFonts w:hint="eastAsia" w:ascii="宋体" w:hAnsi="宋体" w:cs="宋体"/>
          <w:bCs/>
          <w:sz w:val="24"/>
          <w:lang w:eastAsia="zh-CN"/>
        </w:rPr>
        <w:t>。</w:t>
      </w:r>
      <w:r>
        <w:rPr>
          <w:rFonts w:hint="eastAsia" w:ascii="宋体" w:hAnsi="宋体" w:cs="宋体"/>
          <w:bCs/>
          <w:sz w:val="24"/>
        </w:rPr>
        <w:t>商法学方向聚焦商法基础理论与具体商事部门法律制度，涵盖公司法、证券法、票据法、保险法、破产法等商主体与商行为法的核心领域。秉持理论与实践紧密结合的理念，紧跟市场经济发展的时代脉搏，致力于培育既精通商法理论又熟悉商事实践的复合型人才，为市场经济的稳健运行提供坚实的法治保障。</w:t>
      </w:r>
      <w:r>
        <w:rPr>
          <w:rFonts w:ascii="宋体" w:hAnsi="宋体" w:cs="宋体"/>
          <w:bCs/>
          <w:sz w:val="24"/>
        </w:rPr>
        <w:t xml:space="preserve"> </w:t>
      </w:r>
    </w:p>
    <w:p w14:paraId="08B6D289">
      <w:pPr>
        <w:spacing w:line="360" w:lineRule="auto"/>
        <w:ind w:firstLine="480" w:firstLineChars="200"/>
        <w:rPr>
          <w:rFonts w:ascii="宋体" w:hAnsi="宋体" w:cs="宋体"/>
          <w:bCs/>
          <w:sz w:val="24"/>
        </w:rPr>
      </w:pPr>
      <w:r>
        <w:rPr>
          <w:rFonts w:hint="eastAsia" w:ascii="宋体" w:hAnsi="宋体" w:cs="宋体"/>
          <w:bCs/>
          <w:sz w:val="24"/>
        </w:rPr>
        <w:t>（三）知识产权法学</w:t>
      </w:r>
      <w:r>
        <w:rPr>
          <w:rFonts w:hint="eastAsia" w:ascii="宋体" w:hAnsi="宋体" w:cs="宋体"/>
          <w:bCs/>
          <w:sz w:val="24"/>
          <w:lang w:eastAsia="zh-CN"/>
        </w:rPr>
        <w:t>。</w:t>
      </w:r>
      <w:bookmarkEnd w:id="0"/>
      <w:r>
        <w:rPr>
          <w:rFonts w:hint="eastAsia" w:ascii="宋体" w:hAnsi="宋体" w:cs="宋体"/>
          <w:bCs/>
          <w:sz w:val="24"/>
        </w:rPr>
        <w:t>知识产权法学方向专注于知识产权法基础理论研究，全面覆盖著作权、专利权、商标权以及其他知识产权法律制度。其中，对著作权法的理论与实践问题展开深入且细致的钻研，时刻关注知识产权法理论前沿动态以及实务领域的最新发展</w:t>
      </w:r>
      <w:r>
        <w:rPr>
          <w:rFonts w:hint="eastAsia" w:ascii="宋体" w:hAnsi="宋体" w:cs="宋体"/>
          <w:bCs/>
          <w:sz w:val="24"/>
          <w:lang w:eastAsia="zh-CN"/>
        </w:rPr>
        <w:t>，</w:t>
      </w:r>
      <w:r>
        <w:rPr>
          <w:rFonts w:hint="eastAsia" w:ascii="宋体" w:hAnsi="宋体" w:cs="宋体"/>
          <w:bCs/>
          <w:sz w:val="24"/>
        </w:rPr>
        <w:t>紧密围绕我国建设创新型国家的战略需求，为知识产权保护提供全方位的智力支持。</w:t>
      </w:r>
    </w:p>
    <w:p w14:paraId="4427485E">
      <w:pPr>
        <w:spacing w:line="360" w:lineRule="auto"/>
        <w:ind w:firstLine="560" w:firstLineChars="200"/>
        <w:rPr>
          <w:rFonts w:eastAsia="黑体"/>
          <w:b w:val="0"/>
          <w:bCs/>
          <w:sz w:val="28"/>
          <w:szCs w:val="28"/>
        </w:rPr>
      </w:pPr>
      <w:r>
        <w:rPr>
          <w:rFonts w:eastAsia="黑体"/>
          <w:b w:val="0"/>
          <w:bCs/>
          <w:sz w:val="28"/>
          <w:szCs w:val="28"/>
        </w:rPr>
        <w:t>四、学制及学习年限</w:t>
      </w:r>
    </w:p>
    <w:p w14:paraId="51C9747A">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D9994BD">
      <w:pPr>
        <w:spacing w:line="360" w:lineRule="auto"/>
        <w:ind w:firstLine="560" w:firstLineChars="200"/>
        <w:rPr>
          <w:rFonts w:eastAsia="黑体"/>
          <w:b w:val="0"/>
          <w:bCs/>
          <w:sz w:val="28"/>
          <w:szCs w:val="28"/>
        </w:rPr>
      </w:pPr>
      <w:r>
        <w:rPr>
          <w:rFonts w:eastAsia="黑体"/>
          <w:b w:val="0"/>
          <w:bCs/>
          <w:sz w:val="28"/>
          <w:szCs w:val="28"/>
        </w:rPr>
        <w:t>五、培养目标</w:t>
      </w:r>
    </w:p>
    <w:p w14:paraId="6B2C9883">
      <w:pPr>
        <w:spacing w:line="360" w:lineRule="auto"/>
        <w:ind w:firstLine="480"/>
        <w:rPr>
          <w:rFonts w:hint="eastAsia" w:ascii="宋体" w:hAnsi="宋体" w:cs="宋体"/>
          <w:iCs/>
          <w:sz w:val="24"/>
        </w:rPr>
      </w:pPr>
      <w:r>
        <w:rPr>
          <w:rFonts w:hint="eastAsia" w:ascii="宋体" w:hAnsi="宋体" w:cs="宋体"/>
          <w:iCs/>
          <w:sz w:val="24"/>
        </w:rPr>
        <w:t xml:space="preserve">1. </w:t>
      </w:r>
      <w:r>
        <w:rPr>
          <w:rFonts w:hint="eastAsia" w:ascii="宋体" w:hAnsi="宋体"/>
          <w:sz w:val="24"/>
        </w:rPr>
        <w:t>掌握中国特色社会主义理论体系和习近平法治思想,树立正确的中国特色社会主义核心价值观，</w:t>
      </w:r>
      <w:r>
        <w:rPr>
          <w:rFonts w:hint="eastAsia" w:ascii="宋体" w:hAnsi="宋体" w:cs="宋体"/>
          <w:iCs/>
          <w:sz w:val="24"/>
        </w:rPr>
        <w:t>具有坚定的理想信念，高尚的道德情操，优良的学术作风，高度的社会责任感。</w:t>
      </w:r>
    </w:p>
    <w:p w14:paraId="36C1B003">
      <w:pPr>
        <w:spacing w:line="360" w:lineRule="auto"/>
        <w:ind w:firstLine="480"/>
        <w:rPr>
          <w:rFonts w:hint="eastAsia" w:ascii="宋体" w:hAnsi="宋体" w:cs="宋体"/>
          <w:iCs/>
          <w:sz w:val="24"/>
        </w:rPr>
      </w:pPr>
      <w:r>
        <w:rPr>
          <w:rFonts w:hint="eastAsia" w:ascii="宋体" w:hAnsi="宋体" w:cs="宋体"/>
          <w:iCs/>
          <w:sz w:val="24"/>
        </w:rPr>
        <w:t>2. 具有扎实理论功底，能够综合分析并解决问题，可胜任立法机关、司法机关、政府行政部门、法律服务机构、企业、学校等单位法律业务，服务于法治中国和法治河北建设特别是京津冀协同发展、雄安新区建设的复合型高素质法治人才。</w:t>
      </w:r>
    </w:p>
    <w:p w14:paraId="0D30E9CD">
      <w:pPr>
        <w:spacing w:line="360" w:lineRule="auto"/>
        <w:ind w:firstLine="480"/>
        <w:rPr>
          <w:rFonts w:hint="eastAsia" w:ascii="宋体" w:hAnsi="宋体" w:cs="宋体"/>
          <w:iCs/>
          <w:sz w:val="24"/>
        </w:rPr>
      </w:pPr>
      <w:r>
        <w:rPr>
          <w:rFonts w:hint="eastAsia" w:ascii="宋体" w:hAnsi="宋体" w:cs="宋体"/>
          <w:iCs/>
          <w:sz w:val="24"/>
        </w:rPr>
        <w:t>3. 关注本专业的学术发展动态，了解本专业的前沿、热点课题，能够综合运用所学专业知识进行相关课题的研究，撰写并发表学术论文。</w:t>
      </w:r>
    </w:p>
    <w:p w14:paraId="18AF0529">
      <w:pPr>
        <w:spacing w:line="360" w:lineRule="auto"/>
        <w:ind w:firstLine="480"/>
        <w:rPr>
          <w:rFonts w:hint="eastAsia" w:ascii="宋体" w:hAnsi="宋体" w:cs="宋体"/>
          <w:iCs/>
          <w:sz w:val="24"/>
        </w:rPr>
      </w:pPr>
      <w:r>
        <w:rPr>
          <w:rFonts w:hint="eastAsia" w:ascii="宋体" w:hAnsi="宋体" w:cs="宋体"/>
          <w:iCs/>
          <w:sz w:val="24"/>
        </w:rPr>
        <w:t>4. 至少掌握一门外国语，能熟练阅读本专业的外文资料，进行国际学术交流的能力。</w:t>
      </w:r>
    </w:p>
    <w:p w14:paraId="6650907B">
      <w:pPr>
        <w:spacing w:line="360" w:lineRule="auto"/>
        <w:ind w:firstLine="480"/>
        <w:rPr>
          <w:rFonts w:hint="eastAsia" w:ascii="宋体" w:hAnsi="宋体" w:cs="宋体"/>
          <w:iCs/>
          <w:sz w:val="24"/>
        </w:rPr>
      </w:pPr>
      <w:r>
        <w:rPr>
          <w:rFonts w:hint="eastAsia" w:ascii="宋体" w:hAnsi="宋体" w:cs="宋体"/>
          <w:iCs/>
          <w:sz w:val="24"/>
        </w:rPr>
        <w:t>5. 具有良好的团队意识和团队合作精神。</w:t>
      </w:r>
    </w:p>
    <w:p w14:paraId="19EC6D48">
      <w:pPr>
        <w:spacing w:line="360" w:lineRule="auto"/>
        <w:ind w:firstLine="480"/>
        <w:rPr>
          <w:rFonts w:hint="eastAsia" w:ascii="宋体" w:hAnsi="宋体" w:cs="宋体"/>
          <w:iCs/>
          <w:sz w:val="24"/>
        </w:rPr>
      </w:pPr>
      <w:r>
        <w:rPr>
          <w:rFonts w:hint="eastAsia" w:ascii="宋体" w:hAnsi="宋体" w:cs="宋体"/>
          <w:iCs/>
          <w:sz w:val="24"/>
        </w:rPr>
        <w:t>6. 具有健康的身体和良好的心理素质。</w:t>
      </w:r>
    </w:p>
    <w:p w14:paraId="64BED88B">
      <w:pPr>
        <w:spacing w:line="360" w:lineRule="auto"/>
        <w:ind w:firstLine="480"/>
        <w:rPr>
          <w:rFonts w:hint="eastAsia" w:ascii="宋体" w:hAnsi="宋体" w:cs="宋体"/>
          <w:b/>
          <w:bCs/>
          <w:iCs/>
          <w:sz w:val="24"/>
        </w:rPr>
      </w:pPr>
      <w:r>
        <w:rPr>
          <w:rFonts w:hint="eastAsia" w:ascii="宋体" w:hAnsi="宋体" w:cs="宋体"/>
          <w:iCs/>
          <w:sz w:val="24"/>
        </w:rPr>
        <w:t>7. 成为德智体美劳全面发展的社会主义事业接班人。</w:t>
      </w:r>
    </w:p>
    <w:p w14:paraId="04DDC7EA">
      <w:pPr>
        <w:spacing w:line="360" w:lineRule="auto"/>
        <w:ind w:firstLine="560" w:firstLineChars="200"/>
        <w:rPr>
          <w:rFonts w:eastAsia="黑体"/>
          <w:bCs/>
          <w:sz w:val="28"/>
          <w:szCs w:val="28"/>
        </w:rPr>
      </w:pPr>
      <w:r>
        <w:rPr>
          <w:rFonts w:eastAsia="黑体"/>
          <w:bCs/>
          <w:sz w:val="28"/>
          <w:szCs w:val="28"/>
        </w:rPr>
        <w:t>六、培养方式</w:t>
      </w:r>
    </w:p>
    <w:p w14:paraId="13E716C5">
      <w:pPr>
        <w:spacing w:line="360" w:lineRule="auto"/>
        <w:ind w:firstLine="480"/>
        <w:rPr>
          <w:rFonts w:hint="eastAsia" w:ascii="宋体" w:hAnsi="宋体" w:cs="宋体"/>
          <w:iCs/>
          <w:sz w:val="24"/>
        </w:rPr>
      </w:pPr>
      <w:r>
        <w:rPr>
          <w:rFonts w:hint="eastAsia" w:ascii="宋体" w:hAnsi="宋体" w:cs="宋体"/>
          <w:iCs/>
          <w:sz w:val="24"/>
          <w:lang w:val="en-US" w:eastAsia="zh-CN"/>
        </w:rPr>
        <w:t>1.</w:t>
      </w:r>
      <w:r>
        <w:rPr>
          <w:rFonts w:hint="eastAsia" w:ascii="宋体" w:hAnsi="宋体" w:cs="宋体"/>
          <w:iCs/>
          <w:sz w:val="24"/>
        </w:rPr>
        <w:t>硕士研究生培养实行导师具体负责与集体培养相结合，充分发挥学科综合优势和学术群体作用。其中，硕士生导师负责对硕士研究生的思想政治教育、学术训练和学位论文撰写等方面的具体指导工作，导师组对硕士研究生的人才培养方案制定和实施、学位论文质量监控等负有组织和监督职责。</w:t>
      </w:r>
    </w:p>
    <w:p w14:paraId="61F93D5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2.硕士</w:t>
      </w:r>
      <w:r>
        <w:rPr>
          <w:rFonts w:hint="eastAsia" w:ascii="宋体" w:hAnsi="宋体" w:cs="宋体"/>
          <w:iCs/>
          <w:sz w:val="24"/>
          <w:lang w:eastAsia="zh-CN"/>
        </w:rPr>
        <w:t>研究生采用以学生为中心、以问题为导向、以任务为驱动的研究型教学方式，充分发挥硕士研究生在课程学习中的主动性和自觉性。</w:t>
      </w:r>
    </w:p>
    <w:p w14:paraId="2247CAD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rPr>
      </w:pPr>
      <w:r>
        <w:rPr>
          <w:rFonts w:hint="eastAsia" w:ascii="宋体" w:hAnsi="宋体" w:cs="宋体"/>
          <w:iCs/>
          <w:sz w:val="24"/>
          <w:lang w:val="en-US" w:eastAsia="zh-CN"/>
        </w:rPr>
        <w:t>3.</w:t>
      </w:r>
      <w:r>
        <w:rPr>
          <w:rFonts w:hint="eastAsia" w:ascii="宋体" w:hAnsi="宋体" w:cs="宋体"/>
          <w:iCs/>
          <w:sz w:val="24"/>
          <w:lang w:eastAsia="zh-CN"/>
        </w:rPr>
        <w:t>硕士研究生在学期间应加强学术训练。学院鼓励硕士研究生进行高水平的科学研究，发表高水平的科研成果，并为硕士研究生参加境内外的学术交流活动提供支持。</w:t>
      </w:r>
    </w:p>
    <w:p w14:paraId="21FB7F0E">
      <w:pPr>
        <w:spacing w:line="360" w:lineRule="auto"/>
        <w:ind w:firstLine="560" w:firstLineChars="200"/>
        <w:rPr>
          <w:rFonts w:eastAsia="黑体"/>
          <w:bCs/>
          <w:sz w:val="28"/>
          <w:szCs w:val="28"/>
        </w:rPr>
      </w:pPr>
      <w:r>
        <w:rPr>
          <w:rFonts w:eastAsia="黑体"/>
          <w:bCs/>
          <w:sz w:val="28"/>
          <w:szCs w:val="28"/>
        </w:rPr>
        <w:t>七、中期筛选</w:t>
      </w:r>
    </w:p>
    <w:p w14:paraId="7B386061">
      <w:pPr>
        <w:spacing w:line="360" w:lineRule="auto"/>
        <w:ind w:firstLine="480" w:firstLineChars="200"/>
        <w:rPr>
          <w:rFonts w:eastAsiaTheme="minorEastAsia"/>
          <w:bCs/>
          <w:sz w:val="24"/>
        </w:rPr>
      </w:pPr>
      <w:bookmarkStart w:id="1" w:name="_Toc59002625"/>
      <w:r>
        <w:rPr>
          <w:rFonts w:eastAsiaTheme="minorEastAsia"/>
          <w:bCs/>
          <w:sz w:val="24"/>
        </w:rPr>
        <w:t>在完成培养方案规定的课程学习、考核成绩合格、获得规定的学分后，</w:t>
      </w:r>
      <w:bookmarkEnd w:id="1"/>
      <w:r>
        <w:rPr>
          <w:rFonts w:eastAsiaTheme="minorEastAsia"/>
          <w:bCs/>
          <w:sz w:val="24"/>
        </w:rPr>
        <w:t>按照《河北大学研究生中期筛选管理办法》（校政字〔2021〕15号）的相关规定，组织开展中期筛选工作。</w:t>
      </w:r>
    </w:p>
    <w:p w14:paraId="1F3FA111">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404958D">
      <w:pPr>
        <w:widowControl/>
        <w:spacing w:line="360" w:lineRule="auto"/>
        <w:ind w:firstLine="480"/>
        <w:jc w:val="left"/>
        <w:rPr>
          <w:rFonts w:hint="eastAsia" w:ascii="宋体" w:hAnsi="宋体" w:cs="宋体"/>
          <w:iCs/>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iCs/>
          <w:sz w:val="24"/>
        </w:rPr>
        <w:t>法学硕士研究生必须在导师指导下独立完成学位（毕业）论文，应严格遵守学术规范与学术标准，论文字数应不低于3万字。学位论文选题限于本专业范围以内，在三个研究方向内选定题目，学位（毕业）论文应表明作者较好地掌握了本学科的基础理论、专门知识和基本技能，选题的内容要紧密结合国内外法学理论发展和研究的实际状况，研究和解决实践和理论方面的重要问题或突出问题。鼓励硕士研究生参与科学研究，取得创新性成果。</w:t>
      </w:r>
    </w:p>
    <w:p w14:paraId="61AC3ED1">
      <w:pPr>
        <w:widowControl/>
        <w:spacing w:line="360" w:lineRule="auto"/>
        <w:ind w:firstLine="480"/>
        <w:jc w:val="left"/>
        <w:rPr>
          <w:rFonts w:hint="eastAsia" w:ascii="宋体" w:hAnsi="宋体" w:cs="宋体"/>
          <w:iCs/>
          <w:sz w:val="24"/>
        </w:rPr>
      </w:pPr>
      <w:r>
        <w:rPr>
          <w:bCs/>
          <w:color w:val="222222"/>
          <w:kern w:val="0"/>
          <w:sz w:val="24"/>
        </w:rPr>
        <w:t>2.开题：</w:t>
      </w:r>
      <w:r>
        <w:rPr>
          <w:rFonts w:hint="eastAsia" w:ascii="宋体" w:hAnsi="宋体" w:cs="宋体"/>
          <w:iCs/>
          <w:sz w:val="24"/>
        </w:rPr>
        <w:t>开题是研究生培养过程中开展学位（毕业）论文工作的首要环节，法学硕士研究生应充分阅读国内外相关文献，撰写开题报告。开题报告应包含文献综述、论文选题依据、研究方案、预期目标与成果、工作计划等关键问题。</w:t>
      </w:r>
    </w:p>
    <w:p w14:paraId="2124BA7D">
      <w:pPr>
        <w:widowControl/>
        <w:spacing w:line="360" w:lineRule="auto"/>
        <w:ind w:firstLine="480"/>
        <w:jc w:val="left"/>
        <w:rPr>
          <w:rFonts w:hint="eastAsia" w:ascii="宋体" w:hAnsi="宋体" w:cs="宋体"/>
          <w:iCs/>
          <w:sz w:val="24"/>
        </w:rPr>
      </w:pPr>
      <w:r>
        <w:rPr>
          <w:rFonts w:hint="eastAsia" w:ascii="宋体" w:hAnsi="宋体" w:cs="宋体"/>
          <w:iCs/>
          <w:sz w:val="24"/>
        </w:rPr>
        <w:t>法学硕士学位（毕业）论文的选题应密切结合学科发展、经济社会发展的需要，原则上在入学后第3学期（最迟不超过第4学期）完成开题。开题由3-5名具有副教授以上高级职称的教师参加，以学术报告的方式进行。</w:t>
      </w:r>
    </w:p>
    <w:p w14:paraId="55E85BD6">
      <w:pPr>
        <w:widowControl/>
        <w:spacing w:line="360" w:lineRule="auto"/>
        <w:ind w:firstLine="480"/>
        <w:jc w:val="left"/>
        <w:rPr>
          <w:rFonts w:hint="eastAsia" w:ascii="宋体" w:hAnsi="宋体" w:cs="宋体"/>
          <w:iCs/>
          <w:sz w:val="24"/>
        </w:rPr>
      </w:pPr>
      <w:r>
        <w:rPr>
          <w:bCs/>
          <w:color w:val="222222"/>
          <w:kern w:val="0"/>
          <w:sz w:val="24"/>
        </w:rPr>
        <w:t>3.中期进展报告：</w:t>
      </w:r>
      <w:r>
        <w:rPr>
          <w:rFonts w:hint="eastAsia" w:ascii="宋体" w:hAnsi="宋体" w:cs="宋体"/>
          <w:iCs/>
          <w:sz w:val="24"/>
        </w:rPr>
        <w:t>中期进展报告是检查法学硕士研究生个人综合能力及学位论文进展、指导研究生把握学位（毕业）论文方向、提高学位（毕业）论文质量的必要环节。中期进展报告原则上应在入学后第5学期进行；各导师组自行制定中期考核办法并组织考核。</w:t>
      </w:r>
    </w:p>
    <w:p w14:paraId="7882BD6B">
      <w:pPr>
        <w:widowControl/>
        <w:spacing w:line="360" w:lineRule="auto"/>
        <w:ind w:firstLine="480"/>
        <w:jc w:val="left"/>
        <w:rPr>
          <w:rFonts w:hint="eastAsia" w:ascii="宋体" w:hAnsi="宋体" w:cs="宋体"/>
          <w:iCs/>
          <w:sz w:val="24"/>
        </w:rPr>
      </w:pPr>
      <w:r>
        <w:rPr>
          <w:bCs/>
          <w:color w:val="222222"/>
          <w:kern w:val="0"/>
          <w:sz w:val="24"/>
        </w:rPr>
        <w:t>4.学位申请：</w:t>
      </w:r>
      <w:r>
        <w:rPr>
          <w:rFonts w:hint="eastAsia" w:ascii="宋体" w:hAnsi="宋体" w:cs="宋体"/>
          <w:iCs/>
          <w:sz w:val="24"/>
        </w:rPr>
        <w:t>达到学位授予条件的申请人，经导师同意后，应于答辩前三个月，向法学院学位评定分委员会提出学位申请，提交学位申请材料。</w:t>
      </w:r>
    </w:p>
    <w:p w14:paraId="747CA5A7">
      <w:pPr>
        <w:widowControl/>
        <w:spacing w:line="360" w:lineRule="auto"/>
        <w:ind w:firstLine="480"/>
        <w:jc w:val="left"/>
        <w:rPr>
          <w:rFonts w:hint="eastAsia" w:ascii="宋体" w:hAnsi="宋体" w:cs="宋体"/>
          <w:iCs/>
          <w:sz w:val="24"/>
        </w:rPr>
      </w:pPr>
      <w:r>
        <w:rPr>
          <w:bCs/>
          <w:color w:val="222222"/>
          <w:kern w:val="0"/>
          <w:sz w:val="24"/>
        </w:rPr>
        <w:t>5.预答辩：</w:t>
      </w:r>
      <w:r>
        <w:rPr>
          <w:rFonts w:hint="eastAsia" w:ascii="宋体" w:hAnsi="宋体" w:cs="宋体"/>
          <w:iCs/>
          <w:sz w:val="24"/>
        </w:rPr>
        <w:t>学位申请人须进行学位论文预答辩，由各导师组对论文初稿进行全面、细致、充分的预审。预答辩通过者，方可进入学位论文评阅、学位论文答辩等环节。学位（毕业）论文预答辩应在正式答辩前3个月进行。</w:t>
      </w:r>
    </w:p>
    <w:p w14:paraId="778B199B">
      <w:pPr>
        <w:widowControl/>
        <w:spacing w:line="360" w:lineRule="auto"/>
        <w:ind w:firstLine="480"/>
        <w:jc w:val="left"/>
        <w:rPr>
          <w:color w:val="222222"/>
          <w:kern w:val="0"/>
          <w:sz w:val="24"/>
        </w:rPr>
      </w:pPr>
      <w:r>
        <w:rPr>
          <w:bCs/>
          <w:color w:val="222222"/>
          <w:kern w:val="0"/>
          <w:sz w:val="24"/>
        </w:rPr>
        <w:t>6.论文评阅：</w:t>
      </w:r>
      <w:r>
        <w:rPr>
          <w:rFonts w:hint="eastAsia" w:ascii="宋体" w:hAnsi="宋体" w:cs="宋体"/>
          <w:iCs/>
          <w:sz w:val="24"/>
        </w:rPr>
        <w:t>学位（毕业）论文在获得导师组认可，经法学院形式审查合格，并通过预答辩，方可提出进入评阅程序的申请。论文评阅在正式答辩前40天由研究生提出，由法学院依据相关规定进行匿名评审。</w:t>
      </w:r>
      <w:r>
        <w:rPr>
          <w:color w:val="222222"/>
          <w:kern w:val="0"/>
          <w:sz w:val="24"/>
        </w:rPr>
        <w:t>评阅结果及异议处理按照《河北大学研究生学位论文或者实践成果评审管理办法》（校政字〔2025〕8号）执行。</w:t>
      </w:r>
    </w:p>
    <w:p w14:paraId="612BB869">
      <w:pPr>
        <w:widowControl/>
        <w:spacing w:line="360" w:lineRule="auto"/>
        <w:ind w:firstLine="48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02454311">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EDC99C8">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F2CAF1E">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bCs/>
          <w:sz w:val="24"/>
        </w:rPr>
        <w:t>2. 学术活动。研究生</w:t>
      </w:r>
      <w:r>
        <w:rPr>
          <w:rFonts w:eastAsiaTheme="minorEastAsia"/>
          <w:color w:val="000000" w:themeColor="text1"/>
          <w:sz w:val="24"/>
          <w14:textFill>
            <w14:solidFill>
              <w14:schemeClr w14:val="tx1"/>
            </w14:solidFill>
          </w14:textFill>
        </w:rPr>
        <w:t>在读期间参加不少于</w:t>
      </w:r>
      <w:r>
        <w:rPr>
          <w:rFonts w:eastAsiaTheme="minorEastAsia"/>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39B0FEE1">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E6B3FA5">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9808DA3">
      <w:pPr>
        <w:spacing w:line="360" w:lineRule="auto"/>
        <w:ind w:firstLine="560" w:firstLineChars="200"/>
        <w:rPr>
          <w:rFonts w:eastAsiaTheme="minorEastAsia"/>
          <w:i/>
          <w:color w:val="FF0000"/>
          <w:sz w:val="24"/>
        </w:rPr>
      </w:pPr>
      <w:r>
        <w:rPr>
          <w:rFonts w:hint="eastAsia" w:eastAsia="黑体"/>
          <w:bCs/>
          <w:sz w:val="28"/>
          <w:szCs w:val="28"/>
        </w:rPr>
        <w:t>十</w:t>
      </w:r>
      <w:r>
        <w:rPr>
          <w:rFonts w:eastAsia="黑体"/>
          <w:bCs/>
          <w:sz w:val="28"/>
          <w:szCs w:val="28"/>
        </w:rPr>
        <w:t>、创新性成果</w:t>
      </w:r>
    </w:p>
    <w:p w14:paraId="67B99825">
      <w:pPr>
        <w:spacing w:line="360" w:lineRule="auto"/>
        <w:ind w:firstLine="480" w:firstLineChars="200"/>
        <w:rPr>
          <w:rFonts w:eastAsiaTheme="minorEastAsia"/>
          <w:bCs/>
          <w:sz w:val="24"/>
        </w:rPr>
      </w:pPr>
      <w:r>
        <w:rPr>
          <w:rFonts w:hint="eastAsia" w:eastAsiaTheme="minorEastAsia"/>
          <w:bCs/>
          <w:sz w:val="24"/>
        </w:rPr>
        <w:t>1. 鼓励硕士研究生参与科学研究，取得创新性成果。取得的创新性成果可为学术论文、专著、智库报告、科研项目、科研奖励等多种形式。</w:t>
      </w:r>
    </w:p>
    <w:p w14:paraId="1FDB39FB">
      <w:pPr>
        <w:spacing w:line="360" w:lineRule="auto"/>
        <w:ind w:firstLine="480" w:firstLineChars="200"/>
        <w:rPr>
          <w:rFonts w:eastAsiaTheme="minorEastAsia"/>
          <w:bCs/>
          <w:sz w:val="24"/>
        </w:rPr>
      </w:pPr>
      <w:r>
        <w:rPr>
          <w:rFonts w:hint="eastAsia" w:eastAsiaTheme="minorEastAsia"/>
          <w:bCs/>
          <w:sz w:val="24"/>
        </w:rPr>
        <w:t>鼓励研究生在省级报刊杂志、中文核心期刊或CSSCI期刊扩展版及其以上报刊公开发表学术论文。</w:t>
      </w:r>
    </w:p>
    <w:p w14:paraId="4E996125">
      <w:pPr>
        <w:numPr>
          <w:ilvl w:val="0"/>
          <w:numId w:val="1"/>
        </w:numPr>
        <w:spacing w:line="360" w:lineRule="auto"/>
        <w:ind w:firstLine="480" w:firstLineChars="200"/>
        <w:rPr>
          <w:rFonts w:eastAsiaTheme="minorEastAsia"/>
          <w:bCs/>
          <w:sz w:val="24"/>
        </w:rPr>
      </w:pPr>
      <w:r>
        <w:rPr>
          <w:rFonts w:hint="eastAsia" w:eastAsiaTheme="minorEastAsia"/>
          <w:bCs/>
          <w:sz w:val="24"/>
        </w:rPr>
        <w:t>在CSSCI来源期刊公开发表1篇以上学术论文的，其学位论文可以按照学校规定不参加学院组织的学位论文双盲评审。</w:t>
      </w:r>
    </w:p>
    <w:p w14:paraId="62F14E66">
      <w:pPr>
        <w:spacing w:line="360" w:lineRule="auto"/>
        <w:ind w:firstLine="560" w:firstLineChars="200"/>
        <w:rPr>
          <w:rFonts w:eastAsia="黑体"/>
          <w:bCs/>
          <w:sz w:val="28"/>
          <w:szCs w:val="28"/>
        </w:rPr>
      </w:pPr>
      <w:r>
        <w:rPr>
          <w:rFonts w:eastAsia="黑体"/>
          <w:bCs/>
          <w:sz w:val="28"/>
          <w:szCs w:val="28"/>
        </w:rPr>
        <w:t>十一、学位授予</w:t>
      </w:r>
    </w:p>
    <w:p w14:paraId="428A8817">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rPr>
        <w:t>足本学院制定的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FC8A020">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F92A8F4">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28</w:t>
      </w:r>
      <w:r>
        <w:rPr>
          <w:rFonts w:eastAsiaTheme="minorEastAsia"/>
          <w:sz w:val="24"/>
        </w:rPr>
        <w:t>分，其中学位课</w:t>
      </w:r>
      <w:r>
        <w:rPr>
          <w:rFonts w:hint="eastAsia" w:eastAsiaTheme="minorEastAsia"/>
          <w:sz w:val="24"/>
        </w:rPr>
        <w:t>15</w:t>
      </w:r>
      <w:r>
        <w:rPr>
          <w:rFonts w:eastAsiaTheme="minorEastAsia"/>
          <w:sz w:val="24"/>
        </w:rPr>
        <w:t>学分，非学位课</w:t>
      </w:r>
      <w:r>
        <w:rPr>
          <w:rFonts w:hint="eastAsia" w:eastAsiaTheme="minorEastAsia"/>
          <w:sz w:val="24"/>
        </w:rPr>
        <w:t>12</w:t>
      </w:r>
      <w:r>
        <w:rPr>
          <w:rFonts w:eastAsiaTheme="minorEastAsia"/>
          <w:sz w:val="24"/>
        </w:rPr>
        <w:t>学分，必修环节</w:t>
      </w:r>
      <w:r>
        <w:rPr>
          <w:rFonts w:hint="eastAsia" w:eastAsiaTheme="minorEastAsia"/>
          <w:sz w:val="24"/>
        </w:rPr>
        <w:t>1学</w:t>
      </w:r>
      <w:r>
        <w:rPr>
          <w:rFonts w:eastAsiaTheme="minorEastAsia"/>
          <w:sz w:val="24"/>
        </w:rPr>
        <w:t>分。</w:t>
      </w:r>
    </w:p>
    <w:p w14:paraId="654B0B77">
      <w:pPr>
        <w:spacing w:line="360" w:lineRule="auto"/>
        <w:ind w:firstLine="480"/>
        <w:rPr>
          <w:color w:val="000000"/>
          <w:sz w:val="24"/>
        </w:rPr>
      </w:pPr>
      <w:r>
        <w:rPr>
          <w:rFonts w:eastAsiaTheme="minorEastAsia"/>
          <w:color w:val="000000"/>
          <w:sz w:val="24"/>
        </w:rPr>
        <w:t>课程考试不设补考环节，</w:t>
      </w:r>
      <w:r>
        <w:rPr>
          <w:color w:val="000000"/>
          <w:sz w:val="24"/>
        </w:rPr>
        <w:t>考试成绩低于60分的需重修。</w:t>
      </w:r>
    </w:p>
    <w:p w14:paraId="76C369D3">
      <w:pPr>
        <w:spacing w:line="360" w:lineRule="auto"/>
        <w:ind w:firstLine="480"/>
        <w:rPr>
          <w:color w:val="000000"/>
          <w:sz w:val="24"/>
        </w:rPr>
      </w:pPr>
      <w:r>
        <w:rPr>
          <w:rFonts w:hint="eastAsia"/>
          <w:color w:val="000000"/>
          <w:sz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262E1DB9">
      <w:pPr>
        <w:rPr>
          <w:rFonts w:hint="eastAsia" w:eastAsiaTheme="minorEastAsia"/>
          <w:b/>
          <w:bCs/>
          <w:sz w:val="24"/>
        </w:rPr>
      </w:pPr>
      <w:r>
        <w:rPr>
          <w:rFonts w:hint="eastAsia" w:eastAsiaTheme="minorEastAsia"/>
          <w:b/>
          <w:bCs/>
          <w:sz w:val="24"/>
        </w:rPr>
        <w:br w:type="page"/>
      </w:r>
    </w:p>
    <w:p w14:paraId="413F34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Theme="minorEastAsia"/>
          <w:b/>
          <w:bCs/>
          <w:sz w:val="24"/>
        </w:rPr>
      </w:pPr>
      <w:r>
        <w:rPr>
          <w:rFonts w:hint="eastAsia" w:eastAsiaTheme="minorEastAsia"/>
          <w:b/>
          <w:bCs/>
          <w:sz w:val="24"/>
        </w:rPr>
        <w:t>民商法学</w:t>
      </w:r>
      <w:r>
        <w:rPr>
          <w:rFonts w:eastAsiaTheme="minorEastAsia"/>
          <w:b/>
          <w:bCs/>
          <w:sz w:val="24"/>
        </w:rPr>
        <w:t>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5CE0E5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vAlign w:val="center"/>
          </w:tcPr>
          <w:p w14:paraId="0B67FE4D">
            <w:pPr>
              <w:jc w:val="center"/>
              <w:rPr>
                <w:b/>
                <w:color w:val="auto"/>
                <w:szCs w:val="21"/>
              </w:rPr>
            </w:pPr>
            <w:r>
              <w:rPr>
                <w:b/>
                <w:color w:val="auto"/>
                <w:szCs w:val="21"/>
              </w:rPr>
              <w:t>课程类别</w:t>
            </w:r>
          </w:p>
        </w:tc>
        <w:tc>
          <w:tcPr>
            <w:tcW w:w="3238" w:type="dxa"/>
            <w:vAlign w:val="center"/>
          </w:tcPr>
          <w:p w14:paraId="3774B61B">
            <w:pPr>
              <w:jc w:val="center"/>
              <w:rPr>
                <w:b/>
                <w:color w:val="auto"/>
                <w:szCs w:val="21"/>
              </w:rPr>
            </w:pPr>
            <w:r>
              <w:rPr>
                <w:b/>
                <w:color w:val="auto"/>
                <w:szCs w:val="21"/>
              </w:rPr>
              <w:t>课程说明</w:t>
            </w:r>
          </w:p>
        </w:tc>
        <w:tc>
          <w:tcPr>
            <w:tcW w:w="1081" w:type="dxa"/>
            <w:vAlign w:val="center"/>
          </w:tcPr>
          <w:p w14:paraId="028F78C9">
            <w:pPr>
              <w:jc w:val="center"/>
              <w:rPr>
                <w:b/>
                <w:color w:val="auto"/>
                <w:szCs w:val="21"/>
              </w:rPr>
            </w:pPr>
            <w:r>
              <w:rPr>
                <w:b/>
                <w:color w:val="auto"/>
                <w:szCs w:val="21"/>
              </w:rPr>
              <w:t>课程</w:t>
            </w:r>
            <w:r>
              <w:rPr>
                <w:rFonts w:hint="eastAsia"/>
                <w:b/>
                <w:color w:val="auto"/>
                <w:szCs w:val="21"/>
              </w:rPr>
              <w:t>编号</w:t>
            </w:r>
          </w:p>
        </w:tc>
        <w:tc>
          <w:tcPr>
            <w:tcW w:w="709" w:type="dxa"/>
            <w:vAlign w:val="center"/>
          </w:tcPr>
          <w:p w14:paraId="34C17CF8">
            <w:pPr>
              <w:jc w:val="center"/>
              <w:rPr>
                <w:b/>
                <w:color w:val="auto"/>
                <w:szCs w:val="21"/>
              </w:rPr>
            </w:pPr>
            <w:r>
              <w:rPr>
                <w:b/>
                <w:color w:val="auto"/>
                <w:szCs w:val="21"/>
              </w:rPr>
              <w:t>学分</w:t>
            </w:r>
          </w:p>
        </w:tc>
        <w:tc>
          <w:tcPr>
            <w:tcW w:w="709" w:type="dxa"/>
            <w:vAlign w:val="center"/>
          </w:tcPr>
          <w:p w14:paraId="249DC3AC">
            <w:pPr>
              <w:jc w:val="center"/>
              <w:rPr>
                <w:b/>
                <w:color w:val="auto"/>
                <w:szCs w:val="21"/>
              </w:rPr>
            </w:pPr>
            <w:r>
              <w:rPr>
                <w:b/>
                <w:color w:val="auto"/>
                <w:szCs w:val="21"/>
              </w:rPr>
              <w:t>学期</w:t>
            </w:r>
          </w:p>
        </w:tc>
        <w:tc>
          <w:tcPr>
            <w:tcW w:w="1045" w:type="dxa"/>
            <w:vAlign w:val="center"/>
          </w:tcPr>
          <w:p w14:paraId="509162FB">
            <w:pPr>
              <w:jc w:val="center"/>
              <w:rPr>
                <w:b/>
                <w:color w:val="auto"/>
                <w:szCs w:val="21"/>
              </w:rPr>
            </w:pPr>
            <w:r>
              <w:rPr>
                <w:rFonts w:hint="eastAsia"/>
                <w:b/>
                <w:color w:val="auto"/>
                <w:szCs w:val="21"/>
              </w:rPr>
              <w:t>备注</w:t>
            </w:r>
          </w:p>
        </w:tc>
      </w:tr>
      <w:tr w14:paraId="6DA517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282EF025">
            <w:pPr>
              <w:jc w:val="center"/>
              <w:rPr>
                <w:b/>
                <w:color w:val="auto"/>
                <w:sz w:val="18"/>
                <w:szCs w:val="18"/>
              </w:rPr>
            </w:pPr>
            <w:r>
              <w:rPr>
                <w:b/>
                <w:color w:val="auto"/>
                <w:sz w:val="18"/>
                <w:szCs w:val="18"/>
              </w:rPr>
              <w:t>学</w:t>
            </w:r>
          </w:p>
          <w:p w14:paraId="4DCFEBCA">
            <w:pPr>
              <w:jc w:val="center"/>
              <w:rPr>
                <w:b/>
                <w:color w:val="auto"/>
                <w:sz w:val="18"/>
                <w:szCs w:val="18"/>
              </w:rPr>
            </w:pPr>
            <w:r>
              <w:rPr>
                <w:b/>
                <w:color w:val="auto"/>
                <w:sz w:val="18"/>
                <w:szCs w:val="18"/>
              </w:rPr>
              <w:t>位</w:t>
            </w:r>
          </w:p>
          <w:p w14:paraId="639C1B6A">
            <w:pPr>
              <w:jc w:val="center"/>
              <w:rPr>
                <w:b/>
                <w:color w:val="auto"/>
                <w:sz w:val="18"/>
                <w:szCs w:val="18"/>
              </w:rPr>
            </w:pPr>
            <w:r>
              <w:rPr>
                <w:b/>
                <w:color w:val="auto"/>
                <w:sz w:val="18"/>
                <w:szCs w:val="18"/>
              </w:rPr>
              <w:t>课</w:t>
            </w:r>
          </w:p>
        </w:tc>
        <w:tc>
          <w:tcPr>
            <w:tcW w:w="1504" w:type="dxa"/>
            <w:vMerge w:val="restart"/>
            <w:vAlign w:val="center"/>
          </w:tcPr>
          <w:p w14:paraId="7B8A43AE">
            <w:pPr>
              <w:jc w:val="center"/>
              <w:rPr>
                <w:b/>
                <w:color w:val="auto"/>
                <w:sz w:val="18"/>
                <w:szCs w:val="18"/>
              </w:rPr>
            </w:pPr>
            <w:r>
              <w:rPr>
                <w:b/>
                <w:color w:val="auto"/>
                <w:sz w:val="18"/>
                <w:szCs w:val="18"/>
              </w:rPr>
              <w:t>公共必修课</w:t>
            </w:r>
          </w:p>
          <w:p w14:paraId="06F1050A">
            <w:pPr>
              <w:jc w:val="center"/>
              <w:rPr>
                <w:b/>
                <w:color w:val="auto"/>
                <w:sz w:val="18"/>
                <w:szCs w:val="18"/>
              </w:rPr>
            </w:pPr>
            <w:r>
              <w:rPr>
                <w:rFonts w:hint="eastAsia"/>
                <w:b/>
                <w:color w:val="auto"/>
                <w:sz w:val="18"/>
                <w:szCs w:val="18"/>
              </w:rPr>
              <w:t>（4学分）</w:t>
            </w:r>
          </w:p>
        </w:tc>
        <w:tc>
          <w:tcPr>
            <w:tcW w:w="3238" w:type="dxa"/>
            <w:vAlign w:val="center"/>
          </w:tcPr>
          <w:p w14:paraId="30C9FFE4">
            <w:pPr>
              <w:rPr>
                <w:color w:val="auto"/>
                <w:sz w:val="18"/>
                <w:szCs w:val="18"/>
              </w:rPr>
            </w:pPr>
            <w:r>
              <w:rPr>
                <w:rFonts w:hint="eastAsia"/>
                <w:color w:val="auto"/>
                <w:sz w:val="18"/>
                <w:szCs w:val="18"/>
              </w:rPr>
              <w:t>新时代</w:t>
            </w:r>
            <w:r>
              <w:rPr>
                <w:color w:val="auto"/>
                <w:sz w:val="18"/>
                <w:szCs w:val="18"/>
              </w:rPr>
              <w:t>中国特色社会主义理论与实践</w:t>
            </w:r>
          </w:p>
        </w:tc>
        <w:tc>
          <w:tcPr>
            <w:tcW w:w="1081" w:type="dxa"/>
            <w:vAlign w:val="center"/>
          </w:tcPr>
          <w:p w14:paraId="7EBE58AE">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vAlign w:val="center"/>
          </w:tcPr>
          <w:p w14:paraId="2124F6FC">
            <w:pPr>
              <w:jc w:val="center"/>
              <w:rPr>
                <w:color w:val="auto"/>
                <w:sz w:val="18"/>
                <w:szCs w:val="18"/>
              </w:rPr>
            </w:pPr>
            <w:r>
              <w:rPr>
                <w:color w:val="auto"/>
                <w:sz w:val="18"/>
                <w:szCs w:val="18"/>
              </w:rPr>
              <w:t>2</w:t>
            </w:r>
          </w:p>
        </w:tc>
        <w:tc>
          <w:tcPr>
            <w:tcW w:w="709" w:type="dxa"/>
            <w:vAlign w:val="center"/>
          </w:tcPr>
          <w:p w14:paraId="163F9F5D">
            <w:pPr>
              <w:jc w:val="center"/>
              <w:rPr>
                <w:color w:val="auto"/>
                <w:sz w:val="18"/>
                <w:szCs w:val="18"/>
              </w:rPr>
            </w:pPr>
            <w:r>
              <w:rPr>
                <w:color w:val="auto"/>
                <w:sz w:val="18"/>
                <w:szCs w:val="18"/>
              </w:rPr>
              <w:t>1</w:t>
            </w:r>
          </w:p>
        </w:tc>
        <w:tc>
          <w:tcPr>
            <w:tcW w:w="1045" w:type="dxa"/>
            <w:vAlign w:val="center"/>
          </w:tcPr>
          <w:p w14:paraId="58077D55">
            <w:pPr>
              <w:jc w:val="center"/>
              <w:rPr>
                <w:color w:val="auto"/>
                <w:sz w:val="18"/>
                <w:szCs w:val="18"/>
              </w:rPr>
            </w:pPr>
            <w:r>
              <w:rPr>
                <w:rFonts w:hint="eastAsia"/>
                <w:color w:val="auto"/>
                <w:sz w:val="18"/>
                <w:szCs w:val="18"/>
              </w:rPr>
              <w:t>考查</w:t>
            </w:r>
          </w:p>
        </w:tc>
      </w:tr>
      <w:tr w14:paraId="77AF13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3B04A74">
            <w:pPr>
              <w:jc w:val="center"/>
              <w:rPr>
                <w:b/>
                <w:color w:val="auto"/>
                <w:sz w:val="18"/>
                <w:szCs w:val="18"/>
              </w:rPr>
            </w:pPr>
          </w:p>
        </w:tc>
        <w:tc>
          <w:tcPr>
            <w:tcW w:w="1504" w:type="dxa"/>
            <w:vMerge w:val="continue"/>
            <w:vAlign w:val="center"/>
          </w:tcPr>
          <w:p w14:paraId="1A6C7F52">
            <w:pPr>
              <w:jc w:val="center"/>
              <w:rPr>
                <w:b/>
                <w:color w:val="auto"/>
                <w:sz w:val="18"/>
                <w:szCs w:val="18"/>
              </w:rPr>
            </w:pPr>
          </w:p>
        </w:tc>
        <w:tc>
          <w:tcPr>
            <w:tcW w:w="3238" w:type="dxa"/>
            <w:vAlign w:val="center"/>
          </w:tcPr>
          <w:p w14:paraId="43EA08DC">
            <w:pPr>
              <w:rPr>
                <w:color w:val="auto"/>
                <w:sz w:val="18"/>
                <w:szCs w:val="18"/>
              </w:rPr>
            </w:pPr>
            <w:r>
              <w:rPr>
                <w:rFonts w:hint="eastAsia"/>
                <w:color w:val="auto"/>
                <w:sz w:val="18"/>
                <w:szCs w:val="18"/>
              </w:rPr>
              <w:t>通用学术英语</w:t>
            </w:r>
          </w:p>
        </w:tc>
        <w:tc>
          <w:tcPr>
            <w:tcW w:w="1081" w:type="dxa"/>
            <w:vAlign w:val="center"/>
          </w:tcPr>
          <w:p w14:paraId="50976AFE">
            <w:pPr>
              <w:jc w:val="center"/>
              <w:rPr>
                <w:color w:val="auto"/>
                <w:sz w:val="18"/>
                <w:szCs w:val="18"/>
              </w:rPr>
            </w:pPr>
            <w:r>
              <w:rPr>
                <w:rFonts w:hint="eastAsia"/>
                <w:color w:val="auto"/>
                <w:sz w:val="18"/>
                <w:szCs w:val="18"/>
              </w:rPr>
              <w:t>T</w:t>
            </w:r>
            <w:r>
              <w:rPr>
                <w:color w:val="auto"/>
                <w:sz w:val="18"/>
                <w:szCs w:val="18"/>
              </w:rPr>
              <w:t>S000000</w:t>
            </w:r>
            <w:r>
              <w:rPr>
                <w:rFonts w:hint="eastAsia"/>
                <w:color w:val="auto"/>
                <w:sz w:val="18"/>
                <w:szCs w:val="18"/>
              </w:rPr>
              <w:t>2</w:t>
            </w:r>
          </w:p>
        </w:tc>
        <w:tc>
          <w:tcPr>
            <w:tcW w:w="709" w:type="dxa"/>
            <w:vAlign w:val="center"/>
          </w:tcPr>
          <w:p w14:paraId="14AAD458">
            <w:pPr>
              <w:jc w:val="center"/>
              <w:rPr>
                <w:color w:val="auto"/>
                <w:sz w:val="18"/>
                <w:szCs w:val="18"/>
              </w:rPr>
            </w:pPr>
            <w:r>
              <w:rPr>
                <w:rFonts w:hint="eastAsia"/>
                <w:color w:val="auto"/>
                <w:sz w:val="18"/>
                <w:szCs w:val="18"/>
              </w:rPr>
              <w:t>2</w:t>
            </w:r>
          </w:p>
        </w:tc>
        <w:tc>
          <w:tcPr>
            <w:tcW w:w="709" w:type="dxa"/>
            <w:vAlign w:val="center"/>
          </w:tcPr>
          <w:p w14:paraId="5D0E7CE7">
            <w:pPr>
              <w:jc w:val="center"/>
              <w:rPr>
                <w:color w:val="auto"/>
                <w:sz w:val="18"/>
                <w:szCs w:val="18"/>
              </w:rPr>
            </w:pPr>
            <w:r>
              <w:rPr>
                <w:color w:val="auto"/>
                <w:sz w:val="18"/>
                <w:szCs w:val="18"/>
              </w:rPr>
              <w:t>1</w:t>
            </w:r>
          </w:p>
        </w:tc>
        <w:tc>
          <w:tcPr>
            <w:tcW w:w="1045" w:type="dxa"/>
            <w:vAlign w:val="center"/>
          </w:tcPr>
          <w:p w14:paraId="4FA81BCA">
            <w:pPr>
              <w:jc w:val="center"/>
              <w:rPr>
                <w:color w:val="auto"/>
                <w:sz w:val="18"/>
                <w:szCs w:val="18"/>
              </w:rPr>
            </w:pPr>
            <w:r>
              <w:rPr>
                <w:rFonts w:hint="eastAsia"/>
                <w:color w:val="auto"/>
                <w:sz w:val="18"/>
                <w:szCs w:val="18"/>
              </w:rPr>
              <w:t>考查</w:t>
            </w:r>
          </w:p>
        </w:tc>
      </w:tr>
      <w:tr w14:paraId="77886F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182B30E">
            <w:pPr>
              <w:jc w:val="center"/>
              <w:rPr>
                <w:b/>
                <w:color w:val="auto"/>
                <w:sz w:val="18"/>
                <w:szCs w:val="18"/>
              </w:rPr>
            </w:pPr>
          </w:p>
        </w:tc>
        <w:tc>
          <w:tcPr>
            <w:tcW w:w="1504" w:type="dxa"/>
            <w:vMerge w:val="restart"/>
            <w:vAlign w:val="center"/>
          </w:tcPr>
          <w:p w14:paraId="30D3430A">
            <w:pPr>
              <w:jc w:val="center"/>
              <w:rPr>
                <w:b/>
                <w:color w:val="auto"/>
                <w:sz w:val="18"/>
                <w:szCs w:val="18"/>
              </w:rPr>
            </w:pPr>
            <w:r>
              <w:rPr>
                <w:rFonts w:hint="eastAsia"/>
                <w:b/>
                <w:color w:val="auto"/>
                <w:sz w:val="18"/>
                <w:szCs w:val="18"/>
              </w:rPr>
              <w:t>学科基础课</w:t>
            </w:r>
          </w:p>
          <w:p w14:paraId="0375AFCB">
            <w:pPr>
              <w:jc w:val="center"/>
              <w:rPr>
                <w:b/>
                <w:color w:val="auto"/>
                <w:sz w:val="18"/>
                <w:szCs w:val="18"/>
              </w:rPr>
            </w:pPr>
            <w:r>
              <w:rPr>
                <w:rFonts w:hint="eastAsia"/>
                <w:b/>
                <w:color w:val="auto"/>
                <w:sz w:val="18"/>
                <w:szCs w:val="18"/>
              </w:rPr>
              <w:t>（8学分）</w:t>
            </w:r>
          </w:p>
        </w:tc>
        <w:tc>
          <w:tcPr>
            <w:tcW w:w="3238" w:type="dxa"/>
            <w:vAlign w:val="center"/>
          </w:tcPr>
          <w:p w14:paraId="5FD86770">
            <w:pPr>
              <w:adjustRightInd w:val="0"/>
              <w:snapToGrid w:val="0"/>
              <w:rPr>
                <w:color w:val="auto"/>
                <w:sz w:val="18"/>
                <w:szCs w:val="18"/>
              </w:rPr>
            </w:pPr>
            <w:r>
              <w:rPr>
                <w:rFonts w:hint="eastAsia"/>
                <w:color w:val="auto"/>
                <w:sz w:val="18"/>
                <w:szCs w:val="18"/>
              </w:rPr>
              <w:t>学术道德与论文写作</w:t>
            </w:r>
          </w:p>
        </w:tc>
        <w:tc>
          <w:tcPr>
            <w:tcW w:w="1081" w:type="dxa"/>
            <w:vAlign w:val="center"/>
          </w:tcPr>
          <w:p w14:paraId="388A2FFF">
            <w:pPr>
              <w:jc w:val="center"/>
              <w:rPr>
                <w:iCs/>
                <w:color w:val="auto"/>
                <w:sz w:val="18"/>
                <w:szCs w:val="18"/>
              </w:rPr>
            </w:pPr>
            <w:r>
              <w:rPr>
                <w:rFonts w:hint="eastAsia"/>
                <w:iCs/>
                <w:color w:val="auto"/>
                <w:sz w:val="18"/>
                <w:szCs w:val="18"/>
              </w:rPr>
              <w:t>XS0702001</w:t>
            </w:r>
          </w:p>
        </w:tc>
        <w:tc>
          <w:tcPr>
            <w:tcW w:w="709" w:type="dxa"/>
            <w:vAlign w:val="center"/>
          </w:tcPr>
          <w:p w14:paraId="133EA8B1">
            <w:pPr>
              <w:jc w:val="center"/>
              <w:rPr>
                <w:iCs/>
                <w:color w:val="auto"/>
                <w:sz w:val="18"/>
                <w:szCs w:val="18"/>
              </w:rPr>
            </w:pPr>
            <w:r>
              <w:rPr>
                <w:rFonts w:hint="eastAsia"/>
                <w:iCs/>
                <w:color w:val="auto"/>
                <w:sz w:val="18"/>
                <w:szCs w:val="18"/>
              </w:rPr>
              <w:t>1</w:t>
            </w:r>
          </w:p>
        </w:tc>
        <w:tc>
          <w:tcPr>
            <w:tcW w:w="709" w:type="dxa"/>
            <w:vAlign w:val="center"/>
          </w:tcPr>
          <w:p w14:paraId="482C5BEA">
            <w:pPr>
              <w:jc w:val="center"/>
              <w:rPr>
                <w:iCs/>
                <w:color w:val="auto"/>
                <w:sz w:val="18"/>
                <w:szCs w:val="18"/>
              </w:rPr>
            </w:pPr>
            <w:r>
              <w:rPr>
                <w:rFonts w:hint="eastAsia"/>
                <w:iCs/>
                <w:color w:val="auto"/>
                <w:sz w:val="18"/>
                <w:szCs w:val="18"/>
              </w:rPr>
              <w:t>1</w:t>
            </w:r>
          </w:p>
        </w:tc>
        <w:tc>
          <w:tcPr>
            <w:tcW w:w="1045" w:type="dxa"/>
            <w:vAlign w:val="center"/>
          </w:tcPr>
          <w:p w14:paraId="40FFE263">
            <w:pPr>
              <w:jc w:val="center"/>
              <w:rPr>
                <w:iCs/>
                <w:color w:val="auto"/>
                <w:sz w:val="18"/>
                <w:szCs w:val="18"/>
              </w:rPr>
            </w:pPr>
            <w:r>
              <w:rPr>
                <w:rFonts w:hint="eastAsia"/>
                <w:iCs/>
                <w:color w:val="auto"/>
                <w:sz w:val="18"/>
                <w:szCs w:val="18"/>
              </w:rPr>
              <w:t>考查</w:t>
            </w:r>
          </w:p>
        </w:tc>
      </w:tr>
      <w:tr w14:paraId="4C9A17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43C4291">
            <w:pPr>
              <w:jc w:val="center"/>
              <w:rPr>
                <w:b/>
                <w:color w:val="auto"/>
                <w:sz w:val="18"/>
                <w:szCs w:val="18"/>
              </w:rPr>
            </w:pPr>
          </w:p>
        </w:tc>
        <w:tc>
          <w:tcPr>
            <w:tcW w:w="1504" w:type="dxa"/>
            <w:vMerge w:val="continue"/>
            <w:vAlign w:val="center"/>
          </w:tcPr>
          <w:p w14:paraId="2EF59BF6">
            <w:pPr>
              <w:jc w:val="center"/>
              <w:rPr>
                <w:b/>
                <w:color w:val="auto"/>
                <w:sz w:val="18"/>
                <w:szCs w:val="18"/>
              </w:rPr>
            </w:pPr>
          </w:p>
        </w:tc>
        <w:tc>
          <w:tcPr>
            <w:tcW w:w="3238" w:type="dxa"/>
            <w:vAlign w:val="center"/>
          </w:tcPr>
          <w:p w14:paraId="4AEA8C40">
            <w:pPr>
              <w:adjustRightInd w:val="0"/>
              <w:snapToGrid w:val="0"/>
              <w:rPr>
                <w:color w:val="auto"/>
                <w:sz w:val="18"/>
                <w:szCs w:val="18"/>
              </w:rPr>
            </w:pPr>
            <w:r>
              <w:rPr>
                <w:rFonts w:hint="eastAsia"/>
                <w:color w:val="auto"/>
                <w:sz w:val="18"/>
                <w:szCs w:val="18"/>
              </w:rPr>
              <w:t>专业学术英语</w:t>
            </w:r>
          </w:p>
        </w:tc>
        <w:tc>
          <w:tcPr>
            <w:tcW w:w="1081" w:type="dxa"/>
            <w:vAlign w:val="center"/>
          </w:tcPr>
          <w:p w14:paraId="399F859F">
            <w:pPr>
              <w:jc w:val="center"/>
              <w:rPr>
                <w:iCs/>
                <w:color w:val="auto"/>
                <w:sz w:val="18"/>
                <w:szCs w:val="18"/>
              </w:rPr>
            </w:pPr>
            <w:r>
              <w:rPr>
                <w:rFonts w:hint="eastAsia"/>
                <w:iCs/>
                <w:color w:val="auto"/>
                <w:sz w:val="18"/>
                <w:szCs w:val="18"/>
              </w:rPr>
              <w:t>XS0702002</w:t>
            </w:r>
          </w:p>
        </w:tc>
        <w:tc>
          <w:tcPr>
            <w:tcW w:w="709" w:type="dxa"/>
            <w:vAlign w:val="center"/>
          </w:tcPr>
          <w:p w14:paraId="40A6C059">
            <w:pPr>
              <w:jc w:val="center"/>
              <w:rPr>
                <w:iCs/>
                <w:color w:val="auto"/>
                <w:sz w:val="18"/>
                <w:szCs w:val="18"/>
              </w:rPr>
            </w:pPr>
            <w:r>
              <w:rPr>
                <w:rFonts w:hint="eastAsia"/>
                <w:iCs/>
                <w:color w:val="auto"/>
                <w:sz w:val="18"/>
                <w:szCs w:val="18"/>
              </w:rPr>
              <w:t>2</w:t>
            </w:r>
          </w:p>
        </w:tc>
        <w:tc>
          <w:tcPr>
            <w:tcW w:w="709" w:type="dxa"/>
            <w:vAlign w:val="center"/>
          </w:tcPr>
          <w:p w14:paraId="7ABBFFD1">
            <w:pPr>
              <w:jc w:val="center"/>
              <w:rPr>
                <w:iCs/>
                <w:color w:val="auto"/>
                <w:sz w:val="18"/>
                <w:szCs w:val="18"/>
              </w:rPr>
            </w:pPr>
            <w:r>
              <w:rPr>
                <w:rFonts w:hint="eastAsia"/>
                <w:iCs/>
                <w:color w:val="auto"/>
                <w:sz w:val="18"/>
                <w:szCs w:val="18"/>
              </w:rPr>
              <w:t>2</w:t>
            </w:r>
          </w:p>
        </w:tc>
        <w:tc>
          <w:tcPr>
            <w:tcW w:w="1045" w:type="dxa"/>
            <w:vAlign w:val="center"/>
          </w:tcPr>
          <w:p w14:paraId="681E6653">
            <w:pPr>
              <w:jc w:val="center"/>
              <w:rPr>
                <w:iCs/>
                <w:color w:val="auto"/>
                <w:sz w:val="18"/>
                <w:szCs w:val="18"/>
              </w:rPr>
            </w:pPr>
            <w:r>
              <w:rPr>
                <w:rFonts w:hint="eastAsia"/>
                <w:iCs/>
                <w:color w:val="auto"/>
                <w:sz w:val="18"/>
                <w:szCs w:val="18"/>
              </w:rPr>
              <w:t>考试</w:t>
            </w:r>
          </w:p>
        </w:tc>
      </w:tr>
      <w:tr w14:paraId="3965F5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C99D50B">
            <w:pPr>
              <w:jc w:val="center"/>
              <w:rPr>
                <w:b/>
                <w:color w:val="auto"/>
                <w:sz w:val="18"/>
                <w:szCs w:val="18"/>
              </w:rPr>
            </w:pPr>
          </w:p>
        </w:tc>
        <w:tc>
          <w:tcPr>
            <w:tcW w:w="1504" w:type="dxa"/>
            <w:vMerge w:val="continue"/>
            <w:vAlign w:val="center"/>
          </w:tcPr>
          <w:p w14:paraId="7700970A">
            <w:pPr>
              <w:jc w:val="center"/>
              <w:rPr>
                <w:b/>
                <w:color w:val="auto"/>
                <w:sz w:val="18"/>
                <w:szCs w:val="18"/>
              </w:rPr>
            </w:pPr>
          </w:p>
        </w:tc>
        <w:tc>
          <w:tcPr>
            <w:tcW w:w="3238" w:type="dxa"/>
            <w:vAlign w:val="center"/>
          </w:tcPr>
          <w:p w14:paraId="742A2384">
            <w:pPr>
              <w:rPr>
                <w:color w:val="auto"/>
                <w:sz w:val="18"/>
                <w:szCs w:val="18"/>
              </w:rPr>
            </w:pPr>
            <w:r>
              <w:rPr>
                <w:rFonts w:hint="eastAsia"/>
                <w:color w:val="auto"/>
                <w:sz w:val="18"/>
                <w:szCs w:val="18"/>
              </w:rPr>
              <w:t>法学前沿</w:t>
            </w:r>
          </w:p>
        </w:tc>
        <w:tc>
          <w:tcPr>
            <w:tcW w:w="1081" w:type="dxa"/>
            <w:vAlign w:val="center"/>
          </w:tcPr>
          <w:p w14:paraId="6A0A83CB">
            <w:pPr>
              <w:jc w:val="center"/>
              <w:rPr>
                <w:iCs/>
                <w:color w:val="auto"/>
                <w:sz w:val="18"/>
                <w:szCs w:val="18"/>
              </w:rPr>
            </w:pPr>
            <w:r>
              <w:rPr>
                <w:rFonts w:hint="eastAsia"/>
                <w:iCs/>
                <w:color w:val="auto"/>
                <w:sz w:val="18"/>
                <w:szCs w:val="18"/>
              </w:rPr>
              <w:t>XS0702003</w:t>
            </w:r>
          </w:p>
        </w:tc>
        <w:tc>
          <w:tcPr>
            <w:tcW w:w="709" w:type="dxa"/>
            <w:vAlign w:val="center"/>
          </w:tcPr>
          <w:p w14:paraId="4F1AC373">
            <w:pPr>
              <w:jc w:val="center"/>
              <w:rPr>
                <w:iCs/>
                <w:color w:val="auto"/>
                <w:sz w:val="18"/>
                <w:szCs w:val="18"/>
              </w:rPr>
            </w:pPr>
            <w:r>
              <w:rPr>
                <w:rFonts w:hint="eastAsia"/>
                <w:iCs/>
                <w:color w:val="auto"/>
                <w:sz w:val="18"/>
                <w:szCs w:val="18"/>
              </w:rPr>
              <w:t>2</w:t>
            </w:r>
          </w:p>
        </w:tc>
        <w:tc>
          <w:tcPr>
            <w:tcW w:w="709" w:type="dxa"/>
            <w:vAlign w:val="center"/>
          </w:tcPr>
          <w:p w14:paraId="5FDDD3BB">
            <w:pPr>
              <w:jc w:val="center"/>
              <w:rPr>
                <w:iCs/>
                <w:color w:val="auto"/>
                <w:sz w:val="18"/>
                <w:szCs w:val="18"/>
              </w:rPr>
            </w:pPr>
            <w:r>
              <w:rPr>
                <w:rFonts w:hint="eastAsia"/>
                <w:iCs/>
                <w:color w:val="auto"/>
                <w:sz w:val="18"/>
                <w:szCs w:val="18"/>
              </w:rPr>
              <w:t>2</w:t>
            </w:r>
          </w:p>
        </w:tc>
        <w:tc>
          <w:tcPr>
            <w:tcW w:w="1045" w:type="dxa"/>
            <w:vAlign w:val="center"/>
          </w:tcPr>
          <w:p w14:paraId="7C7C7DA9">
            <w:pPr>
              <w:jc w:val="center"/>
              <w:rPr>
                <w:iCs/>
                <w:color w:val="auto"/>
                <w:sz w:val="18"/>
                <w:szCs w:val="18"/>
              </w:rPr>
            </w:pPr>
            <w:r>
              <w:rPr>
                <w:rFonts w:hint="eastAsia"/>
                <w:iCs/>
                <w:color w:val="auto"/>
                <w:sz w:val="18"/>
                <w:szCs w:val="18"/>
              </w:rPr>
              <w:t>考查</w:t>
            </w:r>
          </w:p>
        </w:tc>
      </w:tr>
      <w:tr w14:paraId="0F9740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F2376FF">
            <w:pPr>
              <w:jc w:val="center"/>
              <w:rPr>
                <w:b/>
                <w:color w:val="auto"/>
                <w:sz w:val="18"/>
                <w:szCs w:val="18"/>
              </w:rPr>
            </w:pPr>
          </w:p>
        </w:tc>
        <w:tc>
          <w:tcPr>
            <w:tcW w:w="1504" w:type="dxa"/>
            <w:vMerge w:val="continue"/>
            <w:vAlign w:val="center"/>
          </w:tcPr>
          <w:p w14:paraId="32817E69">
            <w:pPr>
              <w:jc w:val="center"/>
              <w:rPr>
                <w:b/>
                <w:color w:val="auto"/>
                <w:sz w:val="18"/>
                <w:szCs w:val="18"/>
              </w:rPr>
            </w:pPr>
          </w:p>
        </w:tc>
        <w:tc>
          <w:tcPr>
            <w:tcW w:w="3238" w:type="dxa"/>
            <w:shd w:val="clear" w:color="auto" w:fill="auto"/>
            <w:vAlign w:val="center"/>
          </w:tcPr>
          <w:p w14:paraId="44C56D70">
            <w:pPr>
              <w:rPr>
                <w:color w:val="auto"/>
                <w:sz w:val="18"/>
                <w:szCs w:val="18"/>
              </w:rPr>
            </w:pPr>
            <w:r>
              <w:rPr>
                <w:rFonts w:hint="eastAsia"/>
                <w:color w:val="auto"/>
                <w:sz w:val="18"/>
                <w:szCs w:val="18"/>
              </w:rPr>
              <w:t>法学方法论</w:t>
            </w:r>
          </w:p>
        </w:tc>
        <w:tc>
          <w:tcPr>
            <w:tcW w:w="1081" w:type="dxa"/>
            <w:shd w:val="clear" w:color="auto" w:fill="auto"/>
            <w:vAlign w:val="center"/>
          </w:tcPr>
          <w:p w14:paraId="33726595">
            <w:pPr>
              <w:jc w:val="center"/>
              <w:rPr>
                <w:color w:val="auto"/>
                <w:sz w:val="18"/>
                <w:szCs w:val="18"/>
                <w:highlight w:val="yellow"/>
              </w:rPr>
            </w:pPr>
            <w:r>
              <w:rPr>
                <w:rFonts w:hint="eastAsia"/>
                <w:color w:val="auto"/>
                <w:sz w:val="18"/>
                <w:szCs w:val="18"/>
              </w:rPr>
              <w:t>XS0702004</w:t>
            </w:r>
          </w:p>
        </w:tc>
        <w:tc>
          <w:tcPr>
            <w:tcW w:w="709" w:type="dxa"/>
            <w:shd w:val="clear" w:color="auto" w:fill="auto"/>
            <w:vAlign w:val="center"/>
          </w:tcPr>
          <w:p w14:paraId="05EC070D">
            <w:pPr>
              <w:jc w:val="center"/>
              <w:rPr>
                <w:color w:val="auto"/>
                <w:sz w:val="18"/>
                <w:szCs w:val="18"/>
              </w:rPr>
            </w:pPr>
            <w:r>
              <w:rPr>
                <w:rFonts w:hint="eastAsia"/>
                <w:color w:val="auto"/>
                <w:sz w:val="18"/>
                <w:szCs w:val="18"/>
              </w:rPr>
              <w:t>1</w:t>
            </w:r>
          </w:p>
        </w:tc>
        <w:tc>
          <w:tcPr>
            <w:tcW w:w="709" w:type="dxa"/>
            <w:shd w:val="clear" w:color="auto" w:fill="auto"/>
            <w:vAlign w:val="center"/>
          </w:tcPr>
          <w:p w14:paraId="0882D0D4">
            <w:pPr>
              <w:jc w:val="center"/>
              <w:rPr>
                <w:color w:val="auto"/>
                <w:sz w:val="18"/>
                <w:szCs w:val="18"/>
              </w:rPr>
            </w:pPr>
            <w:r>
              <w:rPr>
                <w:rFonts w:hint="eastAsia"/>
                <w:color w:val="auto"/>
                <w:sz w:val="18"/>
                <w:szCs w:val="18"/>
              </w:rPr>
              <w:t>2</w:t>
            </w:r>
          </w:p>
        </w:tc>
        <w:tc>
          <w:tcPr>
            <w:tcW w:w="1045" w:type="dxa"/>
            <w:shd w:val="clear" w:color="auto" w:fill="auto"/>
            <w:vAlign w:val="center"/>
          </w:tcPr>
          <w:p w14:paraId="26F31BB1">
            <w:pPr>
              <w:jc w:val="center"/>
              <w:rPr>
                <w:color w:val="auto"/>
                <w:sz w:val="18"/>
                <w:szCs w:val="18"/>
                <w:highlight w:val="yellow"/>
              </w:rPr>
            </w:pPr>
            <w:r>
              <w:rPr>
                <w:rFonts w:hint="eastAsia"/>
                <w:color w:val="auto"/>
                <w:sz w:val="18"/>
                <w:szCs w:val="18"/>
              </w:rPr>
              <w:t>考查</w:t>
            </w:r>
          </w:p>
        </w:tc>
      </w:tr>
      <w:tr w14:paraId="39AA55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F27EA6A">
            <w:pPr>
              <w:jc w:val="center"/>
              <w:rPr>
                <w:b/>
                <w:color w:val="auto"/>
                <w:sz w:val="18"/>
                <w:szCs w:val="18"/>
              </w:rPr>
            </w:pPr>
          </w:p>
        </w:tc>
        <w:tc>
          <w:tcPr>
            <w:tcW w:w="1504" w:type="dxa"/>
            <w:vMerge w:val="continue"/>
            <w:vAlign w:val="center"/>
          </w:tcPr>
          <w:p w14:paraId="2D527DEE">
            <w:pPr>
              <w:jc w:val="center"/>
              <w:rPr>
                <w:b/>
                <w:color w:val="auto"/>
                <w:sz w:val="18"/>
                <w:szCs w:val="18"/>
              </w:rPr>
            </w:pPr>
          </w:p>
        </w:tc>
        <w:tc>
          <w:tcPr>
            <w:tcW w:w="3238" w:type="dxa"/>
            <w:shd w:val="clear" w:color="auto" w:fill="auto"/>
            <w:vAlign w:val="center"/>
          </w:tcPr>
          <w:p w14:paraId="68D2854C">
            <w:pPr>
              <w:adjustRightInd w:val="0"/>
              <w:snapToGrid w:val="0"/>
              <w:rPr>
                <w:iCs/>
                <w:color w:val="auto"/>
                <w:sz w:val="18"/>
                <w:szCs w:val="18"/>
              </w:rPr>
            </w:pPr>
            <w:r>
              <w:rPr>
                <w:rFonts w:hint="eastAsia"/>
                <w:iCs/>
                <w:color w:val="auto"/>
                <w:sz w:val="18"/>
                <w:szCs w:val="18"/>
              </w:rPr>
              <w:t>法学原著导读</w:t>
            </w:r>
          </w:p>
        </w:tc>
        <w:tc>
          <w:tcPr>
            <w:tcW w:w="1081" w:type="dxa"/>
            <w:shd w:val="clear" w:color="auto" w:fill="auto"/>
            <w:vAlign w:val="center"/>
          </w:tcPr>
          <w:p w14:paraId="458501C0">
            <w:pPr>
              <w:jc w:val="center"/>
              <w:rPr>
                <w:iCs/>
                <w:color w:val="auto"/>
                <w:sz w:val="18"/>
                <w:szCs w:val="18"/>
              </w:rPr>
            </w:pPr>
            <w:r>
              <w:rPr>
                <w:rFonts w:hint="eastAsia"/>
                <w:color w:val="auto"/>
                <w:sz w:val="18"/>
                <w:szCs w:val="18"/>
              </w:rPr>
              <w:t>XS0702005</w:t>
            </w:r>
          </w:p>
        </w:tc>
        <w:tc>
          <w:tcPr>
            <w:tcW w:w="709" w:type="dxa"/>
            <w:shd w:val="clear" w:color="auto" w:fill="auto"/>
            <w:vAlign w:val="center"/>
          </w:tcPr>
          <w:p w14:paraId="11E20EE0">
            <w:pPr>
              <w:jc w:val="center"/>
              <w:rPr>
                <w:color w:val="auto"/>
                <w:sz w:val="18"/>
                <w:szCs w:val="18"/>
              </w:rPr>
            </w:pPr>
            <w:r>
              <w:rPr>
                <w:rFonts w:hint="eastAsia"/>
                <w:color w:val="auto"/>
                <w:sz w:val="18"/>
                <w:szCs w:val="18"/>
              </w:rPr>
              <w:t>2</w:t>
            </w:r>
          </w:p>
        </w:tc>
        <w:tc>
          <w:tcPr>
            <w:tcW w:w="709" w:type="dxa"/>
            <w:shd w:val="clear" w:color="auto" w:fill="auto"/>
            <w:vAlign w:val="center"/>
          </w:tcPr>
          <w:p w14:paraId="6639F8FC">
            <w:pPr>
              <w:jc w:val="center"/>
              <w:rPr>
                <w:iCs/>
                <w:color w:val="auto"/>
                <w:sz w:val="18"/>
                <w:szCs w:val="18"/>
              </w:rPr>
            </w:pPr>
            <w:r>
              <w:rPr>
                <w:rFonts w:hint="eastAsia"/>
                <w:iCs/>
                <w:color w:val="auto"/>
                <w:sz w:val="18"/>
                <w:szCs w:val="18"/>
              </w:rPr>
              <w:t>1</w:t>
            </w:r>
          </w:p>
        </w:tc>
        <w:tc>
          <w:tcPr>
            <w:tcW w:w="1045" w:type="dxa"/>
            <w:shd w:val="clear" w:color="auto" w:fill="auto"/>
            <w:vAlign w:val="center"/>
          </w:tcPr>
          <w:p w14:paraId="63C752F9">
            <w:pPr>
              <w:jc w:val="center"/>
              <w:rPr>
                <w:color w:val="auto"/>
                <w:sz w:val="18"/>
                <w:szCs w:val="18"/>
              </w:rPr>
            </w:pPr>
            <w:r>
              <w:rPr>
                <w:rFonts w:hint="eastAsia"/>
                <w:color w:val="auto"/>
                <w:sz w:val="18"/>
                <w:szCs w:val="18"/>
              </w:rPr>
              <w:t>考查</w:t>
            </w:r>
          </w:p>
        </w:tc>
      </w:tr>
      <w:tr w14:paraId="67D10A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8766DE8">
            <w:pPr>
              <w:jc w:val="center"/>
              <w:rPr>
                <w:b/>
                <w:color w:val="auto"/>
                <w:sz w:val="18"/>
                <w:szCs w:val="18"/>
              </w:rPr>
            </w:pPr>
            <w:bookmarkStart w:id="2" w:name="_GoBack" w:colFirst="3" w:colLast="3"/>
          </w:p>
        </w:tc>
        <w:tc>
          <w:tcPr>
            <w:tcW w:w="1504" w:type="dxa"/>
            <w:vMerge w:val="restart"/>
            <w:vAlign w:val="center"/>
          </w:tcPr>
          <w:p w14:paraId="2645FF88">
            <w:pPr>
              <w:jc w:val="center"/>
              <w:rPr>
                <w:b/>
                <w:color w:val="auto"/>
                <w:sz w:val="18"/>
                <w:szCs w:val="18"/>
              </w:rPr>
            </w:pPr>
            <w:r>
              <w:rPr>
                <w:b/>
                <w:color w:val="auto"/>
                <w:sz w:val="18"/>
                <w:szCs w:val="18"/>
              </w:rPr>
              <w:t>专业必修课</w:t>
            </w:r>
          </w:p>
          <w:p w14:paraId="797DF016">
            <w:pPr>
              <w:jc w:val="center"/>
              <w:rPr>
                <w:b/>
                <w:color w:val="auto"/>
                <w:sz w:val="18"/>
                <w:szCs w:val="18"/>
              </w:rPr>
            </w:pPr>
            <w:r>
              <w:rPr>
                <w:rFonts w:hint="eastAsia"/>
                <w:b/>
                <w:color w:val="auto"/>
                <w:sz w:val="18"/>
                <w:szCs w:val="18"/>
              </w:rPr>
              <w:t>（3学分）</w:t>
            </w:r>
          </w:p>
        </w:tc>
        <w:tc>
          <w:tcPr>
            <w:tcW w:w="3238" w:type="dxa"/>
            <w:shd w:val="clear" w:color="auto" w:fill="auto"/>
            <w:vAlign w:val="center"/>
          </w:tcPr>
          <w:p w14:paraId="08279722">
            <w:pPr>
              <w:adjustRightInd w:val="0"/>
              <w:snapToGrid w:val="0"/>
              <w:rPr>
                <w:color w:val="auto"/>
                <w:sz w:val="18"/>
                <w:szCs w:val="18"/>
              </w:rPr>
            </w:pPr>
            <w:r>
              <w:rPr>
                <w:rFonts w:hint="eastAsia"/>
                <w:color w:val="auto"/>
                <w:sz w:val="18"/>
                <w:szCs w:val="18"/>
              </w:rPr>
              <w:t>习近平法治思想专题</w:t>
            </w:r>
          </w:p>
        </w:tc>
        <w:tc>
          <w:tcPr>
            <w:tcW w:w="1081" w:type="dxa"/>
            <w:shd w:val="clear" w:color="auto" w:fill="auto"/>
            <w:vAlign w:val="center"/>
          </w:tcPr>
          <w:p w14:paraId="2EC25B5D">
            <w:pPr>
              <w:jc w:val="center"/>
              <w:rPr>
                <w:iCs/>
                <w:color w:val="auto"/>
                <w:sz w:val="18"/>
                <w:szCs w:val="18"/>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1</w:t>
            </w:r>
          </w:p>
        </w:tc>
        <w:tc>
          <w:tcPr>
            <w:tcW w:w="709" w:type="dxa"/>
            <w:shd w:val="clear" w:color="auto" w:fill="auto"/>
            <w:vAlign w:val="center"/>
          </w:tcPr>
          <w:p w14:paraId="09796227">
            <w:pPr>
              <w:jc w:val="center"/>
              <w:rPr>
                <w:iCs/>
                <w:color w:val="auto"/>
                <w:sz w:val="18"/>
                <w:szCs w:val="18"/>
              </w:rPr>
            </w:pPr>
            <w:r>
              <w:rPr>
                <w:rFonts w:hint="eastAsia"/>
                <w:iCs/>
                <w:color w:val="auto"/>
                <w:sz w:val="18"/>
                <w:szCs w:val="18"/>
              </w:rPr>
              <w:t>1</w:t>
            </w:r>
          </w:p>
        </w:tc>
        <w:tc>
          <w:tcPr>
            <w:tcW w:w="709" w:type="dxa"/>
            <w:shd w:val="clear" w:color="auto" w:fill="auto"/>
            <w:vAlign w:val="center"/>
          </w:tcPr>
          <w:p w14:paraId="5FB4023C">
            <w:pPr>
              <w:jc w:val="center"/>
              <w:rPr>
                <w:iCs/>
                <w:color w:val="auto"/>
                <w:sz w:val="18"/>
                <w:szCs w:val="18"/>
              </w:rPr>
            </w:pPr>
            <w:r>
              <w:rPr>
                <w:rFonts w:hint="eastAsia"/>
                <w:iCs/>
                <w:color w:val="auto"/>
                <w:sz w:val="18"/>
                <w:szCs w:val="18"/>
              </w:rPr>
              <w:t>1</w:t>
            </w:r>
          </w:p>
        </w:tc>
        <w:tc>
          <w:tcPr>
            <w:tcW w:w="1045" w:type="dxa"/>
            <w:shd w:val="clear" w:color="auto" w:fill="auto"/>
            <w:vAlign w:val="center"/>
          </w:tcPr>
          <w:p w14:paraId="77AB4F2C">
            <w:pPr>
              <w:jc w:val="center"/>
              <w:rPr>
                <w:iCs/>
                <w:color w:val="auto"/>
                <w:sz w:val="18"/>
                <w:szCs w:val="18"/>
              </w:rPr>
            </w:pPr>
            <w:r>
              <w:rPr>
                <w:rFonts w:hint="eastAsia"/>
                <w:iCs/>
                <w:color w:val="auto"/>
                <w:sz w:val="18"/>
                <w:szCs w:val="18"/>
              </w:rPr>
              <w:t>考试</w:t>
            </w:r>
          </w:p>
        </w:tc>
      </w:tr>
      <w:tr w14:paraId="7D94A8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068FDDE">
            <w:pPr>
              <w:jc w:val="center"/>
              <w:rPr>
                <w:b/>
                <w:color w:val="auto"/>
                <w:sz w:val="18"/>
                <w:szCs w:val="18"/>
              </w:rPr>
            </w:pPr>
          </w:p>
        </w:tc>
        <w:tc>
          <w:tcPr>
            <w:tcW w:w="1504" w:type="dxa"/>
            <w:vMerge w:val="continue"/>
            <w:vAlign w:val="center"/>
          </w:tcPr>
          <w:p w14:paraId="33CBED29">
            <w:pPr>
              <w:jc w:val="center"/>
              <w:rPr>
                <w:b/>
                <w:color w:val="auto"/>
                <w:sz w:val="18"/>
                <w:szCs w:val="18"/>
              </w:rPr>
            </w:pPr>
          </w:p>
        </w:tc>
        <w:tc>
          <w:tcPr>
            <w:tcW w:w="3238" w:type="dxa"/>
            <w:shd w:val="clear" w:color="auto" w:fill="auto"/>
            <w:vAlign w:val="center"/>
          </w:tcPr>
          <w:p w14:paraId="43C02733">
            <w:pPr>
              <w:adjustRightInd w:val="0"/>
              <w:snapToGrid w:val="0"/>
              <w:rPr>
                <w:color w:val="auto"/>
                <w:sz w:val="18"/>
                <w:szCs w:val="18"/>
              </w:rPr>
            </w:pPr>
            <w:r>
              <w:rPr>
                <w:rFonts w:hint="eastAsia"/>
                <w:color w:val="auto"/>
                <w:sz w:val="18"/>
                <w:szCs w:val="18"/>
              </w:rPr>
              <w:t>法理学</w:t>
            </w:r>
          </w:p>
        </w:tc>
        <w:tc>
          <w:tcPr>
            <w:tcW w:w="1081" w:type="dxa"/>
            <w:shd w:val="clear" w:color="auto" w:fill="auto"/>
            <w:vAlign w:val="center"/>
          </w:tcPr>
          <w:p w14:paraId="52BE0891">
            <w:pPr>
              <w:jc w:val="center"/>
              <w:rPr>
                <w:iCs/>
                <w:color w:val="auto"/>
                <w:sz w:val="18"/>
                <w:szCs w:val="18"/>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2</w:t>
            </w:r>
          </w:p>
        </w:tc>
        <w:tc>
          <w:tcPr>
            <w:tcW w:w="709" w:type="dxa"/>
            <w:shd w:val="clear" w:color="auto" w:fill="auto"/>
            <w:vAlign w:val="center"/>
          </w:tcPr>
          <w:p w14:paraId="2F8AEEEB">
            <w:pPr>
              <w:jc w:val="center"/>
              <w:rPr>
                <w:iCs/>
                <w:color w:val="auto"/>
                <w:sz w:val="18"/>
                <w:szCs w:val="18"/>
              </w:rPr>
            </w:pPr>
            <w:r>
              <w:rPr>
                <w:rFonts w:hint="eastAsia"/>
                <w:iCs/>
                <w:color w:val="auto"/>
                <w:sz w:val="18"/>
                <w:szCs w:val="18"/>
              </w:rPr>
              <w:t>2</w:t>
            </w:r>
          </w:p>
        </w:tc>
        <w:tc>
          <w:tcPr>
            <w:tcW w:w="709" w:type="dxa"/>
            <w:shd w:val="clear" w:color="auto" w:fill="auto"/>
            <w:vAlign w:val="center"/>
          </w:tcPr>
          <w:p w14:paraId="4E483D60">
            <w:pPr>
              <w:jc w:val="center"/>
              <w:rPr>
                <w:iCs/>
                <w:color w:val="auto"/>
                <w:sz w:val="18"/>
                <w:szCs w:val="18"/>
              </w:rPr>
            </w:pPr>
            <w:r>
              <w:rPr>
                <w:rFonts w:hint="eastAsia"/>
                <w:iCs/>
                <w:color w:val="auto"/>
                <w:sz w:val="18"/>
                <w:szCs w:val="18"/>
              </w:rPr>
              <w:t>1</w:t>
            </w:r>
          </w:p>
        </w:tc>
        <w:tc>
          <w:tcPr>
            <w:tcW w:w="1045" w:type="dxa"/>
            <w:shd w:val="clear" w:color="auto" w:fill="auto"/>
            <w:vAlign w:val="center"/>
          </w:tcPr>
          <w:p w14:paraId="028E0B66">
            <w:pPr>
              <w:jc w:val="center"/>
              <w:rPr>
                <w:iCs/>
                <w:color w:val="auto"/>
                <w:sz w:val="18"/>
                <w:szCs w:val="18"/>
              </w:rPr>
            </w:pPr>
            <w:r>
              <w:rPr>
                <w:rFonts w:hint="eastAsia"/>
                <w:iCs/>
                <w:color w:val="auto"/>
                <w:sz w:val="18"/>
                <w:szCs w:val="18"/>
              </w:rPr>
              <w:t>考试</w:t>
            </w:r>
          </w:p>
        </w:tc>
      </w:tr>
      <w:tr w14:paraId="2D3030B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6B353BF8">
            <w:pPr>
              <w:jc w:val="center"/>
              <w:rPr>
                <w:b/>
                <w:color w:val="auto"/>
                <w:sz w:val="18"/>
                <w:szCs w:val="18"/>
              </w:rPr>
            </w:pPr>
            <w:r>
              <w:rPr>
                <w:b/>
                <w:color w:val="auto"/>
                <w:sz w:val="18"/>
                <w:szCs w:val="18"/>
              </w:rPr>
              <w:t>非学位课</w:t>
            </w:r>
          </w:p>
        </w:tc>
        <w:tc>
          <w:tcPr>
            <w:tcW w:w="1504" w:type="dxa"/>
            <w:vMerge w:val="restart"/>
            <w:vAlign w:val="center"/>
          </w:tcPr>
          <w:p w14:paraId="79FA846D">
            <w:pPr>
              <w:jc w:val="center"/>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7DDD67B5">
            <w:pPr>
              <w:jc w:val="center"/>
              <w:rPr>
                <w:b/>
                <w:color w:val="auto"/>
                <w:sz w:val="18"/>
                <w:szCs w:val="18"/>
              </w:rPr>
            </w:pPr>
            <w:r>
              <w:rPr>
                <w:rFonts w:hint="eastAsia"/>
                <w:b/>
                <w:color w:val="auto"/>
                <w:sz w:val="18"/>
                <w:szCs w:val="18"/>
              </w:rPr>
              <w:t>（2学分）</w:t>
            </w:r>
          </w:p>
        </w:tc>
        <w:tc>
          <w:tcPr>
            <w:tcW w:w="3238" w:type="dxa"/>
            <w:vAlign w:val="center"/>
          </w:tcPr>
          <w:p w14:paraId="31B0E17B">
            <w:pPr>
              <w:rPr>
                <w:color w:val="auto"/>
                <w:sz w:val="18"/>
                <w:szCs w:val="18"/>
              </w:rPr>
            </w:pPr>
            <w:r>
              <w:rPr>
                <w:color w:val="auto"/>
                <w:sz w:val="18"/>
                <w:szCs w:val="18"/>
              </w:rPr>
              <w:t>《习近平谈治国理政》研读</w:t>
            </w:r>
          </w:p>
        </w:tc>
        <w:tc>
          <w:tcPr>
            <w:tcW w:w="1081" w:type="dxa"/>
            <w:vAlign w:val="center"/>
          </w:tcPr>
          <w:p w14:paraId="276ED30C">
            <w:pPr>
              <w:jc w:val="center"/>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6111C930">
            <w:pPr>
              <w:jc w:val="center"/>
              <w:rPr>
                <w:color w:val="auto"/>
                <w:sz w:val="18"/>
                <w:szCs w:val="18"/>
              </w:rPr>
            </w:pPr>
            <w:r>
              <w:rPr>
                <w:color w:val="auto"/>
                <w:sz w:val="18"/>
                <w:szCs w:val="18"/>
              </w:rPr>
              <w:t>1</w:t>
            </w:r>
          </w:p>
        </w:tc>
        <w:tc>
          <w:tcPr>
            <w:tcW w:w="709" w:type="dxa"/>
            <w:vAlign w:val="center"/>
          </w:tcPr>
          <w:p w14:paraId="2869CFE9">
            <w:pPr>
              <w:jc w:val="center"/>
              <w:rPr>
                <w:color w:val="auto"/>
                <w:sz w:val="18"/>
                <w:szCs w:val="18"/>
              </w:rPr>
            </w:pPr>
            <w:r>
              <w:rPr>
                <w:color w:val="auto"/>
                <w:sz w:val="18"/>
                <w:szCs w:val="18"/>
              </w:rPr>
              <w:t>2</w:t>
            </w:r>
          </w:p>
        </w:tc>
        <w:tc>
          <w:tcPr>
            <w:tcW w:w="1045" w:type="dxa"/>
            <w:vAlign w:val="center"/>
          </w:tcPr>
          <w:p w14:paraId="51BA80CD">
            <w:pPr>
              <w:jc w:val="center"/>
              <w:rPr>
                <w:color w:val="auto"/>
                <w:sz w:val="18"/>
                <w:szCs w:val="18"/>
              </w:rPr>
            </w:pPr>
            <w:r>
              <w:rPr>
                <w:rFonts w:hint="eastAsia"/>
                <w:color w:val="auto"/>
                <w:sz w:val="18"/>
                <w:szCs w:val="18"/>
              </w:rPr>
              <w:t>考查</w:t>
            </w:r>
          </w:p>
        </w:tc>
      </w:tr>
      <w:tr w14:paraId="2891E7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9CBDB8A">
            <w:pPr>
              <w:jc w:val="center"/>
              <w:rPr>
                <w:b/>
                <w:color w:val="auto"/>
                <w:sz w:val="18"/>
                <w:szCs w:val="18"/>
              </w:rPr>
            </w:pPr>
          </w:p>
        </w:tc>
        <w:tc>
          <w:tcPr>
            <w:tcW w:w="1504" w:type="dxa"/>
            <w:vMerge w:val="continue"/>
            <w:vAlign w:val="center"/>
          </w:tcPr>
          <w:p w14:paraId="2A4DF40A">
            <w:pPr>
              <w:jc w:val="center"/>
              <w:rPr>
                <w:b/>
                <w:color w:val="auto"/>
                <w:sz w:val="18"/>
                <w:szCs w:val="18"/>
              </w:rPr>
            </w:pPr>
          </w:p>
        </w:tc>
        <w:tc>
          <w:tcPr>
            <w:tcW w:w="3238" w:type="dxa"/>
            <w:vAlign w:val="center"/>
          </w:tcPr>
          <w:p w14:paraId="1C287B10">
            <w:pPr>
              <w:rPr>
                <w:color w:val="auto"/>
                <w:sz w:val="18"/>
                <w:szCs w:val="18"/>
              </w:rPr>
            </w:pPr>
            <w:r>
              <w:rPr>
                <w:color w:val="auto"/>
                <w:sz w:val="18"/>
                <w:szCs w:val="18"/>
              </w:rPr>
              <w:t>马克思主义与社会科学方法论</w:t>
            </w:r>
          </w:p>
        </w:tc>
        <w:tc>
          <w:tcPr>
            <w:tcW w:w="1081" w:type="dxa"/>
            <w:vAlign w:val="center"/>
          </w:tcPr>
          <w:p w14:paraId="4FC4E160">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6BC112C3">
            <w:pPr>
              <w:jc w:val="center"/>
              <w:rPr>
                <w:color w:val="auto"/>
                <w:sz w:val="18"/>
                <w:szCs w:val="18"/>
              </w:rPr>
            </w:pPr>
            <w:r>
              <w:rPr>
                <w:color w:val="auto"/>
                <w:sz w:val="18"/>
                <w:szCs w:val="18"/>
              </w:rPr>
              <w:t>1</w:t>
            </w:r>
          </w:p>
        </w:tc>
        <w:tc>
          <w:tcPr>
            <w:tcW w:w="709" w:type="dxa"/>
            <w:vAlign w:val="center"/>
          </w:tcPr>
          <w:p w14:paraId="08B374CE">
            <w:pPr>
              <w:jc w:val="center"/>
              <w:rPr>
                <w:color w:val="auto"/>
                <w:sz w:val="18"/>
                <w:szCs w:val="18"/>
              </w:rPr>
            </w:pPr>
            <w:r>
              <w:rPr>
                <w:color w:val="auto"/>
                <w:sz w:val="18"/>
                <w:szCs w:val="18"/>
              </w:rPr>
              <w:t>2</w:t>
            </w:r>
          </w:p>
        </w:tc>
        <w:tc>
          <w:tcPr>
            <w:tcW w:w="1045" w:type="dxa"/>
            <w:vAlign w:val="center"/>
          </w:tcPr>
          <w:p w14:paraId="1A190B99">
            <w:pPr>
              <w:jc w:val="center"/>
              <w:rPr>
                <w:color w:val="auto"/>
                <w:sz w:val="18"/>
                <w:szCs w:val="18"/>
              </w:rPr>
            </w:pPr>
            <w:r>
              <w:rPr>
                <w:rFonts w:hint="eastAsia"/>
                <w:color w:val="auto"/>
                <w:sz w:val="18"/>
                <w:szCs w:val="18"/>
              </w:rPr>
              <w:t>考查</w:t>
            </w:r>
          </w:p>
        </w:tc>
      </w:tr>
      <w:tr w14:paraId="723572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5B0CD23">
            <w:pPr>
              <w:rPr>
                <w:b/>
                <w:color w:val="auto"/>
                <w:sz w:val="18"/>
                <w:szCs w:val="18"/>
              </w:rPr>
            </w:pPr>
          </w:p>
        </w:tc>
        <w:tc>
          <w:tcPr>
            <w:tcW w:w="1504" w:type="dxa"/>
            <w:vMerge w:val="restart"/>
            <w:vAlign w:val="center"/>
          </w:tcPr>
          <w:p w14:paraId="23287EB8">
            <w:pPr>
              <w:adjustRightInd w:val="0"/>
              <w:snapToGrid w:val="0"/>
              <w:jc w:val="center"/>
              <w:rPr>
                <w:b/>
                <w:color w:val="auto"/>
                <w:sz w:val="18"/>
                <w:szCs w:val="18"/>
              </w:rPr>
            </w:pPr>
            <w:r>
              <w:rPr>
                <w:rFonts w:hint="eastAsia"/>
                <w:b/>
                <w:color w:val="auto"/>
                <w:sz w:val="18"/>
                <w:szCs w:val="18"/>
                <w:lang w:eastAsia="zh-CN"/>
              </w:rPr>
              <w:t>专业</w:t>
            </w:r>
            <w:r>
              <w:rPr>
                <w:rFonts w:hint="eastAsia"/>
                <w:b/>
                <w:color w:val="auto"/>
                <w:sz w:val="18"/>
                <w:szCs w:val="18"/>
              </w:rPr>
              <w:t>选修课</w:t>
            </w:r>
          </w:p>
        </w:tc>
        <w:tc>
          <w:tcPr>
            <w:tcW w:w="3238" w:type="dxa"/>
            <w:vAlign w:val="center"/>
          </w:tcPr>
          <w:p w14:paraId="434C5581">
            <w:pPr>
              <w:adjustRightInd w:val="0"/>
              <w:snapToGrid w:val="0"/>
              <w:rPr>
                <w:iCs/>
                <w:color w:val="auto"/>
                <w:sz w:val="18"/>
                <w:szCs w:val="18"/>
              </w:rPr>
            </w:pPr>
            <w:r>
              <w:rPr>
                <w:rFonts w:hint="eastAsia"/>
                <w:iCs/>
                <w:color w:val="auto"/>
                <w:sz w:val="18"/>
                <w:szCs w:val="18"/>
              </w:rPr>
              <w:t>民法总论专题</w:t>
            </w:r>
          </w:p>
        </w:tc>
        <w:tc>
          <w:tcPr>
            <w:tcW w:w="1081" w:type="dxa"/>
            <w:vAlign w:val="center"/>
          </w:tcPr>
          <w:p w14:paraId="7481C6D1">
            <w:pPr>
              <w:jc w:val="center"/>
              <w:rPr>
                <w:iCs/>
                <w:color w:val="auto"/>
                <w:sz w:val="18"/>
                <w:szCs w:val="18"/>
              </w:rPr>
            </w:pPr>
            <w:r>
              <w:rPr>
                <w:rFonts w:hint="eastAsia"/>
                <w:iCs/>
                <w:color w:val="auto"/>
                <w:sz w:val="18"/>
                <w:szCs w:val="18"/>
              </w:rPr>
              <w:t>XS07111</w:t>
            </w:r>
            <w:r>
              <w:rPr>
                <w:rFonts w:hint="eastAsia"/>
                <w:iCs/>
                <w:color w:val="auto"/>
                <w:sz w:val="18"/>
                <w:szCs w:val="18"/>
                <w:lang w:val="en-US" w:eastAsia="zh-CN"/>
              </w:rPr>
              <w:t>1</w:t>
            </w:r>
            <w:r>
              <w:rPr>
                <w:rFonts w:hint="eastAsia"/>
                <w:iCs/>
                <w:color w:val="auto"/>
                <w:sz w:val="18"/>
                <w:szCs w:val="18"/>
              </w:rPr>
              <w:t>1</w:t>
            </w:r>
          </w:p>
        </w:tc>
        <w:tc>
          <w:tcPr>
            <w:tcW w:w="709" w:type="dxa"/>
            <w:vAlign w:val="center"/>
          </w:tcPr>
          <w:p w14:paraId="7246C2EE">
            <w:pPr>
              <w:jc w:val="center"/>
              <w:rPr>
                <w:iCs/>
                <w:color w:val="auto"/>
                <w:sz w:val="18"/>
                <w:szCs w:val="18"/>
              </w:rPr>
            </w:pPr>
            <w:r>
              <w:rPr>
                <w:rFonts w:hint="eastAsia"/>
                <w:iCs/>
                <w:color w:val="auto"/>
                <w:sz w:val="18"/>
                <w:szCs w:val="18"/>
              </w:rPr>
              <w:t>3</w:t>
            </w:r>
          </w:p>
        </w:tc>
        <w:tc>
          <w:tcPr>
            <w:tcW w:w="709" w:type="dxa"/>
            <w:vAlign w:val="center"/>
          </w:tcPr>
          <w:p w14:paraId="7077A02D">
            <w:pPr>
              <w:jc w:val="center"/>
              <w:rPr>
                <w:iCs/>
                <w:color w:val="auto"/>
                <w:sz w:val="18"/>
                <w:szCs w:val="18"/>
              </w:rPr>
            </w:pPr>
            <w:r>
              <w:rPr>
                <w:rFonts w:hint="eastAsia"/>
                <w:iCs/>
                <w:color w:val="auto"/>
                <w:sz w:val="18"/>
                <w:szCs w:val="18"/>
              </w:rPr>
              <w:t>1</w:t>
            </w:r>
          </w:p>
        </w:tc>
        <w:tc>
          <w:tcPr>
            <w:tcW w:w="1045" w:type="dxa"/>
            <w:vMerge w:val="restart"/>
            <w:vAlign w:val="center"/>
          </w:tcPr>
          <w:p w14:paraId="490532D8">
            <w:pPr>
              <w:adjustRightInd w:val="0"/>
              <w:snapToGrid w:val="0"/>
              <w:spacing w:line="360" w:lineRule="auto"/>
              <w:jc w:val="center"/>
              <w:rPr>
                <w:color w:val="auto"/>
                <w:sz w:val="18"/>
                <w:szCs w:val="18"/>
              </w:rPr>
            </w:pPr>
            <w:r>
              <w:rPr>
                <w:color w:val="auto"/>
                <w:sz w:val="18"/>
                <w:szCs w:val="18"/>
              </w:rPr>
              <w:t>本方向研究生至少选修</w:t>
            </w:r>
          </w:p>
          <w:p w14:paraId="02A8D390">
            <w:pPr>
              <w:jc w:val="center"/>
              <w:rPr>
                <w:i/>
                <w:color w:val="auto"/>
                <w:sz w:val="15"/>
                <w:szCs w:val="15"/>
                <w:highlight w:val="yellow"/>
              </w:rPr>
            </w:pPr>
            <w:r>
              <w:rPr>
                <w:rFonts w:hint="eastAsia"/>
                <w:color w:val="auto"/>
                <w:sz w:val="18"/>
                <w:szCs w:val="18"/>
              </w:rPr>
              <w:t>10</w:t>
            </w:r>
            <w:r>
              <w:rPr>
                <w:color w:val="auto"/>
                <w:sz w:val="18"/>
                <w:szCs w:val="18"/>
              </w:rPr>
              <w:t>学分</w:t>
            </w:r>
          </w:p>
        </w:tc>
      </w:tr>
      <w:tr w14:paraId="3EAD0F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923A875">
            <w:pPr>
              <w:rPr>
                <w:b/>
                <w:color w:val="auto"/>
                <w:sz w:val="18"/>
                <w:szCs w:val="18"/>
              </w:rPr>
            </w:pPr>
          </w:p>
        </w:tc>
        <w:tc>
          <w:tcPr>
            <w:tcW w:w="1504" w:type="dxa"/>
            <w:vMerge w:val="continue"/>
          </w:tcPr>
          <w:p w14:paraId="39DB63C4">
            <w:pPr>
              <w:jc w:val="center"/>
              <w:rPr>
                <w:b/>
                <w:color w:val="auto"/>
                <w:sz w:val="18"/>
                <w:szCs w:val="18"/>
              </w:rPr>
            </w:pPr>
          </w:p>
        </w:tc>
        <w:tc>
          <w:tcPr>
            <w:tcW w:w="3238" w:type="dxa"/>
            <w:vAlign w:val="center"/>
          </w:tcPr>
          <w:p w14:paraId="4F2EC4C3">
            <w:pPr>
              <w:adjustRightInd w:val="0"/>
              <w:snapToGrid w:val="0"/>
              <w:rPr>
                <w:iCs/>
                <w:color w:val="auto"/>
                <w:sz w:val="18"/>
                <w:szCs w:val="18"/>
              </w:rPr>
            </w:pPr>
            <w:r>
              <w:rPr>
                <w:rFonts w:hint="eastAsia"/>
                <w:iCs/>
                <w:color w:val="auto"/>
                <w:sz w:val="18"/>
                <w:szCs w:val="18"/>
              </w:rPr>
              <w:t>民法分论专题一</w:t>
            </w:r>
          </w:p>
        </w:tc>
        <w:tc>
          <w:tcPr>
            <w:tcW w:w="1081" w:type="dxa"/>
            <w:vAlign w:val="center"/>
          </w:tcPr>
          <w:p w14:paraId="72B23168">
            <w:pPr>
              <w:jc w:val="center"/>
              <w:rPr>
                <w:iCs/>
                <w:color w:val="auto"/>
                <w:sz w:val="18"/>
                <w:szCs w:val="18"/>
              </w:rPr>
            </w:pPr>
            <w:r>
              <w:rPr>
                <w:rFonts w:hint="eastAsia"/>
                <w:iCs/>
                <w:color w:val="auto"/>
                <w:sz w:val="18"/>
                <w:szCs w:val="18"/>
              </w:rPr>
              <w:t>XS07111</w:t>
            </w:r>
            <w:r>
              <w:rPr>
                <w:rFonts w:hint="eastAsia"/>
                <w:iCs/>
                <w:color w:val="auto"/>
                <w:sz w:val="18"/>
                <w:szCs w:val="18"/>
                <w:lang w:val="en-US" w:eastAsia="zh-CN"/>
              </w:rPr>
              <w:t>1</w:t>
            </w:r>
            <w:r>
              <w:rPr>
                <w:rFonts w:hint="eastAsia"/>
                <w:iCs/>
                <w:color w:val="auto"/>
                <w:sz w:val="18"/>
                <w:szCs w:val="18"/>
              </w:rPr>
              <w:t>2</w:t>
            </w:r>
          </w:p>
        </w:tc>
        <w:tc>
          <w:tcPr>
            <w:tcW w:w="709" w:type="dxa"/>
            <w:vAlign w:val="center"/>
          </w:tcPr>
          <w:p w14:paraId="2ACA3CAE">
            <w:pPr>
              <w:jc w:val="center"/>
              <w:rPr>
                <w:iCs/>
                <w:color w:val="auto"/>
                <w:sz w:val="18"/>
                <w:szCs w:val="18"/>
              </w:rPr>
            </w:pPr>
            <w:r>
              <w:rPr>
                <w:rFonts w:hint="eastAsia"/>
                <w:iCs/>
                <w:color w:val="auto"/>
                <w:sz w:val="18"/>
                <w:szCs w:val="18"/>
              </w:rPr>
              <w:t>3</w:t>
            </w:r>
          </w:p>
        </w:tc>
        <w:tc>
          <w:tcPr>
            <w:tcW w:w="709" w:type="dxa"/>
            <w:vAlign w:val="center"/>
          </w:tcPr>
          <w:p w14:paraId="66081951">
            <w:pPr>
              <w:jc w:val="center"/>
              <w:rPr>
                <w:iCs/>
                <w:color w:val="auto"/>
                <w:sz w:val="18"/>
                <w:szCs w:val="18"/>
              </w:rPr>
            </w:pPr>
            <w:r>
              <w:rPr>
                <w:rFonts w:hint="eastAsia"/>
                <w:iCs/>
                <w:color w:val="auto"/>
                <w:sz w:val="18"/>
                <w:szCs w:val="18"/>
              </w:rPr>
              <w:t>2</w:t>
            </w:r>
          </w:p>
        </w:tc>
        <w:tc>
          <w:tcPr>
            <w:tcW w:w="1045" w:type="dxa"/>
            <w:vMerge w:val="continue"/>
            <w:vAlign w:val="center"/>
          </w:tcPr>
          <w:p w14:paraId="46F0C9B6">
            <w:pPr>
              <w:jc w:val="center"/>
              <w:rPr>
                <w:i/>
                <w:color w:val="auto"/>
                <w:sz w:val="15"/>
                <w:szCs w:val="15"/>
                <w:highlight w:val="yellow"/>
              </w:rPr>
            </w:pPr>
          </w:p>
        </w:tc>
      </w:tr>
      <w:tr w14:paraId="1EFAA9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B15D999">
            <w:pPr>
              <w:rPr>
                <w:b/>
                <w:color w:val="auto"/>
                <w:sz w:val="18"/>
                <w:szCs w:val="18"/>
              </w:rPr>
            </w:pPr>
          </w:p>
        </w:tc>
        <w:tc>
          <w:tcPr>
            <w:tcW w:w="1504" w:type="dxa"/>
            <w:vMerge w:val="continue"/>
          </w:tcPr>
          <w:p w14:paraId="08B5DC77">
            <w:pPr>
              <w:jc w:val="center"/>
              <w:rPr>
                <w:b/>
                <w:color w:val="auto"/>
                <w:sz w:val="18"/>
                <w:szCs w:val="18"/>
              </w:rPr>
            </w:pPr>
          </w:p>
        </w:tc>
        <w:tc>
          <w:tcPr>
            <w:tcW w:w="3238" w:type="dxa"/>
            <w:vAlign w:val="center"/>
          </w:tcPr>
          <w:p w14:paraId="60CE9D1F">
            <w:pPr>
              <w:adjustRightInd w:val="0"/>
              <w:snapToGrid w:val="0"/>
              <w:rPr>
                <w:iCs/>
                <w:color w:val="auto"/>
                <w:sz w:val="18"/>
                <w:szCs w:val="18"/>
              </w:rPr>
            </w:pPr>
            <w:r>
              <w:rPr>
                <w:rFonts w:hint="eastAsia"/>
                <w:iCs/>
                <w:color w:val="auto"/>
                <w:sz w:val="18"/>
                <w:szCs w:val="18"/>
              </w:rPr>
              <w:t>民法分论专题二</w:t>
            </w:r>
          </w:p>
        </w:tc>
        <w:tc>
          <w:tcPr>
            <w:tcW w:w="1081" w:type="dxa"/>
            <w:vAlign w:val="center"/>
          </w:tcPr>
          <w:p w14:paraId="204E75AD">
            <w:pPr>
              <w:jc w:val="center"/>
              <w:rPr>
                <w:iCs/>
                <w:color w:val="auto"/>
                <w:sz w:val="18"/>
                <w:szCs w:val="18"/>
              </w:rPr>
            </w:pPr>
            <w:r>
              <w:rPr>
                <w:rFonts w:hint="eastAsia"/>
                <w:iCs/>
                <w:color w:val="auto"/>
                <w:sz w:val="18"/>
                <w:szCs w:val="18"/>
              </w:rPr>
              <w:t>XS07111</w:t>
            </w:r>
            <w:r>
              <w:rPr>
                <w:rFonts w:hint="eastAsia"/>
                <w:iCs/>
                <w:color w:val="auto"/>
                <w:sz w:val="18"/>
                <w:szCs w:val="18"/>
                <w:lang w:val="en-US" w:eastAsia="zh-CN"/>
              </w:rPr>
              <w:t>1</w:t>
            </w:r>
            <w:r>
              <w:rPr>
                <w:rFonts w:hint="eastAsia"/>
                <w:iCs/>
                <w:color w:val="auto"/>
                <w:sz w:val="18"/>
                <w:szCs w:val="18"/>
              </w:rPr>
              <w:t>3</w:t>
            </w:r>
          </w:p>
        </w:tc>
        <w:tc>
          <w:tcPr>
            <w:tcW w:w="709" w:type="dxa"/>
            <w:vAlign w:val="center"/>
          </w:tcPr>
          <w:p w14:paraId="355FDF27">
            <w:pPr>
              <w:jc w:val="center"/>
              <w:rPr>
                <w:iCs/>
                <w:color w:val="auto"/>
                <w:sz w:val="18"/>
                <w:szCs w:val="18"/>
              </w:rPr>
            </w:pPr>
            <w:r>
              <w:rPr>
                <w:rFonts w:hint="eastAsia"/>
                <w:iCs/>
                <w:color w:val="auto"/>
                <w:sz w:val="18"/>
                <w:szCs w:val="18"/>
              </w:rPr>
              <w:t>2</w:t>
            </w:r>
          </w:p>
        </w:tc>
        <w:tc>
          <w:tcPr>
            <w:tcW w:w="709" w:type="dxa"/>
            <w:vAlign w:val="center"/>
          </w:tcPr>
          <w:p w14:paraId="3215E888">
            <w:pPr>
              <w:jc w:val="center"/>
              <w:rPr>
                <w:iCs/>
                <w:color w:val="auto"/>
                <w:sz w:val="18"/>
                <w:szCs w:val="18"/>
              </w:rPr>
            </w:pPr>
            <w:r>
              <w:rPr>
                <w:rFonts w:hint="eastAsia"/>
                <w:iCs/>
                <w:color w:val="auto"/>
                <w:sz w:val="18"/>
                <w:szCs w:val="18"/>
              </w:rPr>
              <w:t>3</w:t>
            </w:r>
          </w:p>
        </w:tc>
        <w:tc>
          <w:tcPr>
            <w:tcW w:w="1045" w:type="dxa"/>
            <w:vMerge w:val="continue"/>
            <w:vAlign w:val="center"/>
          </w:tcPr>
          <w:p w14:paraId="648581EB">
            <w:pPr>
              <w:jc w:val="center"/>
              <w:rPr>
                <w:i/>
                <w:color w:val="auto"/>
                <w:sz w:val="15"/>
                <w:szCs w:val="15"/>
                <w:highlight w:val="yellow"/>
              </w:rPr>
            </w:pPr>
          </w:p>
        </w:tc>
      </w:tr>
      <w:tr w14:paraId="7FC862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A68D78F">
            <w:pPr>
              <w:rPr>
                <w:b/>
                <w:color w:val="auto"/>
                <w:sz w:val="18"/>
                <w:szCs w:val="18"/>
              </w:rPr>
            </w:pPr>
          </w:p>
        </w:tc>
        <w:tc>
          <w:tcPr>
            <w:tcW w:w="1504" w:type="dxa"/>
            <w:vMerge w:val="continue"/>
          </w:tcPr>
          <w:p w14:paraId="6E7D66D0">
            <w:pPr>
              <w:jc w:val="center"/>
              <w:rPr>
                <w:b/>
                <w:color w:val="auto"/>
                <w:sz w:val="18"/>
                <w:szCs w:val="18"/>
              </w:rPr>
            </w:pPr>
          </w:p>
        </w:tc>
        <w:tc>
          <w:tcPr>
            <w:tcW w:w="3238" w:type="dxa"/>
            <w:vAlign w:val="center"/>
          </w:tcPr>
          <w:p w14:paraId="435AA987">
            <w:pPr>
              <w:adjustRightInd w:val="0"/>
              <w:snapToGrid w:val="0"/>
              <w:rPr>
                <w:iCs/>
                <w:color w:val="auto"/>
                <w:sz w:val="18"/>
                <w:szCs w:val="18"/>
              </w:rPr>
            </w:pPr>
            <w:r>
              <w:rPr>
                <w:rFonts w:hint="eastAsia"/>
                <w:iCs/>
                <w:color w:val="auto"/>
                <w:sz w:val="18"/>
                <w:szCs w:val="18"/>
              </w:rPr>
              <w:t>商法总论和公司法专题</w:t>
            </w:r>
          </w:p>
        </w:tc>
        <w:tc>
          <w:tcPr>
            <w:tcW w:w="1081" w:type="dxa"/>
            <w:vAlign w:val="center"/>
          </w:tcPr>
          <w:p w14:paraId="6CFBEA6E">
            <w:pPr>
              <w:jc w:val="center"/>
              <w:rPr>
                <w:iCs/>
                <w:color w:val="auto"/>
                <w:sz w:val="18"/>
                <w:szCs w:val="18"/>
              </w:rPr>
            </w:pPr>
            <w:r>
              <w:rPr>
                <w:rFonts w:hint="eastAsia"/>
                <w:iCs/>
                <w:color w:val="auto"/>
                <w:sz w:val="18"/>
                <w:szCs w:val="18"/>
              </w:rPr>
              <w:t>XS07111</w:t>
            </w:r>
            <w:r>
              <w:rPr>
                <w:rFonts w:hint="eastAsia"/>
                <w:iCs/>
                <w:color w:val="auto"/>
                <w:sz w:val="18"/>
                <w:szCs w:val="18"/>
                <w:lang w:val="en-US" w:eastAsia="zh-CN"/>
              </w:rPr>
              <w:t>1</w:t>
            </w:r>
            <w:r>
              <w:rPr>
                <w:rFonts w:hint="eastAsia"/>
                <w:iCs/>
                <w:color w:val="auto"/>
                <w:sz w:val="18"/>
                <w:szCs w:val="18"/>
              </w:rPr>
              <w:t>4</w:t>
            </w:r>
          </w:p>
        </w:tc>
        <w:tc>
          <w:tcPr>
            <w:tcW w:w="709" w:type="dxa"/>
            <w:vAlign w:val="center"/>
          </w:tcPr>
          <w:p w14:paraId="624D2E11">
            <w:pPr>
              <w:jc w:val="center"/>
              <w:rPr>
                <w:iCs/>
                <w:color w:val="auto"/>
                <w:sz w:val="18"/>
                <w:szCs w:val="18"/>
              </w:rPr>
            </w:pPr>
            <w:r>
              <w:rPr>
                <w:rFonts w:hint="eastAsia"/>
                <w:iCs/>
                <w:color w:val="auto"/>
                <w:sz w:val="18"/>
                <w:szCs w:val="18"/>
              </w:rPr>
              <w:t>3</w:t>
            </w:r>
          </w:p>
        </w:tc>
        <w:tc>
          <w:tcPr>
            <w:tcW w:w="709" w:type="dxa"/>
            <w:vAlign w:val="center"/>
          </w:tcPr>
          <w:p w14:paraId="6A2D4B7B">
            <w:pPr>
              <w:jc w:val="center"/>
              <w:rPr>
                <w:iCs/>
                <w:color w:val="auto"/>
                <w:sz w:val="18"/>
                <w:szCs w:val="18"/>
              </w:rPr>
            </w:pPr>
            <w:r>
              <w:rPr>
                <w:rFonts w:hint="eastAsia"/>
                <w:iCs/>
                <w:color w:val="auto"/>
                <w:sz w:val="18"/>
                <w:szCs w:val="18"/>
              </w:rPr>
              <w:t>1</w:t>
            </w:r>
          </w:p>
        </w:tc>
        <w:tc>
          <w:tcPr>
            <w:tcW w:w="1045" w:type="dxa"/>
            <w:vMerge w:val="continue"/>
            <w:vAlign w:val="center"/>
          </w:tcPr>
          <w:p w14:paraId="7068EBF2">
            <w:pPr>
              <w:jc w:val="center"/>
              <w:rPr>
                <w:i/>
                <w:color w:val="auto"/>
                <w:sz w:val="15"/>
                <w:szCs w:val="15"/>
                <w:highlight w:val="yellow"/>
              </w:rPr>
            </w:pPr>
          </w:p>
        </w:tc>
      </w:tr>
      <w:tr w14:paraId="74ABFB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E9056D3">
            <w:pPr>
              <w:rPr>
                <w:b/>
                <w:color w:val="auto"/>
                <w:sz w:val="18"/>
                <w:szCs w:val="18"/>
              </w:rPr>
            </w:pPr>
          </w:p>
        </w:tc>
        <w:tc>
          <w:tcPr>
            <w:tcW w:w="1504" w:type="dxa"/>
            <w:vMerge w:val="continue"/>
          </w:tcPr>
          <w:p w14:paraId="5E7C6BE0">
            <w:pPr>
              <w:jc w:val="center"/>
              <w:rPr>
                <w:b/>
                <w:color w:val="auto"/>
                <w:sz w:val="18"/>
                <w:szCs w:val="18"/>
              </w:rPr>
            </w:pPr>
          </w:p>
        </w:tc>
        <w:tc>
          <w:tcPr>
            <w:tcW w:w="3238" w:type="dxa"/>
            <w:vAlign w:val="center"/>
          </w:tcPr>
          <w:p w14:paraId="1865BA85">
            <w:pPr>
              <w:adjustRightInd w:val="0"/>
              <w:snapToGrid w:val="0"/>
              <w:rPr>
                <w:iCs/>
                <w:color w:val="auto"/>
                <w:sz w:val="18"/>
                <w:szCs w:val="18"/>
              </w:rPr>
            </w:pPr>
            <w:r>
              <w:rPr>
                <w:rFonts w:hint="eastAsia"/>
                <w:iCs/>
                <w:color w:val="auto"/>
                <w:sz w:val="18"/>
                <w:szCs w:val="18"/>
              </w:rPr>
              <w:t>商行为法专题</w:t>
            </w:r>
          </w:p>
        </w:tc>
        <w:tc>
          <w:tcPr>
            <w:tcW w:w="1081" w:type="dxa"/>
            <w:vAlign w:val="center"/>
          </w:tcPr>
          <w:p w14:paraId="4FF9B1C7">
            <w:pPr>
              <w:jc w:val="center"/>
              <w:rPr>
                <w:iCs/>
                <w:color w:val="auto"/>
                <w:sz w:val="18"/>
                <w:szCs w:val="18"/>
              </w:rPr>
            </w:pPr>
            <w:r>
              <w:rPr>
                <w:rFonts w:hint="eastAsia"/>
                <w:iCs/>
                <w:color w:val="auto"/>
                <w:sz w:val="18"/>
                <w:szCs w:val="18"/>
              </w:rPr>
              <w:t>XS07111</w:t>
            </w:r>
            <w:r>
              <w:rPr>
                <w:rFonts w:hint="eastAsia"/>
                <w:iCs/>
                <w:color w:val="auto"/>
                <w:sz w:val="18"/>
                <w:szCs w:val="18"/>
                <w:lang w:val="en-US" w:eastAsia="zh-CN"/>
              </w:rPr>
              <w:t>1</w:t>
            </w:r>
            <w:r>
              <w:rPr>
                <w:rFonts w:hint="eastAsia"/>
                <w:iCs/>
                <w:color w:val="auto"/>
                <w:sz w:val="18"/>
                <w:szCs w:val="18"/>
              </w:rPr>
              <w:t>5</w:t>
            </w:r>
          </w:p>
        </w:tc>
        <w:tc>
          <w:tcPr>
            <w:tcW w:w="709" w:type="dxa"/>
            <w:vAlign w:val="center"/>
          </w:tcPr>
          <w:p w14:paraId="61C2C8F7">
            <w:pPr>
              <w:jc w:val="center"/>
              <w:rPr>
                <w:iCs/>
                <w:color w:val="auto"/>
                <w:sz w:val="18"/>
                <w:szCs w:val="18"/>
              </w:rPr>
            </w:pPr>
            <w:r>
              <w:rPr>
                <w:rFonts w:hint="eastAsia"/>
                <w:iCs/>
                <w:color w:val="auto"/>
                <w:sz w:val="18"/>
                <w:szCs w:val="18"/>
              </w:rPr>
              <w:t>2</w:t>
            </w:r>
          </w:p>
        </w:tc>
        <w:tc>
          <w:tcPr>
            <w:tcW w:w="709" w:type="dxa"/>
            <w:vAlign w:val="center"/>
          </w:tcPr>
          <w:p w14:paraId="0B4392B7">
            <w:pPr>
              <w:jc w:val="center"/>
              <w:rPr>
                <w:iCs/>
                <w:color w:val="auto"/>
                <w:sz w:val="18"/>
                <w:szCs w:val="18"/>
              </w:rPr>
            </w:pPr>
            <w:r>
              <w:rPr>
                <w:rFonts w:hint="eastAsia"/>
                <w:iCs/>
                <w:color w:val="auto"/>
                <w:sz w:val="18"/>
                <w:szCs w:val="18"/>
              </w:rPr>
              <w:t>3</w:t>
            </w:r>
          </w:p>
        </w:tc>
        <w:tc>
          <w:tcPr>
            <w:tcW w:w="1045" w:type="dxa"/>
            <w:vMerge w:val="continue"/>
            <w:vAlign w:val="center"/>
          </w:tcPr>
          <w:p w14:paraId="676287BF">
            <w:pPr>
              <w:jc w:val="center"/>
              <w:rPr>
                <w:i/>
                <w:color w:val="auto"/>
                <w:sz w:val="15"/>
                <w:szCs w:val="15"/>
                <w:highlight w:val="yellow"/>
              </w:rPr>
            </w:pPr>
          </w:p>
        </w:tc>
      </w:tr>
      <w:tr w14:paraId="602916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A752E67">
            <w:pPr>
              <w:rPr>
                <w:b/>
                <w:color w:val="auto"/>
                <w:sz w:val="18"/>
                <w:szCs w:val="18"/>
              </w:rPr>
            </w:pPr>
          </w:p>
        </w:tc>
        <w:tc>
          <w:tcPr>
            <w:tcW w:w="1504" w:type="dxa"/>
            <w:vMerge w:val="continue"/>
          </w:tcPr>
          <w:p w14:paraId="50207F27">
            <w:pPr>
              <w:jc w:val="center"/>
              <w:rPr>
                <w:b/>
                <w:color w:val="auto"/>
                <w:sz w:val="18"/>
                <w:szCs w:val="18"/>
              </w:rPr>
            </w:pPr>
          </w:p>
        </w:tc>
        <w:tc>
          <w:tcPr>
            <w:tcW w:w="3238" w:type="dxa"/>
            <w:vAlign w:val="center"/>
          </w:tcPr>
          <w:p w14:paraId="0AE62A65">
            <w:pPr>
              <w:adjustRightInd w:val="0"/>
              <w:snapToGrid w:val="0"/>
              <w:rPr>
                <w:iCs/>
                <w:color w:val="auto"/>
                <w:sz w:val="18"/>
                <w:szCs w:val="18"/>
              </w:rPr>
            </w:pPr>
            <w:r>
              <w:rPr>
                <w:rFonts w:hint="eastAsia"/>
                <w:iCs/>
                <w:color w:val="auto"/>
                <w:sz w:val="18"/>
                <w:szCs w:val="18"/>
              </w:rPr>
              <w:t>知识产权法专题</w:t>
            </w:r>
          </w:p>
        </w:tc>
        <w:tc>
          <w:tcPr>
            <w:tcW w:w="1081" w:type="dxa"/>
            <w:vAlign w:val="center"/>
          </w:tcPr>
          <w:p w14:paraId="79A582CC">
            <w:pPr>
              <w:jc w:val="center"/>
              <w:rPr>
                <w:iCs/>
                <w:color w:val="auto"/>
                <w:sz w:val="18"/>
                <w:szCs w:val="18"/>
              </w:rPr>
            </w:pPr>
            <w:r>
              <w:rPr>
                <w:rFonts w:hint="eastAsia"/>
                <w:iCs/>
                <w:color w:val="auto"/>
                <w:sz w:val="18"/>
                <w:szCs w:val="18"/>
              </w:rPr>
              <w:t>XS07111</w:t>
            </w:r>
            <w:r>
              <w:rPr>
                <w:rFonts w:hint="eastAsia"/>
                <w:iCs/>
                <w:color w:val="auto"/>
                <w:sz w:val="18"/>
                <w:szCs w:val="18"/>
                <w:lang w:val="en-US" w:eastAsia="zh-CN"/>
              </w:rPr>
              <w:t>1</w:t>
            </w:r>
            <w:r>
              <w:rPr>
                <w:rFonts w:hint="eastAsia"/>
                <w:iCs/>
                <w:color w:val="auto"/>
                <w:sz w:val="18"/>
                <w:szCs w:val="18"/>
              </w:rPr>
              <w:t>6</w:t>
            </w:r>
          </w:p>
        </w:tc>
        <w:tc>
          <w:tcPr>
            <w:tcW w:w="709" w:type="dxa"/>
            <w:vAlign w:val="center"/>
          </w:tcPr>
          <w:p w14:paraId="1AC00735">
            <w:pPr>
              <w:jc w:val="center"/>
              <w:rPr>
                <w:iCs/>
                <w:color w:val="auto"/>
                <w:sz w:val="18"/>
                <w:szCs w:val="18"/>
              </w:rPr>
            </w:pPr>
            <w:r>
              <w:rPr>
                <w:rFonts w:hint="eastAsia"/>
                <w:iCs/>
                <w:color w:val="auto"/>
                <w:sz w:val="18"/>
                <w:szCs w:val="18"/>
              </w:rPr>
              <w:t>3</w:t>
            </w:r>
          </w:p>
        </w:tc>
        <w:tc>
          <w:tcPr>
            <w:tcW w:w="709" w:type="dxa"/>
            <w:vAlign w:val="center"/>
          </w:tcPr>
          <w:p w14:paraId="3EA9EFD1">
            <w:pPr>
              <w:jc w:val="center"/>
              <w:rPr>
                <w:iCs/>
                <w:color w:val="auto"/>
                <w:sz w:val="18"/>
                <w:szCs w:val="18"/>
              </w:rPr>
            </w:pPr>
            <w:r>
              <w:rPr>
                <w:rFonts w:hint="eastAsia"/>
                <w:iCs/>
                <w:color w:val="auto"/>
                <w:sz w:val="18"/>
                <w:szCs w:val="18"/>
              </w:rPr>
              <w:t>2</w:t>
            </w:r>
          </w:p>
        </w:tc>
        <w:tc>
          <w:tcPr>
            <w:tcW w:w="1045" w:type="dxa"/>
            <w:vMerge w:val="continue"/>
            <w:vAlign w:val="center"/>
          </w:tcPr>
          <w:p w14:paraId="7FC69A5D">
            <w:pPr>
              <w:jc w:val="center"/>
              <w:rPr>
                <w:i/>
                <w:color w:val="auto"/>
                <w:sz w:val="15"/>
                <w:szCs w:val="15"/>
                <w:highlight w:val="yellow"/>
              </w:rPr>
            </w:pPr>
          </w:p>
        </w:tc>
      </w:tr>
      <w:bookmarkEnd w:id="2"/>
      <w:tr w14:paraId="3927E6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20DB3349">
            <w:pPr>
              <w:jc w:val="center"/>
              <w:rPr>
                <w:b/>
                <w:color w:val="auto"/>
                <w:sz w:val="18"/>
                <w:szCs w:val="18"/>
              </w:rPr>
            </w:pPr>
            <w:r>
              <w:rPr>
                <w:b/>
                <w:color w:val="auto"/>
                <w:sz w:val="18"/>
                <w:szCs w:val="18"/>
              </w:rPr>
              <w:t>必</w:t>
            </w:r>
          </w:p>
          <w:p w14:paraId="0315FED2">
            <w:pPr>
              <w:jc w:val="center"/>
              <w:rPr>
                <w:b/>
                <w:color w:val="auto"/>
                <w:sz w:val="18"/>
                <w:szCs w:val="18"/>
              </w:rPr>
            </w:pPr>
            <w:r>
              <w:rPr>
                <w:b/>
                <w:color w:val="auto"/>
                <w:sz w:val="18"/>
                <w:szCs w:val="18"/>
              </w:rPr>
              <w:t>修</w:t>
            </w:r>
          </w:p>
          <w:p w14:paraId="5A76E3C2">
            <w:pPr>
              <w:jc w:val="center"/>
              <w:rPr>
                <w:b/>
                <w:color w:val="auto"/>
                <w:sz w:val="18"/>
                <w:szCs w:val="18"/>
              </w:rPr>
            </w:pPr>
            <w:r>
              <w:rPr>
                <w:b/>
                <w:color w:val="auto"/>
                <w:sz w:val="18"/>
                <w:szCs w:val="18"/>
              </w:rPr>
              <w:t>环</w:t>
            </w:r>
          </w:p>
          <w:p w14:paraId="26D22BB9">
            <w:pPr>
              <w:jc w:val="center"/>
              <w:rPr>
                <w:b/>
                <w:color w:val="auto"/>
                <w:sz w:val="18"/>
                <w:szCs w:val="18"/>
              </w:rPr>
            </w:pPr>
            <w:r>
              <w:rPr>
                <w:b/>
                <w:color w:val="auto"/>
                <w:sz w:val="18"/>
                <w:szCs w:val="18"/>
              </w:rPr>
              <w:t>节</w:t>
            </w:r>
          </w:p>
        </w:tc>
        <w:tc>
          <w:tcPr>
            <w:tcW w:w="1504" w:type="dxa"/>
            <w:vMerge w:val="restart"/>
            <w:vAlign w:val="center"/>
          </w:tcPr>
          <w:p w14:paraId="2FB92CA7">
            <w:pPr>
              <w:jc w:val="center"/>
              <w:rPr>
                <w:b/>
                <w:color w:val="auto"/>
                <w:sz w:val="18"/>
                <w:szCs w:val="18"/>
              </w:rPr>
            </w:pPr>
            <w:r>
              <w:rPr>
                <w:rFonts w:hint="eastAsia"/>
                <w:b/>
                <w:color w:val="auto"/>
                <w:sz w:val="18"/>
                <w:szCs w:val="18"/>
              </w:rPr>
              <w:t>素质拓展</w:t>
            </w:r>
          </w:p>
        </w:tc>
        <w:tc>
          <w:tcPr>
            <w:tcW w:w="3238" w:type="dxa"/>
            <w:vAlign w:val="center"/>
          </w:tcPr>
          <w:p w14:paraId="01F89CFE">
            <w:pPr>
              <w:rPr>
                <w:color w:val="auto"/>
                <w:sz w:val="18"/>
                <w:szCs w:val="18"/>
              </w:rPr>
            </w:pPr>
            <w:r>
              <w:rPr>
                <w:color w:val="auto"/>
                <w:sz w:val="18"/>
                <w:szCs w:val="18"/>
              </w:rPr>
              <w:t>入学教育</w:t>
            </w:r>
          </w:p>
        </w:tc>
        <w:tc>
          <w:tcPr>
            <w:tcW w:w="1081" w:type="dxa"/>
            <w:vAlign w:val="center"/>
          </w:tcPr>
          <w:p w14:paraId="78378731">
            <w:pPr>
              <w:jc w:val="center"/>
              <w:rPr>
                <w:color w:val="auto"/>
                <w:sz w:val="18"/>
                <w:szCs w:val="18"/>
              </w:rPr>
            </w:pPr>
          </w:p>
        </w:tc>
        <w:tc>
          <w:tcPr>
            <w:tcW w:w="709" w:type="dxa"/>
            <w:vAlign w:val="center"/>
          </w:tcPr>
          <w:p w14:paraId="6E5E016C">
            <w:pPr>
              <w:jc w:val="center"/>
              <w:rPr>
                <w:color w:val="auto"/>
                <w:sz w:val="18"/>
                <w:szCs w:val="18"/>
              </w:rPr>
            </w:pPr>
          </w:p>
        </w:tc>
        <w:tc>
          <w:tcPr>
            <w:tcW w:w="709" w:type="dxa"/>
            <w:vAlign w:val="center"/>
          </w:tcPr>
          <w:p w14:paraId="4E322AD1">
            <w:pPr>
              <w:jc w:val="center"/>
              <w:rPr>
                <w:color w:val="auto"/>
                <w:sz w:val="18"/>
                <w:szCs w:val="18"/>
              </w:rPr>
            </w:pPr>
            <w:r>
              <w:rPr>
                <w:rFonts w:hint="eastAsia"/>
                <w:color w:val="auto"/>
                <w:sz w:val="18"/>
                <w:szCs w:val="18"/>
              </w:rPr>
              <w:t>1</w:t>
            </w:r>
          </w:p>
        </w:tc>
        <w:tc>
          <w:tcPr>
            <w:tcW w:w="1045" w:type="dxa"/>
            <w:vMerge w:val="restart"/>
            <w:vAlign w:val="center"/>
          </w:tcPr>
          <w:p w14:paraId="74E1D8EC">
            <w:pPr>
              <w:adjustRightInd w:val="0"/>
              <w:snapToGrid w:val="0"/>
              <w:jc w:val="center"/>
              <w:rPr>
                <w:i/>
                <w:color w:val="auto"/>
                <w:sz w:val="18"/>
                <w:szCs w:val="18"/>
              </w:rPr>
            </w:pPr>
          </w:p>
        </w:tc>
      </w:tr>
      <w:tr w14:paraId="20EE5B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19FAB84">
            <w:pPr>
              <w:jc w:val="center"/>
              <w:rPr>
                <w:b/>
                <w:color w:val="auto"/>
                <w:sz w:val="18"/>
                <w:szCs w:val="18"/>
              </w:rPr>
            </w:pPr>
          </w:p>
        </w:tc>
        <w:tc>
          <w:tcPr>
            <w:tcW w:w="1504" w:type="dxa"/>
            <w:vMerge w:val="continue"/>
            <w:vAlign w:val="center"/>
          </w:tcPr>
          <w:p w14:paraId="4BE0F783">
            <w:pPr>
              <w:jc w:val="center"/>
              <w:rPr>
                <w:b/>
                <w:color w:val="auto"/>
                <w:sz w:val="18"/>
                <w:szCs w:val="18"/>
              </w:rPr>
            </w:pPr>
          </w:p>
        </w:tc>
        <w:tc>
          <w:tcPr>
            <w:tcW w:w="3238" w:type="dxa"/>
            <w:shd w:val="clear" w:color="auto" w:fill="auto"/>
            <w:vAlign w:val="center"/>
          </w:tcPr>
          <w:p w14:paraId="69F17108">
            <w:pPr>
              <w:rPr>
                <w:color w:val="auto"/>
                <w:sz w:val="18"/>
                <w:szCs w:val="18"/>
              </w:rPr>
            </w:pPr>
            <w:r>
              <w:rPr>
                <w:color w:val="auto"/>
                <w:sz w:val="18"/>
                <w:szCs w:val="18"/>
              </w:rPr>
              <w:t>学术活动</w:t>
            </w:r>
          </w:p>
        </w:tc>
        <w:tc>
          <w:tcPr>
            <w:tcW w:w="1081" w:type="dxa"/>
            <w:shd w:val="clear" w:color="auto" w:fill="auto"/>
            <w:vAlign w:val="center"/>
          </w:tcPr>
          <w:p w14:paraId="04DFA7F2">
            <w:pPr>
              <w:jc w:val="center"/>
              <w:rPr>
                <w:color w:val="auto"/>
                <w:sz w:val="18"/>
                <w:szCs w:val="18"/>
              </w:rPr>
            </w:pPr>
          </w:p>
        </w:tc>
        <w:tc>
          <w:tcPr>
            <w:tcW w:w="709" w:type="dxa"/>
            <w:shd w:val="clear" w:color="auto" w:fill="auto"/>
            <w:vAlign w:val="center"/>
          </w:tcPr>
          <w:p w14:paraId="6A5A1A1D">
            <w:pPr>
              <w:jc w:val="center"/>
              <w:rPr>
                <w:color w:val="auto"/>
                <w:sz w:val="18"/>
                <w:szCs w:val="18"/>
              </w:rPr>
            </w:pPr>
            <w:r>
              <w:rPr>
                <w:rFonts w:hint="eastAsia"/>
                <w:color w:val="auto"/>
                <w:sz w:val="18"/>
                <w:szCs w:val="18"/>
              </w:rPr>
              <w:t>1</w:t>
            </w:r>
          </w:p>
        </w:tc>
        <w:tc>
          <w:tcPr>
            <w:tcW w:w="709" w:type="dxa"/>
            <w:shd w:val="clear" w:color="auto" w:fill="auto"/>
            <w:vAlign w:val="center"/>
          </w:tcPr>
          <w:p w14:paraId="5DCD509C">
            <w:pPr>
              <w:jc w:val="center"/>
              <w:rPr>
                <w:color w:val="auto"/>
                <w:sz w:val="18"/>
                <w:szCs w:val="18"/>
              </w:rPr>
            </w:pPr>
            <w:r>
              <w:rPr>
                <w:rFonts w:hint="eastAsia"/>
                <w:color w:val="auto"/>
                <w:sz w:val="18"/>
                <w:szCs w:val="18"/>
              </w:rPr>
              <w:t>1-5</w:t>
            </w:r>
          </w:p>
        </w:tc>
        <w:tc>
          <w:tcPr>
            <w:tcW w:w="1045" w:type="dxa"/>
            <w:vMerge w:val="continue"/>
            <w:vAlign w:val="center"/>
          </w:tcPr>
          <w:p w14:paraId="4BB9DDE7">
            <w:pPr>
              <w:jc w:val="center"/>
              <w:rPr>
                <w:color w:val="auto"/>
                <w:sz w:val="18"/>
                <w:szCs w:val="18"/>
              </w:rPr>
            </w:pPr>
          </w:p>
        </w:tc>
      </w:tr>
      <w:tr w14:paraId="759530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FE6FB91">
            <w:pPr>
              <w:rPr>
                <w:b/>
                <w:color w:val="auto"/>
                <w:sz w:val="18"/>
                <w:szCs w:val="18"/>
              </w:rPr>
            </w:pPr>
          </w:p>
        </w:tc>
        <w:tc>
          <w:tcPr>
            <w:tcW w:w="1504" w:type="dxa"/>
            <w:vMerge w:val="restart"/>
            <w:vAlign w:val="center"/>
          </w:tcPr>
          <w:p w14:paraId="55275C4D">
            <w:pPr>
              <w:jc w:val="center"/>
              <w:rPr>
                <w:b/>
                <w:color w:val="auto"/>
                <w:sz w:val="18"/>
                <w:szCs w:val="18"/>
              </w:rPr>
            </w:pPr>
            <w:r>
              <w:rPr>
                <w:rFonts w:hint="eastAsia"/>
                <w:b/>
                <w:color w:val="auto"/>
                <w:sz w:val="18"/>
                <w:szCs w:val="18"/>
              </w:rPr>
              <w:t>学术训练</w:t>
            </w:r>
          </w:p>
        </w:tc>
        <w:tc>
          <w:tcPr>
            <w:tcW w:w="3238" w:type="dxa"/>
            <w:shd w:val="clear" w:color="auto" w:fill="auto"/>
            <w:vAlign w:val="center"/>
          </w:tcPr>
          <w:p w14:paraId="6EE8D41D">
            <w:pPr>
              <w:rPr>
                <w:color w:val="auto"/>
                <w:sz w:val="18"/>
                <w:szCs w:val="18"/>
              </w:rPr>
            </w:pPr>
            <w:r>
              <w:rPr>
                <w:color w:val="auto"/>
                <w:sz w:val="18"/>
                <w:szCs w:val="18"/>
              </w:rPr>
              <w:t>中期筛选</w:t>
            </w:r>
          </w:p>
        </w:tc>
        <w:tc>
          <w:tcPr>
            <w:tcW w:w="1081" w:type="dxa"/>
            <w:shd w:val="clear" w:color="auto" w:fill="auto"/>
            <w:vAlign w:val="center"/>
          </w:tcPr>
          <w:p w14:paraId="5787B67E">
            <w:pPr>
              <w:jc w:val="center"/>
              <w:rPr>
                <w:color w:val="auto"/>
                <w:sz w:val="18"/>
                <w:szCs w:val="18"/>
              </w:rPr>
            </w:pPr>
          </w:p>
        </w:tc>
        <w:tc>
          <w:tcPr>
            <w:tcW w:w="709" w:type="dxa"/>
            <w:shd w:val="clear" w:color="auto" w:fill="auto"/>
            <w:vAlign w:val="center"/>
          </w:tcPr>
          <w:p w14:paraId="299009AC">
            <w:pPr>
              <w:jc w:val="center"/>
              <w:rPr>
                <w:color w:val="auto"/>
                <w:sz w:val="18"/>
                <w:szCs w:val="18"/>
              </w:rPr>
            </w:pPr>
          </w:p>
        </w:tc>
        <w:tc>
          <w:tcPr>
            <w:tcW w:w="709" w:type="dxa"/>
            <w:shd w:val="clear" w:color="auto" w:fill="auto"/>
            <w:vAlign w:val="center"/>
          </w:tcPr>
          <w:p w14:paraId="6DF092E4">
            <w:pPr>
              <w:jc w:val="center"/>
              <w:rPr>
                <w:rFonts w:hint="eastAsia" w:eastAsia="宋体"/>
                <w:color w:val="auto"/>
                <w:sz w:val="18"/>
                <w:szCs w:val="18"/>
                <w:lang w:eastAsia="zh-CN"/>
              </w:rPr>
            </w:pPr>
            <w:r>
              <w:rPr>
                <w:rFonts w:hint="eastAsia"/>
                <w:color w:val="auto"/>
                <w:sz w:val="18"/>
                <w:szCs w:val="18"/>
                <w:lang w:val="en-US" w:eastAsia="zh-CN"/>
              </w:rPr>
              <w:t>4</w:t>
            </w:r>
          </w:p>
        </w:tc>
        <w:tc>
          <w:tcPr>
            <w:tcW w:w="1045" w:type="dxa"/>
            <w:vMerge w:val="restart"/>
            <w:vAlign w:val="center"/>
          </w:tcPr>
          <w:p w14:paraId="7253AF83">
            <w:pPr>
              <w:jc w:val="center"/>
              <w:rPr>
                <w:color w:val="auto"/>
                <w:sz w:val="18"/>
                <w:szCs w:val="18"/>
              </w:rPr>
            </w:pPr>
            <w:r>
              <w:rPr>
                <w:color w:val="auto"/>
                <w:sz w:val="18"/>
                <w:szCs w:val="18"/>
              </w:rPr>
              <w:t>过程管理</w:t>
            </w:r>
          </w:p>
          <w:p w14:paraId="54B4F894">
            <w:pPr>
              <w:jc w:val="center"/>
              <w:rPr>
                <w:color w:val="auto"/>
                <w:sz w:val="18"/>
                <w:szCs w:val="18"/>
              </w:rPr>
            </w:pPr>
            <w:r>
              <w:rPr>
                <w:color w:val="auto"/>
                <w:sz w:val="18"/>
                <w:szCs w:val="18"/>
              </w:rPr>
              <w:t>无学分</w:t>
            </w:r>
          </w:p>
        </w:tc>
      </w:tr>
      <w:tr w14:paraId="357820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AD7CFC0">
            <w:pPr>
              <w:rPr>
                <w:b/>
                <w:color w:val="auto"/>
                <w:sz w:val="18"/>
                <w:szCs w:val="18"/>
              </w:rPr>
            </w:pPr>
          </w:p>
        </w:tc>
        <w:tc>
          <w:tcPr>
            <w:tcW w:w="1504" w:type="dxa"/>
            <w:vMerge w:val="continue"/>
            <w:vAlign w:val="center"/>
          </w:tcPr>
          <w:p w14:paraId="2D0B1488">
            <w:pPr>
              <w:jc w:val="center"/>
              <w:rPr>
                <w:b/>
                <w:color w:val="auto"/>
                <w:sz w:val="18"/>
                <w:szCs w:val="18"/>
              </w:rPr>
            </w:pPr>
          </w:p>
        </w:tc>
        <w:tc>
          <w:tcPr>
            <w:tcW w:w="3238" w:type="dxa"/>
            <w:vAlign w:val="center"/>
          </w:tcPr>
          <w:p w14:paraId="452CF5A6">
            <w:pPr>
              <w:rPr>
                <w:color w:val="auto"/>
                <w:sz w:val="18"/>
                <w:szCs w:val="18"/>
              </w:rPr>
            </w:pPr>
            <w:r>
              <w:rPr>
                <w:color w:val="auto"/>
                <w:sz w:val="18"/>
                <w:szCs w:val="18"/>
              </w:rPr>
              <w:t>论文开题</w:t>
            </w:r>
          </w:p>
        </w:tc>
        <w:tc>
          <w:tcPr>
            <w:tcW w:w="1081" w:type="dxa"/>
            <w:vAlign w:val="center"/>
          </w:tcPr>
          <w:p w14:paraId="7F36FBBC">
            <w:pPr>
              <w:jc w:val="center"/>
              <w:rPr>
                <w:color w:val="auto"/>
                <w:sz w:val="18"/>
                <w:szCs w:val="18"/>
              </w:rPr>
            </w:pPr>
          </w:p>
        </w:tc>
        <w:tc>
          <w:tcPr>
            <w:tcW w:w="709" w:type="dxa"/>
            <w:vAlign w:val="center"/>
          </w:tcPr>
          <w:p w14:paraId="0B178C42">
            <w:pPr>
              <w:jc w:val="center"/>
              <w:rPr>
                <w:color w:val="auto"/>
                <w:sz w:val="18"/>
                <w:szCs w:val="18"/>
              </w:rPr>
            </w:pPr>
          </w:p>
        </w:tc>
        <w:tc>
          <w:tcPr>
            <w:tcW w:w="709" w:type="dxa"/>
            <w:vAlign w:val="center"/>
          </w:tcPr>
          <w:p w14:paraId="601B4662">
            <w:pPr>
              <w:jc w:val="center"/>
              <w:rPr>
                <w:color w:val="auto"/>
                <w:sz w:val="18"/>
                <w:szCs w:val="18"/>
              </w:rPr>
            </w:pPr>
            <w:r>
              <w:rPr>
                <w:rFonts w:hint="eastAsia"/>
                <w:color w:val="auto"/>
                <w:sz w:val="18"/>
                <w:szCs w:val="18"/>
              </w:rPr>
              <w:t>4</w:t>
            </w:r>
          </w:p>
        </w:tc>
        <w:tc>
          <w:tcPr>
            <w:tcW w:w="1045" w:type="dxa"/>
            <w:vMerge w:val="continue"/>
            <w:vAlign w:val="center"/>
          </w:tcPr>
          <w:p w14:paraId="367BD0CE">
            <w:pPr>
              <w:jc w:val="center"/>
              <w:rPr>
                <w:color w:val="auto"/>
                <w:sz w:val="18"/>
                <w:szCs w:val="18"/>
              </w:rPr>
            </w:pPr>
          </w:p>
        </w:tc>
      </w:tr>
      <w:tr w14:paraId="02FB6D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0C30AA63">
            <w:pPr>
              <w:rPr>
                <w:b/>
                <w:color w:val="auto"/>
                <w:sz w:val="18"/>
                <w:szCs w:val="18"/>
              </w:rPr>
            </w:pPr>
          </w:p>
        </w:tc>
        <w:tc>
          <w:tcPr>
            <w:tcW w:w="1504" w:type="dxa"/>
            <w:vMerge w:val="continue"/>
            <w:vAlign w:val="center"/>
          </w:tcPr>
          <w:p w14:paraId="6A5600C3">
            <w:pPr>
              <w:jc w:val="center"/>
              <w:rPr>
                <w:b/>
                <w:color w:val="auto"/>
                <w:sz w:val="18"/>
                <w:szCs w:val="18"/>
              </w:rPr>
            </w:pPr>
          </w:p>
        </w:tc>
        <w:tc>
          <w:tcPr>
            <w:tcW w:w="3238" w:type="dxa"/>
            <w:vAlign w:val="center"/>
          </w:tcPr>
          <w:p w14:paraId="4417C12B">
            <w:pPr>
              <w:rPr>
                <w:color w:val="auto"/>
                <w:sz w:val="18"/>
                <w:szCs w:val="18"/>
              </w:rPr>
            </w:pPr>
            <w:r>
              <w:rPr>
                <w:rFonts w:hint="eastAsia"/>
                <w:color w:val="auto"/>
                <w:sz w:val="18"/>
                <w:szCs w:val="18"/>
              </w:rPr>
              <w:t>论文中期进展报告</w:t>
            </w:r>
          </w:p>
        </w:tc>
        <w:tc>
          <w:tcPr>
            <w:tcW w:w="1081" w:type="dxa"/>
            <w:vAlign w:val="center"/>
          </w:tcPr>
          <w:p w14:paraId="195AD5E4">
            <w:pPr>
              <w:jc w:val="center"/>
              <w:rPr>
                <w:color w:val="auto"/>
                <w:sz w:val="18"/>
                <w:szCs w:val="18"/>
              </w:rPr>
            </w:pPr>
          </w:p>
        </w:tc>
        <w:tc>
          <w:tcPr>
            <w:tcW w:w="709" w:type="dxa"/>
            <w:vAlign w:val="center"/>
          </w:tcPr>
          <w:p w14:paraId="2F1E0F92">
            <w:pPr>
              <w:jc w:val="center"/>
              <w:rPr>
                <w:color w:val="auto"/>
                <w:sz w:val="18"/>
                <w:szCs w:val="18"/>
              </w:rPr>
            </w:pPr>
          </w:p>
        </w:tc>
        <w:tc>
          <w:tcPr>
            <w:tcW w:w="709" w:type="dxa"/>
            <w:vAlign w:val="center"/>
          </w:tcPr>
          <w:p w14:paraId="25473FA7">
            <w:pPr>
              <w:jc w:val="center"/>
              <w:rPr>
                <w:color w:val="auto"/>
                <w:sz w:val="18"/>
                <w:szCs w:val="18"/>
              </w:rPr>
            </w:pPr>
            <w:r>
              <w:rPr>
                <w:rFonts w:hint="eastAsia"/>
                <w:color w:val="auto"/>
                <w:sz w:val="18"/>
                <w:szCs w:val="18"/>
              </w:rPr>
              <w:t>4</w:t>
            </w:r>
          </w:p>
        </w:tc>
        <w:tc>
          <w:tcPr>
            <w:tcW w:w="1045" w:type="dxa"/>
            <w:vMerge w:val="continue"/>
            <w:vAlign w:val="center"/>
          </w:tcPr>
          <w:p w14:paraId="678D0BB8">
            <w:pPr>
              <w:jc w:val="center"/>
              <w:rPr>
                <w:color w:val="auto"/>
                <w:sz w:val="18"/>
                <w:szCs w:val="18"/>
              </w:rPr>
            </w:pPr>
          </w:p>
        </w:tc>
      </w:tr>
      <w:tr w14:paraId="5707C1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69E8C92">
            <w:pPr>
              <w:rPr>
                <w:b/>
                <w:color w:val="auto"/>
                <w:sz w:val="18"/>
                <w:szCs w:val="18"/>
              </w:rPr>
            </w:pPr>
          </w:p>
        </w:tc>
        <w:tc>
          <w:tcPr>
            <w:tcW w:w="1504" w:type="dxa"/>
            <w:vMerge w:val="continue"/>
            <w:vAlign w:val="center"/>
          </w:tcPr>
          <w:p w14:paraId="5E39E18A">
            <w:pPr>
              <w:jc w:val="center"/>
              <w:rPr>
                <w:b/>
                <w:color w:val="auto"/>
                <w:sz w:val="18"/>
                <w:szCs w:val="18"/>
              </w:rPr>
            </w:pPr>
          </w:p>
        </w:tc>
        <w:tc>
          <w:tcPr>
            <w:tcW w:w="3238" w:type="dxa"/>
            <w:vAlign w:val="center"/>
          </w:tcPr>
          <w:p w14:paraId="4BEA324C">
            <w:pPr>
              <w:rPr>
                <w:color w:val="auto"/>
                <w:sz w:val="18"/>
                <w:szCs w:val="18"/>
              </w:rPr>
            </w:pPr>
            <w:r>
              <w:rPr>
                <w:rFonts w:hint="eastAsia"/>
                <w:color w:val="auto"/>
                <w:sz w:val="18"/>
                <w:szCs w:val="18"/>
              </w:rPr>
              <w:t>论文</w:t>
            </w:r>
            <w:r>
              <w:rPr>
                <w:color w:val="auto"/>
                <w:sz w:val="18"/>
                <w:szCs w:val="18"/>
              </w:rPr>
              <w:t>预答辩</w:t>
            </w:r>
          </w:p>
        </w:tc>
        <w:tc>
          <w:tcPr>
            <w:tcW w:w="1081" w:type="dxa"/>
            <w:vAlign w:val="center"/>
          </w:tcPr>
          <w:p w14:paraId="2DFF0291">
            <w:pPr>
              <w:jc w:val="center"/>
              <w:rPr>
                <w:color w:val="auto"/>
                <w:sz w:val="18"/>
                <w:szCs w:val="18"/>
              </w:rPr>
            </w:pPr>
          </w:p>
        </w:tc>
        <w:tc>
          <w:tcPr>
            <w:tcW w:w="709" w:type="dxa"/>
            <w:vAlign w:val="center"/>
          </w:tcPr>
          <w:p w14:paraId="16C70254">
            <w:pPr>
              <w:jc w:val="center"/>
              <w:rPr>
                <w:color w:val="auto"/>
                <w:sz w:val="18"/>
                <w:szCs w:val="18"/>
              </w:rPr>
            </w:pPr>
          </w:p>
        </w:tc>
        <w:tc>
          <w:tcPr>
            <w:tcW w:w="709" w:type="dxa"/>
            <w:vAlign w:val="center"/>
          </w:tcPr>
          <w:p w14:paraId="1E346FBC">
            <w:pPr>
              <w:jc w:val="center"/>
              <w:rPr>
                <w:color w:val="auto"/>
                <w:sz w:val="18"/>
                <w:szCs w:val="18"/>
              </w:rPr>
            </w:pPr>
            <w:r>
              <w:rPr>
                <w:rFonts w:hint="eastAsia"/>
                <w:color w:val="auto"/>
                <w:sz w:val="18"/>
                <w:szCs w:val="18"/>
              </w:rPr>
              <w:t>6</w:t>
            </w:r>
          </w:p>
        </w:tc>
        <w:tc>
          <w:tcPr>
            <w:tcW w:w="1045" w:type="dxa"/>
            <w:vMerge w:val="continue"/>
          </w:tcPr>
          <w:p w14:paraId="152BF70D">
            <w:pPr>
              <w:jc w:val="center"/>
              <w:rPr>
                <w:color w:val="auto"/>
                <w:sz w:val="18"/>
                <w:szCs w:val="18"/>
              </w:rPr>
            </w:pPr>
          </w:p>
        </w:tc>
      </w:tr>
      <w:tr w14:paraId="045A41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3942B70">
            <w:pPr>
              <w:rPr>
                <w:color w:val="auto"/>
                <w:sz w:val="18"/>
                <w:szCs w:val="18"/>
              </w:rPr>
            </w:pPr>
          </w:p>
        </w:tc>
        <w:tc>
          <w:tcPr>
            <w:tcW w:w="1504" w:type="dxa"/>
            <w:vMerge w:val="continue"/>
          </w:tcPr>
          <w:p w14:paraId="60239B29">
            <w:pPr>
              <w:jc w:val="center"/>
              <w:rPr>
                <w:color w:val="auto"/>
                <w:sz w:val="18"/>
                <w:szCs w:val="18"/>
              </w:rPr>
            </w:pPr>
          </w:p>
        </w:tc>
        <w:tc>
          <w:tcPr>
            <w:tcW w:w="3238" w:type="dxa"/>
            <w:vAlign w:val="center"/>
          </w:tcPr>
          <w:p w14:paraId="551C2C52">
            <w:pPr>
              <w:rPr>
                <w:color w:val="auto"/>
                <w:sz w:val="18"/>
                <w:szCs w:val="18"/>
              </w:rPr>
            </w:pPr>
            <w:r>
              <w:rPr>
                <w:rFonts w:hint="eastAsia"/>
                <w:color w:val="auto"/>
                <w:sz w:val="18"/>
                <w:szCs w:val="18"/>
              </w:rPr>
              <w:t>论文</w:t>
            </w:r>
            <w:r>
              <w:rPr>
                <w:color w:val="auto"/>
                <w:sz w:val="18"/>
                <w:szCs w:val="18"/>
              </w:rPr>
              <w:t>评审</w:t>
            </w:r>
          </w:p>
        </w:tc>
        <w:tc>
          <w:tcPr>
            <w:tcW w:w="1081" w:type="dxa"/>
            <w:vAlign w:val="center"/>
          </w:tcPr>
          <w:p w14:paraId="45F09EB0">
            <w:pPr>
              <w:jc w:val="center"/>
              <w:rPr>
                <w:color w:val="auto"/>
                <w:sz w:val="18"/>
                <w:szCs w:val="18"/>
              </w:rPr>
            </w:pPr>
          </w:p>
        </w:tc>
        <w:tc>
          <w:tcPr>
            <w:tcW w:w="709" w:type="dxa"/>
            <w:vAlign w:val="center"/>
          </w:tcPr>
          <w:p w14:paraId="6331131D">
            <w:pPr>
              <w:jc w:val="center"/>
              <w:rPr>
                <w:color w:val="auto"/>
                <w:sz w:val="18"/>
                <w:szCs w:val="18"/>
              </w:rPr>
            </w:pPr>
          </w:p>
        </w:tc>
        <w:tc>
          <w:tcPr>
            <w:tcW w:w="709" w:type="dxa"/>
            <w:vAlign w:val="center"/>
          </w:tcPr>
          <w:p w14:paraId="30E2C85D">
            <w:pPr>
              <w:jc w:val="center"/>
              <w:rPr>
                <w:color w:val="auto"/>
                <w:sz w:val="18"/>
                <w:szCs w:val="18"/>
              </w:rPr>
            </w:pPr>
            <w:r>
              <w:rPr>
                <w:rFonts w:hint="eastAsia"/>
                <w:color w:val="auto"/>
                <w:sz w:val="18"/>
                <w:szCs w:val="18"/>
              </w:rPr>
              <w:t>6</w:t>
            </w:r>
          </w:p>
        </w:tc>
        <w:tc>
          <w:tcPr>
            <w:tcW w:w="1045" w:type="dxa"/>
            <w:vMerge w:val="continue"/>
          </w:tcPr>
          <w:p w14:paraId="4AA68DF6">
            <w:pPr>
              <w:jc w:val="center"/>
              <w:rPr>
                <w:color w:val="auto"/>
                <w:sz w:val="18"/>
                <w:szCs w:val="18"/>
              </w:rPr>
            </w:pPr>
          </w:p>
        </w:tc>
      </w:tr>
      <w:tr w14:paraId="0292CF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00111C31">
            <w:pPr>
              <w:rPr>
                <w:color w:val="auto"/>
                <w:sz w:val="18"/>
                <w:szCs w:val="18"/>
              </w:rPr>
            </w:pPr>
          </w:p>
        </w:tc>
        <w:tc>
          <w:tcPr>
            <w:tcW w:w="1504" w:type="dxa"/>
            <w:vMerge w:val="continue"/>
          </w:tcPr>
          <w:p w14:paraId="45B87825">
            <w:pPr>
              <w:jc w:val="center"/>
              <w:rPr>
                <w:color w:val="auto"/>
                <w:sz w:val="18"/>
                <w:szCs w:val="18"/>
              </w:rPr>
            </w:pPr>
          </w:p>
        </w:tc>
        <w:tc>
          <w:tcPr>
            <w:tcW w:w="3238" w:type="dxa"/>
            <w:vAlign w:val="center"/>
          </w:tcPr>
          <w:p w14:paraId="4DDD5C67">
            <w:pPr>
              <w:rPr>
                <w:color w:val="auto"/>
                <w:sz w:val="18"/>
                <w:szCs w:val="18"/>
              </w:rPr>
            </w:pPr>
            <w:r>
              <w:rPr>
                <w:rFonts w:hint="eastAsia"/>
                <w:color w:val="auto"/>
                <w:sz w:val="18"/>
                <w:szCs w:val="18"/>
              </w:rPr>
              <w:t>论文</w:t>
            </w:r>
            <w:r>
              <w:rPr>
                <w:color w:val="auto"/>
                <w:sz w:val="18"/>
                <w:szCs w:val="18"/>
              </w:rPr>
              <w:t>答辩</w:t>
            </w:r>
          </w:p>
        </w:tc>
        <w:tc>
          <w:tcPr>
            <w:tcW w:w="1081" w:type="dxa"/>
            <w:vAlign w:val="center"/>
          </w:tcPr>
          <w:p w14:paraId="531F901E">
            <w:pPr>
              <w:jc w:val="center"/>
              <w:rPr>
                <w:color w:val="auto"/>
                <w:sz w:val="18"/>
                <w:szCs w:val="18"/>
              </w:rPr>
            </w:pPr>
          </w:p>
        </w:tc>
        <w:tc>
          <w:tcPr>
            <w:tcW w:w="709" w:type="dxa"/>
            <w:vAlign w:val="center"/>
          </w:tcPr>
          <w:p w14:paraId="546B69DC">
            <w:pPr>
              <w:jc w:val="center"/>
              <w:rPr>
                <w:color w:val="auto"/>
                <w:sz w:val="18"/>
                <w:szCs w:val="18"/>
              </w:rPr>
            </w:pPr>
          </w:p>
        </w:tc>
        <w:tc>
          <w:tcPr>
            <w:tcW w:w="709" w:type="dxa"/>
            <w:vAlign w:val="center"/>
          </w:tcPr>
          <w:p w14:paraId="564141C9">
            <w:pPr>
              <w:jc w:val="center"/>
              <w:rPr>
                <w:color w:val="auto"/>
                <w:sz w:val="18"/>
                <w:szCs w:val="18"/>
              </w:rPr>
            </w:pPr>
            <w:r>
              <w:rPr>
                <w:rFonts w:hint="eastAsia"/>
                <w:color w:val="auto"/>
                <w:sz w:val="18"/>
                <w:szCs w:val="18"/>
              </w:rPr>
              <w:t>6</w:t>
            </w:r>
          </w:p>
        </w:tc>
        <w:tc>
          <w:tcPr>
            <w:tcW w:w="1045" w:type="dxa"/>
            <w:vMerge w:val="continue"/>
          </w:tcPr>
          <w:p w14:paraId="17E35392">
            <w:pPr>
              <w:jc w:val="center"/>
              <w:rPr>
                <w:color w:val="auto"/>
                <w:sz w:val="18"/>
                <w:szCs w:val="18"/>
              </w:rPr>
            </w:pPr>
          </w:p>
        </w:tc>
      </w:tr>
    </w:tbl>
    <w:p w14:paraId="777284D4">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C1C8B14">
      <w:pPr>
        <w:pStyle w:val="26"/>
        <w:numPr>
          <w:ilvl w:val="0"/>
          <w:numId w:val="2"/>
        </w:numPr>
        <w:spacing w:line="360" w:lineRule="auto"/>
        <w:ind w:firstLineChars="0"/>
        <w:jc w:val="left"/>
        <w:rPr>
          <w:rFonts w:eastAsiaTheme="minorEastAsia"/>
          <w:bCs/>
          <w:sz w:val="24"/>
        </w:rPr>
      </w:pPr>
      <w:r>
        <w:rPr>
          <w:rFonts w:hint="eastAsia" w:eastAsiaTheme="minorEastAsia"/>
          <w:bCs/>
          <w:sz w:val="24"/>
        </w:rPr>
        <w:t>学位课为一级学科下所有专业方向的必修课程。必修环节为研究生培养过程中必须完成的培养活动。</w:t>
      </w:r>
    </w:p>
    <w:p w14:paraId="11A57A5D">
      <w:pPr>
        <w:pStyle w:val="26"/>
        <w:numPr>
          <w:ilvl w:val="0"/>
          <w:numId w:val="2"/>
        </w:numPr>
        <w:spacing w:line="360" w:lineRule="auto"/>
        <w:ind w:firstLineChars="0"/>
        <w:jc w:val="left"/>
        <w:rPr>
          <w:rFonts w:eastAsiaTheme="minorEastAsia"/>
          <w:bCs/>
          <w:sz w:val="24"/>
        </w:rPr>
      </w:pPr>
      <w:r>
        <w:rPr>
          <w:rFonts w:hint="eastAsia" w:eastAsiaTheme="minorEastAsia"/>
          <w:bCs/>
          <w:sz w:val="24"/>
        </w:rPr>
        <w:t>公共必修课中的外语课程按入学时的外国语考试科目修读相关语种。</w:t>
      </w:r>
    </w:p>
    <w:p w14:paraId="0D70F373">
      <w:pPr>
        <w:pStyle w:val="26"/>
        <w:numPr>
          <w:ilvl w:val="0"/>
          <w:numId w:val="2"/>
        </w:numPr>
        <w:spacing w:line="360" w:lineRule="auto"/>
        <w:ind w:firstLineChars="0"/>
        <w:jc w:val="left"/>
        <w:rPr>
          <w:rFonts w:eastAsiaTheme="minorEastAsia"/>
          <w:bCs/>
          <w:sz w:val="24"/>
        </w:rPr>
      </w:pPr>
      <w:r>
        <w:rPr>
          <w:rFonts w:hint="eastAsia" w:eastAsiaTheme="minorEastAsia"/>
          <w:bCs/>
          <w:sz w:val="24"/>
        </w:rPr>
        <w:t>公共通识课程中的通修为必选课程。</w:t>
      </w:r>
    </w:p>
    <w:p w14:paraId="2B284E7A">
      <w:pPr>
        <w:pStyle w:val="26"/>
        <w:numPr>
          <w:ilvl w:val="0"/>
          <w:numId w:val="2"/>
        </w:numPr>
        <w:spacing w:line="360" w:lineRule="auto"/>
        <w:ind w:firstLineChars="0"/>
        <w:jc w:val="left"/>
        <w:rPr>
          <w:rFonts w:eastAsiaTheme="minorEastAsia"/>
          <w:bCs/>
          <w:sz w:val="24"/>
        </w:rPr>
      </w:pPr>
      <w:r>
        <w:rPr>
          <w:rFonts w:hint="eastAsia" w:eastAsiaTheme="minorEastAsia"/>
          <w:bCs/>
          <w:sz w:val="24"/>
        </w:rPr>
        <w:t>按专业方向设置的非学位课方向课应至少按录取专业所对应的方向完成其中一个方向的修读要求。</w:t>
      </w:r>
    </w:p>
    <w:p w14:paraId="6BFA5D5D">
      <w:pPr>
        <w:pStyle w:val="26"/>
        <w:numPr>
          <w:ilvl w:val="0"/>
          <w:numId w:val="2"/>
        </w:numPr>
        <w:spacing w:line="360" w:lineRule="auto"/>
        <w:ind w:firstLineChars="0"/>
        <w:jc w:val="left"/>
        <w:rPr>
          <w:rFonts w:eastAsiaTheme="minorEastAsia"/>
          <w:bCs/>
          <w:sz w:val="24"/>
        </w:rPr>
      </w:pP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34DD53CA">
      <w:pPr>
        <w:spacing w:line="360" w:lineRule="auto"/>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abstractNum w:abstractNumId="1">
    <w:nsid w:val="7A5E2826"/>
    <w:multiLevelType w:val="multilevel"/>
    <w:tmpl w:val="7A5E2826"/>
    <w:lvl w:ilvl="0" w:tentative="0">
      <w:start w:val="1"/>
      <w:numFmt w:val="decimal"/>
      <w:lvlText w:val="%1."/>
      <w:lvlJc w:val="left"/>
      <w:pPr>
        <w:ind w:left="920" w:hanging="44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FF6"/>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1531"/>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401"/>
    <w:rsid w:val="00231C36"/>
    <w:rsid w:val="00232528"/>
    <w:rsid w:val="002325BF"/>
    <w:rsid w:val="002339A4"/>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0EFD"/>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8B6"/>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0C9"/>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6362"/>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6F0B"/>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53C5"/>
    <w:rsid w:val="005F7CA5"/>
    <w:rsid w:val="005F7CAF"/>
    <w:rsid w:val="00600FC3"/>
    <w:rsid w:val="006016AC"/>
    <w:rsid w:val="00601816"/>
    <w:rsid w:val="0060199C"/>
    <w:rsid w:val="00602977"/>
    <w:rsid w:val="00602B90"/>
    <w:rsid w:val="006032FB"/>
    <w:rsid w:val="00603D83"/>
    <w:rsid w:val="00604183"/>
    <w:rsid w:val="00604613"/>
    <w:rsid w:val="00604957"/>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1E5"/>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43B"/>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4DC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587F"/>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27A1"/>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57BBB"/>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3D88"/>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1EB2"/>
    <w:rsid w:val="00FD20E1"/>
    <w:rsid w:val="00FD2818"/>
    <w:rsid w:val="00FD4A30"/>
    <w:rsid w:val="00FD507E"/>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9167E5"/>
    <w:rsid w:val="04310280"/>
    <w:rsid w:val="05545FD4"/>
    <w:rsid w:val="06BD753A"/>
    <w:rsid w:val="070E6657"/>
    <w:rsid w:val="077542B8"/>
    <w:rsid w:val="098053EB"/>
    <w:rsid w:val="09B36B5F"/>
    <w:rsid w:val="09C27ACD"/>
    <w:rsid w:val="0B1A5912"/>
    <w:rsid w:val="0C1D0EEF"/>
    <w:rsid w:val="0C611ACF"/>
    <w:rsid w:val="0D0E0A2F"/>
    <w:rsid w:val="0F3D5F6F"/>
    <w:rsid w:val="0F5F0397"/>
    <w:rsid w:val="12687563"/>
    <w:rsid w:val="14761E85"/>
    <w:rsid w:val="15374954"/>
    <w:rsid w:val="172865E2"/>
    <w:rsid w:val="182D7794"/>
    <w:rsid w:val="1855324F"/>
    <w:rsid w:val="18DB5C7B"/>
    <w:rsid w:val="1A8F102D"/>
    <w:rsid w:val="1AAA49C9"/>
    <w:rsid w:val="1BB70BD2"/>
    <w:rsid w:val="1C0255E4"/>
    <w:rsid w:val="1CEA4336"/>
    <w:rsid w:val="1D1522D8"/>
    <w:rsid w:val="1E1D36A9"/>
    <w:rsid w:val="1E3B5B2B"/>
    <w:rsid w:val="1E515134"/>
    <w:rsid w:val="1EF7468E"/>
    <w:rsid w:val="1F4E0726"/>
    <w:rsid w:val="1FE96C05"/>
    <w:rsid w:val="21E85FCA"/>
    <w:rsid w:val="24207C9D"/>
    <w:rsid w:val="24CC572F"/>
    <w:rsid w:val="263F6097"/>
    <w:rsid w:val="268169ED"/>
    <w:rsid w:val="2900086A"/>
    <w:rsid w:val="29995DFC"/>
    <w:rsid w:val="29AB583F"/>
    <w:rsid w:val="2A1D6A2D"/>
    <w:rsid w:val="2A734547"/>
    <w:rsid w:val="2CAD22EA"/>
    <w:rsid w:val="2CDF621C"/>
    <w:rsid w:val="2D1B36F8"/>
    <w:rsid w:val="2E0028ED"/>
    <w:rsid w:val="31A9402D"/>
    <w:rsid w:val="32D703EA"/>
    <w:rsid w:val="3316226B"/>
    <w:rsid w:val="331C24AB"/>
    <w:rsid w:val="35066A3B"/>
    <w:rsid w:val="368C56C3"/>
    <w:rsid w:val="36E25286"/>
    <w:rsid w:val="374603E0"/>
    <w:rsid w:val="38CB5855"/>
    <w:rsid w:val="3BC02F15"/>
    <w:rsid w:val="3D593F1A"/>
    <w:rsid w:val="3E437C8C"/>
    <w:rsid w:val="3FD34F25"/>
    <w:rsid w:val="402F14D9"/>
    <w:rsid w:val="4070701F"/>
    <w:rsid w:val="42483619"/>
    <w:rsid w:val="43A63197"/>
    <w:rsid w:val="443D3BE1"/>
    <w:rsid w:val="45E10996"/>
    <w:rsid w:val="48554C2D"/>
    <w:rsid w:val="485C3DFE"/>
    <w:rsid w:val="49470F79"/>
    <w:rsid w:val="49935F6C"/>
    <w:rsid w:val="49B30EC5"/>
    <w:rsid w:val="4A4C4A99"/>
    <w:rsid w:val="4AEC7759"/>
    <w:rsid w:val="4AFF2FB8"/>
    <w:rsid w:val="4B2E0668"/>
    <w:rsid w:val="4C997D3D"/>
    <w:rsid w:val="4E1458CD"/>
    <w:rsid w:val="4F145898"/>
    <w:rsid w:val="510936E3"/>
    <w:rsid w:val="5385202A"/>
    <w:rsid w:val="54CF02BE"/>
    <w:rsid w:val="56266197"/>
    <w:rsid w:val="57C037B7"/>
    <w:rsid w:val="599A10F5"/>
    <w:rsid w:val="5A924D04"/>
    <w:rsid w:val="5B9E7DDB"/>
    <w:rsid w:val="5D3A1091"/>
    <w:rsid w:val="5DC84DF0"/>
    <w:rsid w:val="5DE85989"/>
    <w:rsid w:val="5E111EA6"/>
    <w:rsid w:val="5E343D6A"/>
    <w:rsid w:val="5ED01F70"/>
    <w:rsid w:val="606357F4"/>
    <w:rsid w:val="61891CD7"/>
    <w:rsid w:val="61B825BC"/>
    <w:rsid w:val="64F733FB"/>
    <w:rsid w:val="652C7549"/>
    <w:rsid w:val="66A053F6"/>
    <w:rsid w:val="678F5E93"/>
    <w:rsid w:val="67DF6AF4"/>
    <w:rsid w:val="6850354E"/>
    <w:rsid w:val="69166546"/>
    <w:rsid w:val="6A2A51B3"/>
    <w:rsid w:val="6D0B038C"/>
    <w:rsid w:val="6DF10ECC"/>
    <w:rsid w:val="6E280AB8"/>
    <w:rsid w:val="6E69536A"/>
    <w:rsid w:val="7080699B"/>
    <w:rsid w:val="709A3F00"/>
    <w:rsid w:val="72AC1CC9"/>
    <w:rsid w:val="73FC5A68"/>
    <w:rsid w:val="75091655"/>
    <w:rsid w:val="7530273D"/>
    <w:rsid w:val="75B94E29"/>
    <w:rsid w:val="766A7ED1"/>
    <w:rsid w:val="76AA651F"/>
    <w:rsid w:val="76E41A31"/>
    <w:rsid w:val="77791C41"/>
    <w:rsid w:val="77FC724F"/>
    <w:rsid w:val="78515A11"/>
    <w:rsid w:val="788A03B6"/>
    <w:rsid w:val="7A9674E6"/>
    <w:rsid w:val="7B9003DA"/>
    <w:rsid w:val="7C372603"/>
    <w:rsid w:val="7DCD5EB8"/>
    <w:rsid w:val="7FC70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3"/>
    <w:qFormat/>
    <w:uiPriority w:val="99"/>
    <w:rPr>
      <w:rFonts w:ascii="Cambria" w:hAnsi="Cambria" w:eastAsia="宋体" w:cs="Times New Roman"/>
      <w:b/>
      <w:bCs/>
      <w:sz w:val="32"/>
      <w:szCs w:val="32"/>
    </w:rPr>
  </w:style>
  <w:style w:type="character" w:customStyle="1" w:styleId="18">
    <w:name w:val="标题 1 字符"/>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5"/>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4124</Words>
  <Characters>4353</Characters>
  <Lines>191</Lines>
  <Paragraphs>194</Paragraphs>
  <TotalTime>1</TotalTime>
  <ScaleCrop>false</ScaleCrop>
  <LinksUpToDate>false</LinksUpToDate>
  <CharactersWithSpaces>4366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2025-07-09T08:53:53Z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E095AF1AC6CE41758D62169ECC1336D0_13</vt:lpwstr>
  </property>
</Properties>
</file>