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3D080">
      <w:pPr>
        <w:ind w:left="321" w:leftChars="153" w:right="227"/>
        <w:jc w:val="center"/>
        <w:rPr>
          <w:rFonts w:eastAsia="黑体"/>
          <w:b w:val="0"/>
          <w:bCs/>
          <w:sz w:val="36"/>
          <w:szCs w:val="36"/>
        </w:rPr>
      </w:pPr>
      <w:bookmarkStart w:id="0" w:name="OLE_LINK6"/>
      <w:bookmarkStart w:id="1" w:name="OLE_LINK7"/>
      <w:r>
        <w:rPr>
          <w:rFonts w:hint="eastAsia" w:eastAsia="黑体"/>
          <w:b w:val="0"/>
          <w:bCs/>
          <w:iCs/>
          <w:sz w:val="36"/>
          <w:szCs w:val="36"/>
          <w:u w:val="single"/>
        </w:rPr>
        <w:t>法律（法学）</w:t>
      </w:r>
      <w:r>
        <w:rPr>
          <w:rFonts w:eastAsia="黑体"/>
          <w:b w:val="0"/>
          <w:bCs/>
          <w:sz w:val="36"/>
          <w:szCs w:val="36"/>
        </w:rPr>
        <w:t>全日制专业学位硕士研究生培养方案</w:t>
      </w:r>
    </w:p>
    <w:p w14:paraId="6D18D2D2">
      <w:pPr>
        <w:ind w:left="321" w:leftChars="153" w:right="227"/>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40EB1AC7">
      <w:pPr>
        <w:spacing w:line="360" w:lineRule="auto"/>
        <w:ind w:firstLine="560"/>
        <w:rPr>
          <w:rFonts w:eastAsia="黑体"/>
          <w:b w:val="0"/>
          <w:bCs/>
          <w:sz w:val="28"/>
          <w:szCs w:val="28"/>
        </w:rPr>
      </w:pPr>
      <w:r>
        <w:rPr>
          <w:rFonts w:eastAsia="黑体"/>
          <w:b w:val="0"/>
          <w:bCs/>
          <w:sz w:val="28"/>
          <w:szCs w:val="28"/>
        </w:rPr>
        <w:t>一、专业名称、代码</w:t>
      </w:r>
    </w:p>
    <w:p w14:paraId="1D3721B3">
      <w:pPr>
        <w:widowControl/>
        <w:spacing w:line="360" w:lineRule="auto"/>
        <w:ind w:firstLine="960" w:firstLineChars="400"/>
        <w:jc w:val="left"/>
        <w:rPr>
          <w:color w:val="FF0000"/>
          <w:kern w:val="0"/>
          <w:sz w:val="18"/>
          <w:szCs w:val="18"/>
        </w:rPr>
      </w:pPr>
      <w:r>
        <w:rPr>
          <w:color w:val="222222"/>
          <w:kern w:val="0"/>
          <w:sz w:val="24"/>
        </w:rPr>
        <w:t>专业名称：</w:t>
      </w:r>
      <w:r>
        <w:rPr>
          <w:rFonts w:hint="eastAsia"/>
          <w:color w:val="FF0000"/>
          <w:sz w:val="24"/>
        </w:rPr>
        <w:t>法律（法学）</w:t>
      </w:r>
    </w:p>
    <w:p w14:paraId="35214574">
      <w:pPr>
        <w:widowControl/>
        <w:spacing w:line="360" w:lineRule="auto"/>
        <w:ind w:firstLine="960" w:firstLineChars="400"/>
        <w:jc w:val="left"/>
        <w:rPr>
          <w:color w:val="222222"/>
          <w:kern w:val="0"/>
          <w:sz w:val="18"/>
          <w:szCs w:val="18"/>
        </w:rPr>
      </w:pPr>
      <w:r>
        <w:rPr>
          <w:color w:val="222222"/>
          <w:kern w:val="0"/>
          <w:sz w:val="24"/>
        </w:rPr>
        <w:t>专业代码：</w:t>
      </w:r>
      <w:r>
        <w:rPr>
          <w:sz w:val="24"/>
        </w:rPr>
        <w:t>035102</w:t>
      </w:r>
    </w:p>
    <w:p w14:paraId="0628F881">
      <w:pPr>
        <w:spacing w:line="360" w:lineRule="auto"/>
        <w:ind w:firstLine="560" w:firstLineChars="200"/>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7FE55D40">
      <w:pPr>
        <w:pStyle w:val="7"/>
        <w:spacing w:line="360" w:lineRule="auto"/>
        <w:ind w:firstLine="480" w:firstLineChars="200"/>
        <w:rPr>
          <w:sz w:val="24"/>
          <w:szCs w:val="24"/>
        </w:rPr>
      </w:pPr>
      <w:r>
        <w:rPr>
          <w:rFonts w:hint="eastAsia"/>
          <w:sz w:val="24"/>
          <w:szCs w:val="24"/>
        </w:rPr>
        <w:t>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全日制法律（法学）专业学位研究生的招生对象是</w:t>
      </w:r>
      <w:r>
        <w:rPr>
          <w:rFonts w:hAnsi="宋体" w:cs="宋体"/>
          <w:kern w:val="0"/>
          <w:sz w:val="24"/>
          <w:szCs w:val="24"/>
        </w:rPr>
        <w:t>具有国民教育序列法学专业大学本科学历的应</w:t>
      </w:r>
      <w:r>
        <w:rPr>
          <w:rFonts w:hint="eastAsia" w:hAnsi="宋体" w:cs="宋体"/>
          <w:kern w:val="0"/>
          <w:sz w:val="24"/>
          <w:szCs w:val="24"/>
        </w:rPr>
        <w:t>、</w:t>
      </w:r>
      <w:r>
        <w:rPr>
          <w:rFonts w:hAnsi="宋体" w:cs="宋体"/>
          <w:kern w:val="0"/>
          <w:sz w:val="24"/>
          <w:szCs w:val="24"/>
        </w:rPr>
        <w:t>往届毕业生或同等学力</w:t>
      </w:r>
      <w:r>
        <w:rPr>
          <w:rFonts w:hint="eastAsia" w:hAnsi="宋体" w:cs="宋体"/>
          <w:kern w:val="0"/>
          <w:sz w:val="24"/>
          <w:szCs w:val="24"/>
        </w:rPr>
        <w:t>人员</w:t>
      </w:r>
      <w:r>
        <w:rPr>
          <w:rFonts w:hAnsi="宋体" w:cs="宋体"/>
          <w:kern w:val="0"/>
          <w:sz w:val="24"/>
          <w:szCs w:val="24"/>
        </w:rPr>
        <w:t>。</w:t>
      </w:r>
    </w:p>
    <w:p w14:paraId="66783152">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asciiTheme="minorEastAsia" w:hAnsiTheme="minorEastAsia" w:eastAsiaTheme="minorEastAsia"/>
          <w:color w:val="333333"/>
          <w:sz w:val="24"/>
        </w:rPr>
      </w:pPr>
      <w:bookmarkStart w:id="2" w:name="OLE_LINK1"/>
      <w:r>
        <w:rPr>
          <w:rFonts w:hint="eastAsia" w:ascii="宋体" w:hAnsi="宋体" w:eastAsia="宋体" w:cs="宋体"/>
          <w:sz w:val="24"/>
          <w:szCs w:val="24"/>
          <w:lang w:val="en-US"/>
        </w:rPr>
        <w:t>河北大学法学学科肇始于1939年</w:t>
      </w:r>
      <w:r>
        <w:rPr>
          <w:rFonts w:hint="eastAsia" w:ascii="宋体" w:hAnsi="宋体" w:eastAsia="宋体" w:cs="宋体"/>
          <w:sz w:val="24"/>
          <w:szCs w:val="24"/>
          <w:lang w:val="en-US" w:eastAsia="zh-CN"/>
        </w:rPr>
        <w:t>，重新创建于</w:t>
      </w:r>
      <w:r>
        <w:rPr>
          <w:rFonts w:hint="eastAsia" w:ascii="宋体" w:hAnsi="宋体" w:eastAsia="宋体" w:cs="宋体"/>
          <w:sz w:val="24"/>
          <w:szCs w:val="24"/>
          <w:lang w:val="en-US"/>
        </w:rPr>
        <w:t>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w:t>
      </w:r>
      <w:r>
        <w:rPr>
          <w:rFonts w:hint="eastAsia" w:ascii="宋体" w:hAnsi="宋体" w:eastAsia="宋体" w:cs="宋体"/>
          <w:sz w:val="24"/>
          <w:szCs w:val="24"/>
          <w:lang w:val="en-US" w:eastAsia="zh-CN"/>
        </w:rPr>
        <w:t>。2009年，作为河北省唯一入选的全国58所高校之一，法律硕士被教育部批准为专业学位研究生教育综合改革试点专业。</w:t>
      </w:r>
      <w:r>
        <w:rPr>
          <w:rFonts w:hint="eastAsia" w:ascii="宋体" w:hAnsi="宋体" w:eastAsia="宋体" w:cs="宋体"/>
          <w:sz w:val="24"/>
          <w:szCs w:val="24"/>
          <w:lang w:val="en-US"/>
        </w:rPr>
        <w:t>2010年获批法学一级学科硕士学位授权点</w:t>
      </w:r>
      <w:r>
        <w:rPr>
          <w:rFonts w:hint="eastAsia" w:ascii="宋体" w:hAnsi="宋体" w:eastAsia="宋体" w:cs="宋体"/>
          <w:sz w:val="24"/>
          <w:szCs w:val="24"/>
          <w:lang w:val="en-US" w:eastAsia="zh-CN"/>
        </w:rPr>
        <w:t>。</w:t>
      </w:r>
      <w:r>
        <w:rPr>
          <w:rFonts w:hint="eastAsia" w:ascii="宋体" w:hAnsi="宋体" w:eastAsia="宋体" w:cs="宋体"/>
          <w:sz w:val="24"/>
          <w:szCs w:val="24"/>
          <w:lang w:val="en-US"/>
        </w:rPr>
        <w:t>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w:t>
      </w:r>
      <w:r>
        <w:rPr>
          <w:rFonts w:hint="eastAsia" w:ascii="宋体" w:hAnsi="宋体" w:eastAsia="宋体" w:cs="宋体"/>
          <w:sz w:val="24"/>
          <w:szCs w:val="24"/>
          <w:lang w:val="en-US" w:eastAsia="zh-CN"/>
        </w:rPr>
        <w:t>、雄安新区建设、冬奥会等</w:t>
      </w:r>
      <w:r>
        <w:rPr>
          <w:rFonts w:hint="eastAsia" w:ascii="宋体" w:hAnsi="宋体" w:eastAsia="宋体" w:cs="宋体"/>
          <w:sz w:val="24"/>
          <w:szCs w:val="24"/>
          <w:lang w:val="en-US"/>
        </w:rPr>
        <w:t>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bookmarkEnd w:id="2"/>
    <w:p w14:paraId="2D6CACAC">
      <w:pPr>
        <w:spacing w:line="360" w:lineRule="auto"/>
        <w:ind w:firstLine="560" w:firstLineChars="200"/>
        <w:rPr>
          <w:rFonts w:eastAsia="黑体"/>
          <w:b w:val="0"/>
          <w:bCs/>
          <w:sz w:val="28"/>
          <w:szCs w:val="28"/>
        </w:rPr>
      </w:pPr>
      <w:r>
        <w:rPr>
          <w:rFonts w:eastAsia="黑体"/>
          <w:b w:val="0"/>
          <w:bCs/>
          <w:sz w:val="28"/>
          <w:szCs w:val="28"/>
        </w:rPr>
        <w:t>三、研究方向</w:t>
      </w:r>
    </w:p>
    <w:p w14:paraId="2B895C95">
      <w:pPr>
        <w:spacing w:line="440" w:lineRule="exact"/>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根据河北大学</w:t>
      </w:r>
      <w:r>
        <w:rPr>
          <w:rFonts w:hint="eastAsia" w:asciiTheme="minorEastAsia" w:hAnsiTheme="minorEastAsia" w:eastAsiaTheme="minorEastAsia"/>
          <w:sz w:val="24"/>
          <w:lang w:val="en-US" w:eastAsia="zh-CN"/>
        </w:rPr>
        <w:t>全日制</w:t>
      </w:r>
      <w:r>
        <w:rPr>
          <w:rFonts w:hint="eastAsia" w:asciiTheme="minorEastAsia" w:hAnsiTheme="minorEastAsia" w:eastAsiaTheme="minorEastAsia"/>
          <w:sz w:val="24"/>
        </w:rPr>
        <w:t>法律</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法学</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专业学位建设与发展的实际状况，设置以下</w:t>
      </w:r>
      <w:r>
        <w:rPr>
          <w:rFonts w:hint="eastAsia" w:asciiTheme="minorEastAsia" w:hAnsiTheme="minorEastAsia" w:eastAsiaTheme="minorEastAsia"/>
          <w:sz w:val="24"/>
          <w:lang w:eastAsia="zh-CN"/>
        </w:rPr>
        <w:t>六</w:t>
      </w:r>
      <w:r>
        <w:rPr>
          <w:rFonts w:hint="eastAsia" w:asciiTheme="minorEastAsia" w:hAnsiTheme="minorEastAsia" w:eastAsiaTheme="minorEastAsia"/>
          <w:sz w:val="24"/>
        </w:rPr>
        <w:t>个研究方向：</w:t>
      </w:r>
    </w:p>
    <w:p w14:paraId="2487BEB6">
      <w:pPr>
        <w:numPr>
          <w:ilvl w:val="0"/>
          <w:numId w:val="0"/>
        </w:numPr>
        <w:spacing w:line="440" w:lineRule="exact"/>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1</w:t>
      </w:r>
      <w:r>
        <w:rPr>
          <w:rFonts w:hint="eastAsia" w:asciiTheme="minorEastAsia" w:hAnsiTheme="minorEastAsia" w:eastAsiaTheme="minorEastAsia"/>
          <w:sz w:val="24"/>
          <w:lang w:eastAsia="zh-CN"/>
        </w:rPr>
        <w:t>）立法实务</w:t>
      </w:r>
      <w:r>
        <w:rPr>
          <w:rFonts w:hint="eastAsia" w:cs="宋体" w:asciiTheme="minorEastAsia" w:hAnsiTheme="minorEastAsia" w:eastAsiaTheme="minorEastAsia"/>
          <w:sz w:val="24"/>
        </w:rPr>
        <w:t>方向</w:t>
      </w:r>
      <w:r>
        <w:rPr>
          <w:rFonts w:hint="eastAsia" w:cs="宋体" w:asciiTheme="minorEastAsia" w:hAnsiTheme="minorEastAsia" w:eastAsiaTheme="minorEastAsia"/>
          <w:bCs/>
          <w:sz w:val="24"/>
        </w:rPr>
        <w:t>。</w:t>
      </w:r>
      <w:r>
        <w:rPr>
          <w:rFonts w:hint="eastAsia" w:cs="宋体" w:asciiTheme="minorEastAsia" w:hAnsiTheme="minorEastAsia" w:eastAsiaTheme="minorEastAsia"/>
          <w:bCs/>
          <w:sz w:val="24"/>
          <w:lang w:eastAsia="zh-CN"/>
        </w:rPr>
        <w:t>立法实务方向主要研究</w:t>
      </w:r>
      <w:r>
        <w:rPr>
          <w:rFonts w:hint="eastAsia" w:cs="宋体" w:asciiTheme="minorEastAsia" w:hAnsiTheme="minorEastAsia" w:eastAsiaTheme="minorEastAsia"/>
          <w:bCs/>
          <w:sz w:val="24"/>
        </w:rPr>
        <w:t>法律</w:t>
      </w:r>
      <w:r>
        <w:rPr>
          <w:rFonts w:hint="eastAsia" w:cs="宋体" w:asciiTheme="minorEastAsia" w:hAnsiTheme="minorEastAsia" w:eastAsiaTheme="minorEastAsia"/>
          <w:bCs/>
          <w:sz w:val="24"/>
          <w:lang w:eastAsia="zh-CN"/>
        </w:rPr>
        <w:t>规范</w:t>
      </w:r>
      <w:r>
        <w:rPr>
          <w:rFonts w:hint="eastAsia" w:cs="宋体" w:asciiTheme="minorEastAsia" w:hAnsiTheme="minorEastAsia" w:eastAsiaTheme="minorEastAsia"/>
          <w:bCs/>
          <w:sz w:val="24"/>
        </w:rPr>
        <w:t>制定和修订的实务</w:t>
      </w:r>
      <w:r>
        <w:rPr>
          <w:rFonts w:hint="eastAsia" w:cs="宋体" w:asciiTheme="minorEastAsia" w:hAnsiTheme="minorEastAsia" w:eastAsiaTheme="minorEastAsia"/>
          <w:bCs/>
          <w:sz w:val="24"/>
          <w:lang w:eastAsia="zh-CN"/>
        </w:rPr>
        <w:t>，</w:t>
      </w:r>
      <w:r>
        <w:rPr>
          <w:rFonts w:hint="eastAsia" w:cs="宋体" w:asciiTheme="minorEastAsia" w:hAnsiTheme="minorEastAsia" w:eastAsiaTheme="minorEastAsia"/>
          <w:bCs/>
          <w:sz w:val="24"/>
        </w:rPr>
        <w:t>涉及到法律规范的起草、审议、修改和完善等各个环节。</w:t>
      </w:r>
      <w:r>
        <w:rPr>
          <w:rFonts w:hint="eastAsia" w:cs="宋体" w:asciiTheme="minorEastAsia" w:hAnsiTheme="minorEastAsia" w:eastAsiaTheme="minorEastAsia"/>
          <w:bCs/>
          <w:sz w:val="24"/>
          <w:lang w:eastAsia="zh-CN"/>
        </w:rPr>
        <w:t>着重就立法原理与实务、比较立法、立法技术与规范、地方立法等</w:t>
      </w:r>
      <w:r>
        <w:rPr>
          <w:rFonts w:hint="eastAsia" w:asciiTheme="minorEastAsia" w:hAnsiTheme="minorEastAsia" w:eastAsiaTheme="minorEastAsia"/>
          <w:sz w:val="24"/>
        </w:rPr>
        <w:t>问题开展深入研究，</w:t>
      </w:r>
      <w:r>
        <w:rPr>
          <w:rFonts w:hint="eastAsia" w:cs="宋体" w:asciiTheme="minorEastAsia" w:hAnsiTheme="minorEastAsia" w:eastAsiaTheme="minorEastAsia"/>
          <w:bCs/>
          <w:sz w:val="24"/>
        </w:rPr>
        <w:t>致力于</w:t>
      </w:r>
      <w:r>
        <w:rPr>
          <w:rFonts w:hint="eastAsia" w:cs="宋体" w:asciiTheme="minorEastAsia" w:hAnsiTheme="minorEastAsia" w:eastAsiaTheme="minorEastAsia"/>
          <w:bCs/>
          <w:sz w:val="24"/>
          <w:lang w:eastAsia="zh-CN"/>
        </w:rPr>
        <w:t>立法</w:t>
      </w:r>
      <w:r>
        <w:rPr>
          <w:rFonts w:hint="eastAsia" w:cs="宋体" w:asciiTheme="minorEastAsia" w:hAnsiTheme="minorEastAsia" w:eastAsiaTheme="minorEastAsia"/>
          <w:bCs/>
          <w:sz w:val="24"/>
        </w:rPr>
        <w:t>理论与实践的有机结合。</w:t>
      </w:r>
      <w:r>
        <w:rPr>
          <w:rFonts w:hint="eastAsia" w:cs="宋体" w:asciiTheme="minorEastAsia" w:hAnsiTheme="minorEastAsia" w:eastAsiaTheme="minorEastAsia"/>
          <w:bCs/>
          <w:sz w:val="24"/>
          <w:lang w:val="en-US" w:eastAsia="zh-CN"/>
        </w:rPr>
        <w:t xml:space="preserve"> </w:t>
      </w:r>
    </w:p>
    <w:p w14:paraId="59DBFFF3">
      <w:pPr>
        <w:numPr>
          <w:ilvl w:val="0"/>
          <w:numId w:val="0"/>
        </w:numPr>
        <w:spacing w:line="440" w:lineRule="exact"/>
        <w:ind w:firstLine="480" w:firstLineChars="200"/>
        <w:jc w:val="left"/>
        <w:rPr>
          <w:rFonts w:hint="eastAsia" w:asciiTheme="minorEastAsia" w:hAnsiTheme="minorEastAsia" w:eastAsiaTheme="minorEastAsia"/>
          <w:sz w:val="24"/>
        </w:rPr>
      </w:pPr>
      <w:r>
        <w:rPr>
          <w:rFonts w:hint="eastAsia" w:cs="宋体" w:asciiTheme="minorEastAsia" w:hAnsiTheme="minorEastAsia" w:eastAsiaTheme="minorEastAsia"/>
          <w:bCs/>
          <w:sz w:val="24"/>
          <w:lang w:eastAsia="zh-CN"/>
        </w:rPr>
        <w:t>（</w:t>
      </w:r>
      <w:r>
        <w:rPr>
          <w:rFonts w:hint="eastAsia" w:cs="宋体" w:asciiTheme="minorEastAsia" w:hAnsiTheme="minorEastAsia" w:eastAsiaTheme="minorEastAsia"/>
          <w:bCs/>
          <w:sz w:val="24"/>
          <w:lang w:val="en-US" w:eastAsia="zh-CN"/>
        </w:rPr>
        <w:t>2</w:t>
      </w:r>
      <w:r>
        <w:rPr>
          <w:rFonts w:hint="eastAsia" w:cs="宋体" w:asciiTheme="minorEastAsia" w:hAnsiTheme="minorEastAsia" w:eastAsiaTheme="minorEastAsia"/>
          <w:bCs/>
          <w:sz w:val="24"/>
          <w:lang w:eastAsia="zh-CN"/>
        </w:rPr>
        <w:t>）司法实务方向。司法实务方向主要研究法律实施和适用的实务，涉及到刑事诉讼、民事诉讼、行政诉讼等各种司法实务。</w:t>
      </w:r>
      <w:r>
        <w:rPr>
          <w:rFonts w:hint="eastAsia" w:asciiTheme="minorEastAsia" w:hAnsiTheme="minorEastAsia" w:eastAsiaTheme="minorEastAsia"/>
          <w:sz w:val="24"/>
        </w:rPr>
        <w:t>着重就</w:t>
      </w:r>
      <w:r>
        <w:rPr>
          <w:rFonts w:hint="eastAsia" w:cs="宋体" w:asciiTheme="minorEastAsia" w:hAnsiTheme="minorEastAsia" w:eastAsiaTheme="minorEastAsia"/>
          <w:bCs/>
          <w:sz w:val="24"/>
          <w:lang w:eastAsia="zh-CN"/>
        </w:rPr>
        <w:t>证据法、犯罪学、刑事执行法学、司法制度等</w:t>
      </w:r>
      <w:r>
        <w:rPr>
          <w:rFonts w:hint="eastAsia" w:asciiTheme="minorEastAsia" w:hAnsiTheme="minorEastAsia" w:eastAsiaTheme="minorEastAsia"/>
          <w:sz w:val="24"/>
        </w:rPr>
        <w:t>问题作出深入研究。</w:t>
      </w:r>
    </w:p>
    <w:p w14:paraId="15B60294">
      <w:pPr>
        <w:numPr>
          <w:ilvl w:val="0"/>
          <w:numId w:val="0"/>
        </w:numPr>
        <w:spacing w:line="440" w:lineRule="exact"/>
        <w:ind w:firstLine="480" w:firstLineChars="200"/>
        <w:jc w:val="left"/>
        <w:rPr>
          <w:rFonts w:eastAsiaTheme="minorEastAsia"/>
          <w:color w:val="000000" w:themeColor="text1"/>
          <w:sz w:val="24"/>
          <w14:textFill>
            <w14:solidFill>
              <w14:schemeClr w14:val="tx1"/>
            </w14:solidFill>
          </w14:textFill>
        </w:rPr>
      </w:pP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lang w:eastAsia="zh-CN"/>
        </w:rPr>
        <w:t>）企业法律实务方向。企业法律实务方向主要研究企业运营过程中涉及的法律问题和法律操作，涉及到企业设立、运营、管理以及解决纠纷等各个环节中的法律实务。</w:t>
      </w:r>
      <w:r>
        <w:rPr>
          <w:rFonts w:hint="eastAsia" w:asciiTheme="minorEastAsia" w:hAnsiTheme="minorEastAsia" w:eastAsiaTheme="minorEastAsia"/>
          <w:sz w:val="24"/>
        </w:rPr>
        <w:t>着重就</w:t>
      </w:r>
      <w:r>
        <w:rPr>
          <w:rFonts w:hint="eastAsia" w:asciiTheme="minorEastAsia" w:hAnsiTheme="minorEastAsia" w:eastAsiaTheme="minorEastAsia"/>
          <w:sz w:val="24"/>
          <w:lang w:eastAsia="zh-CN"/>
        </w:rPr>
        <w:t>商法、知识产权法、劳动与社会保障法、环境资源法等</w:t>
      </w:r>
      <w:r>
        <w:rPr>
          <w:rFonts w:hint="eastAsia" w:asciiTheme="minorEastAsia" w:hAnsiTheme="minorEastAsia" w:eastAsiaTheme="minorEastAsia"/>
          <w:sz w:val="24"/>
        </w:rPr>
        <w:t>问题开展系统深入研究。</w:t>
      </w:r>
    </w:p>
    <w:p w14:paraId="0D5D028C">
      <w:pPr>
        <w:numPr>
          <w:ilvl w:val="0"/>
          <w:numId w:val="0"/>
        </w:numPr>
        <w:spacing w:line="440" w:lineRule="exact"/>
        <w:ind w:firstLine="480" w:firstLineChars="200"/>
        <w:jc w:val="left"/>
        <w:rPr>
          <w:rFonts w:eastAsiaTheme="minorEastAsia"/>
          <w:color w:val="000000" w:themeColor="text1"/>
          <w:sz w:val="24"/>
          <w14:textFill>
            <w14:solidFill>
              <w14:schemeClr w14:val="tx1"/>
            </w14:solidFill>
          </w14:textFill>
        </w:rPr>
      </w:pPr>
      <w:r>
        <w:rPr>
          <w:rFonts w:hint="eastAsia" w:eastAsiaTheme="minorEastAsia"/>
          <w:color w:val="000000" w:themeColor="text1"/>
          <w:sz w:val="24"/>
          <w:lang w:eastAsia="zh-CN"/>
          <w14:textFill>
            <w14:solidFill>
              <w14:schemeClr w14:val="tx1"/>
            </w14:solidFill>
          </w14:textFill>
        </w:rPr>
        <w:t>（</w:t>
      </w:r>
      <w:r>
        <w:rPr>
          <w:rFonts w:hint="eastAsia" w:eastAsiaTheme="minorEastAsia"/>
          <w:color w:val="000000" w:themeColor="text1"/>
          <w:sz w:val="24"/>
          <w:lang w:val="en-US" w:eastAsia="zh-CN"/>
          <w14:textFill>
            <w14:solidFill>
              <w14:schemeClr w14:val="tx1"/>
            </w14:solidFill>
          </w14:textFill>
        </w:rPr>
        <w:t>4</w:t>
      </w:r>
      <w:r>
        <w:rPr>
          <w:rFonts w:hint="eastAsia" w:eastAsiaTheme="minorEastAsia"/>
          <w:color w:val="000000" w:themeColor="text1"/>
          <w:sz w:val="24"/>
          <w:lang w:eastAsia="zh-CN"/>
          <w14:textFill>
            <w14:solidFill>
              <w14:schemeClr w14:val="tx1"/>
            </w14:solidFill>
          </w14:textFill>
        </w:rPr>
        <w:t>）</w:t>
      </w:r>
      <w:r>
        <w:rPr>
          <w:rFonts w:hint="eastAsia" w:eastAsiaTheme="minorEastAsia"/>
          <w:color w:val="000000" w:themeColor="text1"/>
          <w:sz w:val="24"/>
          <w14:textFill>
            <w14:solidFill>
              <w14:schemeClr w14:val="tx1"/>
            </w14:solidFill>
          </w14:textFill>
        </w:rPr>
        <w:t>涉外法治</w:t>
      </w:r>
      <w:r>
        <w:rPr>
          <w:rFonts w:hint="eastAsia" w:eastAsiaTheme="minorEastAsia"/>
          <w:color w:val="000000" w:themeColor="text1"/>
          <w:sz w:val="24"/>
          <w:lang w:eastAsia="zh-CN"/>
          <w14:textFill>
            <w14:solidFill>
              <w14:schemeClr w14:val="tx1"/>
            </w14:solidFill>
          </w14:textFill>
        </w:rPr>
        <w:t>实务</w:t>
      </w:r>
      <w:r>
        <w:rPr>
          <w:rFonts w:hint="eastAsia" w:eastAsiaTheme="minorEastAsia"/>
          <w:color w:val="000000" w:themeColor="text1"/>
          <w:sz w:val="24"/>
          <w14:textFill>
            <w14:solidFill>
              <w14:schemeClr w14:val="tx1"/>
            </w14:solidFill>
          </w14:textFill>
        </w:rPr>
        <w:t>方向。涉外法治</w:t>
      </w:r>
      <w:r>
        <w:rPr>
          <w:rFonts w:hint="eastAsia" w:eastAsiaTheme="minorEastAsia"/>
          <w:color w:val="000000" w:themeColor="text1"/>
          <w:sz w:val="24"/>
          <w:lang w:eastAsia="zh-CN"/>
          <w14:textFill>
            <w14:solidFill>
              <w14:schemeClr w14:val="tx1"/>
            </w14:solidFill>
          </w14:textFill>
        </w:rPr>
        <w:t>实务</w:t>
      </w:r>
      <w:r>
        <w:rPr>
          <w:rFonts w:hint="eastAsia" w:eastAsiaTheme="minorEastAsia"/>
          <w:color w:val="000000" w:themeColor="text1"/>
          <w:sz w:val="24"/>
          <w14:textFill>
            <w14:solidFill>
              <w14:schemeClr w14:val="tx1"/>
            </w14:solidFill>
          </w14:textFill>
        </w:rPr>
        <w:t>方向</w:t>
      </w:r>
      <w:r>
        <w:rPr>
          <w:rFonts w:hint="eastAsia" w:eastAsiaTheme="minorEastAsia"/>
          <w:color w:val="000000" w:themeColor="text1"/>
          <w:sz w:val="24"/>
          <w:lang w:eastAsia="zh-CN"/>
          <w14:textFill>
            <w14:solidFill>
              <w14:schemeClr w14:val="tx1"/>
            </w14:solidFill>
          </w14:textFill>
        </w:rPr>
        <w:t>主要研究</w:t>
      </w:r>
      <w:r>
        <w:rPr>
          <w:rFonts w:hint="eastAsia" w:eastAsiaTheme="minorEastAsia"/>
          <w:color w:val="000000" w:themeColor="text1"/>
          <w:sz w:val="24"/>
          <w14:textFill>
            <w14:solidFill>
              <w14:schemeClr w14:val="tx1"/>
            </w14:solidFill>
          </w14:textFill>
        </w:rPr>
        <w:t>涉外法治体系的建设与完善，</w:t>
      </w:r>
      <w:r>
        <w:rPr>
          <w:rFonts w:hint="eastAsia" w:eastAsiaTheme="minorEastAsia"/>
          <w:color w:val="000000" w:themeColor="text1"/>
          <w:sz w:val="24"/>
          <w:lang w:eastAsia="zh-CN"/>
          <w14:textFill>
            <w14:solidFill>
              <w14:schemeClr w14:val="tx1"/>
            </w14:solidFill>
          </w14:textFill>
        </w:rPr>
        <w:t>涉及到</w:t>
      </w:r>
      <w:r>
        <w:rPr>
          <w:rFonts w:hint="eastAsia" w:eastAsiaTheme="minorEastAsia"/>
          <w:color w:val="000000" w:themeColor="text1"/>
          <w:sz w:val="24"/>
          <w14:textFill>
            <w14:solidFill>
              <w14:schemeClr w14:val="tx1"/>
            </w14:solidFill>
          </w14:textFill>
        </w:rPr>
        <w:t>跨境贸易、数字经济、国际投资等多个领域的法律</w:t>
      </w:r>
      <w:r>
        <w:rPr>
          <w:rFonts w:hint="eastAsia" w:eastAsiaTheme="minorEastAsia"/>
          <w:color w:val="000000" w:themeColor="text1"/>
          <w:sz w:val="24"/>
          <w:lang w:eastAsia="zh-CN"/>
          <w14:textFill>
            <w14:solidFill>
              <w14:schemeClr w14:val="tx1"/>
            </w14:solidFill>
          </w14:textFill>
        </w:rPr>
        <w:t>实务</w:t>
      </w:r>
      <w:r>
        <w:rPr>
          <w:rFonts w:hint="eastAsia" w:eastAsiaTheme="minorEastAsia"/>
          <w:color w:val="000000" w:themeColor="text1"/>
          <w:sz w:val="24"/>
          <w14:textFill>
            <w14:solidFill>
              <w14:schemeClr w14:val="tx1"/>
            </w14:solidFill>
          </w14:textFill>
        </w:rPr>
        <w:t>问题</w:t>
      </w:r>
      <w:r>
        <w:rPr>
          <w:rFonts w:hint="eastAsia" w:eastAsiaTheme="minorEastAsia"/>
          <w:color w:val="000000" w:themeColor="text1"/>
          <w:sz w:val="24"/>
          <w:lang w:eastAsia="zh-CN"/>
          <w14:textFill>
            <w14:solidFill>
              <w14:schemeClr w14:val="tx1"/>
            </w14:solidFill>
          </w14:textFill>
        </w:rPr>
        <w:t>。着重就涉外法治原理与实务、国际法、涉外诉讼与仲裁、涉外律师服务等问题开展系统深入研究。</w:t>
      </w:r>
    </w:p>
    <w:p w14:paraId="31B8123C">
      <w:pPr>
        <w:numPr>
          <w:ilvl w:val="0"/>
          <w:numId w:val="0"/>
        </w:numPr>
        <w:spacing w:line="440" w:lineRule="exact"/>
        <w:ind w:firstLine="480" w:firstLineChars="200"/>
        <w:jc w:val="left"/>
        <w:rPr>
          <w:rFonts w:eastAsiaTheme="minorEastAsia"/>
          <w:color w:val="000000" w:themeColor="text1"/>
          <w:sz w:val="24"/>
          <w14:textFill>
            <w14:solidFill>
              <w14:schemeClr w14:val="tx1"/>
            </w14:solidFill>
          </w14:textFill>
        </w:rPr>
      </w:pPr>
      <w:r>
        <w:rPr>
          <w:rFonts w:hint="eastAsia" w:eastAsiaTheme="minorEastAsia"/>
          <w:color w:val="000000" w:themeColor="text1"/>
          <w:sz w:val="24"/>
          <w:lang w:eastAsia="zh-CN"/>
          <w14:textFill>
            <w14:solidFill>
              <w14:schemeClr w14:val="tx1"/>
            </w14:solidFill>
          </w14:textFill>
        </w:rPr>
        <w:t>（</w:t>
      </w:r>
      <w:r>
        <w:rPr>
          <w:rFonts w:hint="eastAsia" w:eastAsiaTheme="minorEastAsia"/>
          <w:color w:val="000000" w:themeColor="text1"/>
          <w:sz w:val="24"/>
          <w:lang w:val="en-US" w:eastAsia="zh-CN"/>
          <w14:textFill>
            <w14:solidFill>
              <w14:schemeClr w14:val="tx1"/>
            </w14:solidFill>
          </w14:textFill>
        </w:rPr>
        <w:t>5</w:t>
      </w:r>
      <w:r>
        <w:rPr>
          <w:rFonts w:hint="eastAsia" w:eastAsiaTheme="minorEastAsia"/>
          <w:color w:val="000000" w:themeColor="text1"/>
          <w:sz w:val="24"/>
          <w:lang w:eastAsia="zh-CN"/>
          <w14:textFill>
            <w14:solidFill>
              <w14:schemeClr w14:val="tx1"/>
            </w14:solidFill>
          </w14:textFill>
        </w:rPr>
        <w:t>）数字法治实务方向。数字法治实务方向主要研究网络法治、数据法治、智能法治的实务，涉及到数字权利、数字权力、网络安全、算法治理等相关领域的法律实务问题。着重就数字法治原理与实务、网络与数据安全法、数字法治政府、网络犯罪治理等问题开展系统深入研究。</w:t>
      </w:r>
    </w:p>
    <w:p w14:paraId="45DDEAD9">
      <w:pPr>
        <w:spacing w:line="440" w:lineRule="exact"/>
        <w:ind w:firstLine="480" w:firstLineChars="200"/>
        <w:rPr>
          <w:rFonts w:hint="eastAsia" w:eastAsiaTheme="minorEastAsia"/>
          <w:color w:val="000000" w:themeColor="text1"/>
          <w:sz w:val="24"/>
          <w:lang w:eastAsia="zh-CN"/>
          <w14:textFill>
            <w14:solidFill>
              <w14:schemeClr w14:val="tx1"/>
            </w14:solidFill>
          </w14:textFill>
        </w:rPr>
      </w:pPr>
      <w:r>
        <w:rPr>
          <w:rFonts w:hint="eastAsia" w:eastAsiaTheme="minorEastAsia"/>
          <w:color w:val="000000" w:themeColor="text1"/>
          <w:sz w:val="24"/>
          <w14:textFill>
            <w14:solidFill>
              <w14:schemeClr w14:val="tx1"/>
            </w14:solidFill>
          </w14:textFill>
        </w:rPr>
        <w:t>（</w:t>
      </w:r>
      <w:r>
        <w:rPr>
          <w:rFonts w:hint="eastAsia" w:eastAsiaTheme="minorEastAsia"/>
          <w:color w:val="000000" w:themeColor="text1"/>
          <w:sz w:val="24"/>
          <w:lang w:val="en-US" w:eastAsia="zh-CN"/>
          <w14:textFill>
            <w14:solidFill>
              <w14:schemeClr w14:val="tx1"/>
            </w14:solidFill>
          </w14:textFill>
        </w:rPr>
        <w:t>6</w:t>
      </w:r>
      <w:r>
        <w:rPr>
          <w:rFonts w:hint="eastAsia" w:eastAsiaTheme="minorEastAsia"/>
          <w:color w:val="000000" w:themeColor="text1"/>
          <w:sz w:val="24"/>
          <w14:textFill>
            <w14:solidFill>
              <w14:schemeClr w14:val="tx1"/>
            </w14:solidFill>
          </w14:textFill>
        </w:rPr>
        <w:t>）纪检监察</w:t>
      </w:r>
      <w:r>
        <w:rPr>
          <w:rFonts w:hint="eastAsia" w:eastAsiaTheme="minorEastAsia"/>
          <w:color w:val="000000" w:themeColor="text1"/>
          <w:sz w:val="24"/>
          <w:lang w:eastAsia="zh-CN"/>
          <w14:textFill>
            <w14:solidFill>
              <w14:schemeClr w14:val="tx1"/>
            </w14:solidFill>
          </w14:textFill>
        </w:rPr>
        <w:t>实务</w:t>
      </w:r>
      <w:r>
        <w:rPr>
          <w:rFonts w:hint="eastAsia" w:eastAsiaTheme="minorEastAsia"/>
          <w:color w:val="000000" w:themeColor="text1"/>
          <w:sz w:val="24"/>
          <w14:textFill>
            <w14:solidFill>
              <w14:schemeClr w14:val="tx1"/>
            </w14:solidFill>
          </w14:textFill>
        </w:rPr>
        <w:t>方向。纪检监察</w:t>
      </w:r>
      <w:r>
        <w:rPr>
          <w:rFonts w:hint="eastAsia" w:eastAsiaTheme="minorEastAsia"/>
          <w:color w:val="000000" w:themeColor="text1"/>
          <w:sz w:val="24"/>
          <w:lang w:eastAsia="zh-CN"/>
          <w14:textFill>
            <w14:solidFill>
              <w14:schemeClr w14:val="tx1"/>
            </w14:solidFill>
          </w14:textFill>
        </w:rPr>
        <w:t>实务</w:t>
      </w:r>
      <w:r>
        <w:rPr>
          <w:rFonts w:hint="eastAsia" w:eastAsiaTheme="minorEastAsia"/>
          <w:color w:val="000000" w:themeColor="text1"/>
          <w:sz w:val="24"/>
          <w14:textFill>
            <w14:solidFill>
              <w14:schemeClr w14:val="tx1"/>
            </w14:solidFill>
          </w14:textFill>
        </w:rPr>
        <w:t>方向</w:t>
      </w:r>
      <w:r>
        <w:rPr>
          <w:rFonts w:hint="eastAsia" w:eastAsiaTheme="minorEastAsia"/>
          <w:color w:val="000000" w:themeColor="text1"/>
          <w:sz w:val="24"/>
          <w:lang w:eastAsia="zh-CN"/>
          <w14:textFill>
            <w14:solidFill>
              <w14:schemeClr w14:val="tx1"/>
            </w14:solidFill>
          </w14:textFill>
        </w:rPr>
        <w:t>主要研究</w:t>
      </w:r>
      <w:r>
        <w:rPr>
          <w:rFonts w:hint="eastAsia" w:eastAsiaTheme="minorEastAsia"/>
          <w:color w:val="000000" w:themeColor="text1"/>
          <w:sz w:val="24"/>
          <w14:textFill>
            <w14:solidFill>
              <w14:schemeClr w14:val="tx1"/>
            </w14:solidFill>
          </w14:textFill>
        </w:rPr>
        <w:t>纪检监察</w:t>
      </w:r>
      <w:r>
        <w:rPr>
          <w:rFonts w:hint="eastAsia" w:eastAsiaTheme="minorEastAsia"/>
          <w:color w:val="000000" w:themeColor="text1"/>
          <w:sz w:val="24"/>
          <w:lang w:eastAsia="zh-CN"/>
          <w14:textFill>
            <w14:solidFill>
              <w14:schemeClr w14:val="tx1"/>
            </w14:solidFill>
          </w14:textFill>
        </w:rPr>
        <w:t>监督、调查、处置等工作实务，涉及到</w:t>
      </w:r>
      <w:r>
        <w:rPr>
          <w:rFonts w:hint="eastAsia" w:eastAsiaTheme="minorEastAsia"/>
          <w:color w:val="000000" w:themeColor="text1"/>
          <w:sz w:val="24"/>
          <w14:textFill>
            <w14:solidFill>
              <w14:schemeClr w14:val="tx1"/>
            </w14:solidFill>
          </w14:textFill>
        </w:rPr>
        <w:t>党和国家监督体系、党风廉政建设和反腐败等</w:t>
      </w:r>
      <w:r>
        <w:rPr>
          <w:rFonts w:hint="eastAsia" w:eastAsiaTheme="minorEastAsia"/>
          <w:color w:val="000000" w:themeColor="text1"/>
          <w:sz w:val="24"/>
          <w:lang w:eastAsia="zh-CN"/>
          <w14:textFill>
            <w14:solidFill>
              <w14:schemeClr w14:val="tx1"/>
            </w14:solidFill>
          </w14:textFill>
        </w:rPr>
        <w:t>相关</w:t>
      </w:r>
      <w:r>
        <w:rPr>
          <w:rFonts w:hint="eastAsia" w:eastAsiaTheme="minorEastAsia"/>
          <w:color w:val="000000" w:themeColor="text1"/>
          <w:sz w:val="24"/>
          <w14:textFill>
            <w14:solidFill>
              <w14:schemeClr w14:val="tx1"/>
            </w14:solidFill>
          </w14:textFill>
        </w:rPr>
        <w:t>领域</w:t>
      </w:r>
      <w:r>
        <w:rPr>
          <w:rFonts w:hint="eastAsia" w:eastAsiaTheme="minorEastAsia"/>
          <w:color w:val="000000" w:themeColor="text1"/>
          <w:sz w:val="24"/>
          <w:lang w:eastAsia="zh-CN"/>
          <w14:textFill>
            <w14:solidFill>
              <w14:schemeClr w14:val="tx1"/>
            </w14:solidFill>
          </w14:textFill>
        </w:rPr>
        <w:t>的实务问题。着重就监察法、中国监察制度史、职务犯罪、政务处分法等问题开展系统深入研究。</w:t>
      </w:r>
    </w:p>
    <w:p w14:paraId="1C4DB1D6">
      <w:pPr>
        <w:spacing w:line="360" w:lineRule="auto"/>
        <w:ind w:firstLine="560" w:firstLineChars="200"/>
        <w:rPr>
          <w:rFonts w:eastAsia="黑体"/>
          <w:b w:val="0"/>
          <w:bCs/>
          <w:sz w:val="28"/>
          <w:szCs w:val="28"/>
        </w:rPr>
      </w:pPr>
      <w:r>
        <w:rPr>
          <w:rFonts w:eastAsia="黑体"/>
          <w:b w:val="0"/>
          <w:bCs/>
          <w:sz w:val="28"/>
          <w:szCs w:val="28"/>
        </w:rPr>
        <w:t>四、学制及学习年限</w:t>
      </w:r>
    </w:p>
    <w:p w14:paraId="3C835BF3">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32BB987D">
      <w:pPr>
        <w:spacing w:line="360" w:lineRule="auto"/>
        <w:ind w:firstLine="560" w:firstLineChars="200"/>
        <w:rPr>
          <w:rFonts w:eastAsia="黑体"/>
          <w:b w:val="0"/>
          <w:bCs/>
          <w:sz w:val="28"/>
          <w:szCs w:val="28"/>
        </w:rPr>
      </w:pPr>
      <w:r>
        <w:rPr>
          <w:rFonts w:eastAsia="黑体"/>
          <w:b w:val="0"/>
          <w:bCs/>
          <w:sz w:val="28"/>
          <w:szCs w:val="28"/>
        </w:rPr>
        <w:t>五、培养目标</w:t>
      </w:r>
    </w:p>
    <w:p w14:paraId="2A5A17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hint="eastAsia" w:ascii="宋体" w:hAnsi="宋体" w:cs="宋体"/>
          <w:kern w:val="0"/>
          <w:szCs w:val="21"/>
        </w:rPr>
      </w:pPr>
      <w:r>
        <w:rPr>
          <w:rFonts w:hint="eastAsia" w:ascii="宋体" w:hAnsi="宋体"/>
          <w:sz w:val="24"/>
        </w:rPr>
        <w:t>全日制法律（法学）主要培养立法、</w:t>
      </w:r>
      <w:r>
        <w:rPr>
          <w:rFonts w:hint="eastAsia" w:ascii="宋体" w:hAnsi="宋体"/>
          <w:color w:val="000000" w:themeColor="text1"/>
          <w:sz w:val="24"/>
          <w14:textFill>
            <w14:solidFill>
              <w14:schemeClr w14:val="tx1"/>
            </w14:solidFill>
          </w14:textFill>
        </w:rPr>
        <w:t>执法、</w:t>
      </w:r>
      <w:r>
        <w:rPr>
          <w:rFonts w:hint="eastAsia" w:ascii="宋体" w:hAnsi="宋体"/>
          <w:sz w:val="24"/>
        </w:rPr>
        <w:t>司法、</w:t>
      </w:r>
      <w:r>
        <w:rPr>
          <w:rFonts w:hint="eastAsia" w:ascii="宋体" w:hAnsi="宋体"/>
          <w:color w:val="000000" w:themeColor="text1"/>
          <w:sz w:val="24"/>
          <w14:textFill>
            <w14:solidFill>
              <w14:schemeClr w14:val="tx1"/>
            </w14:solidFill>
          </w14:textFill>
        </w:rPr>
        <w:t>纪检监察和法律服务等领</w:t>
      </w:r>
      <w:r>
        <w:rPr>
          <w:rFonts w:hint="eastAsia" w:ascii="宋体" w:hAnsi="宋体"/>
          <w:sz w:val="24"/>
        </w:rPr>
        <w:t>域，德才兼备、高层次，专门型、应用型的法治人才。</w:t>
      </w:r>
    </w:p>
    <w:p w14:paraId="7E63A1B8">
      <w:pPr>
        <w:adjustRightInd w:val="0"/>
        <w:spacing w:line="360" w:lineRule="auto"/>
        <w:ind w:firstLine="480" w:firstLineChars="200"/>
        <w:rPr>
          <w:rFonts w:hint="eastAsia" w:ascii="宋体" w:hAnsi="宋体"/>
          <w:sz w:val="24"/>
        </w:rPr>
      </w:pPr>
      <w:r>
        <w:rPr>
          <w:rFonts w:hint="eastAsia" w:ascii="宋体" w:hAnsi="宋体"/>
          <w:sz w:val="24"/>
        </w:rPr>
        <w:t>（一）基本要求</w:t>
      </w:r>
    </w:p>
    <w:p w14:paraId="00E4760E">
      <w:pPr>
        <w:adjustRightInd w:val="0"/>
        <w:spacing w:line="360" w:lineRule="auto"/>
        <w:ind w:firstLine="480" w:firstLineChars="200"/>
        <w:rPr>
          <w:rFonts w:hint="eastAsia" w:ascii="宋体" w:hAnsi="宋体"/>
          <w:sz w:val="24"/>
        </w:rPr>
      </w:pPr>
      <w:r>
        <w:rPr>
          <w:rFonts w:hint="eastAsia" w:ascii="宋体" w:hAnsi="宋体"/>
          <w:sz w:val="24"/>
        </w:rPr>
        <w:t>1. 全面掌握习近平法治思想，忠于党、忠于国家、忠于人民、忠于法律，遵守宪法和法律，德法兼修，具有良好的政治素质和道德素质，积极践行社会主义核心价值观，自觉遵守法律职业伦理。</w:t>
      </w:r>
    </w:p>
    <w:p w14:paraId="1452AD02">
      <w:pPr>
        <w:adjustRightInd w:val="0"/>
        <w:spacing w:line="360" w:lineRule="auto"/>
        <w:ind w:firstLine="480" w:firstLineChars="200"/>
        <w:rPr>
          <w:rFonts w:hint="eastAsia" w:ascii="宋体" w:hAnsi="宋体"/>
          <w:sz w:val="24"/>
        </w:rPr>
      </w:pPr>
      <w:r>
        <w:rPr>
          <w:rFonts w:hint="eastAsia" w:ascii="宋体" w:hAnsi="宋体"/>
          <w:sz w:val="24"/>
        </w:rPr>
        <w:t>2. 深刻理解中国特色社会主义法治基本原理，能够运用法治思维、法治方式来观察、分析、判断和解决问题；能在具体个案中较为熟练运用法律解释、法律推理、法律论证等基本法律方法。</w:t>
      </w:r>
    </w:p>
    <w:p w14:paraId="70277236">
      <w:pPr>
        <w:adjustRightInd w:val="0"/>
        <w:spacing w:line="360" w:lineRule="auto"/>
        <w:ind w:firstLine="480" w:firstLineChars="200"/>
        <w:rPr>
          <w:rFonts w:hint="eastAsia" w:ascii="宋体" w:hAnsi="宋体"/>
          <w:sz w:val="24"/>
        </w:rPr>
      </w:pPr>
      <w:r>
        <w:rPr>
          <w:rFonts w:hint="eastAsia" w:ascii="宋体" w:hAnsi="宋体"/>
          <w:sz w:val="24"/>
        </w:rPr>
        <w:t>3. 能综合运用法律、经济、管理、科技、外语和计算机等方面的专业知识，熟练地从事代理与辩护业务、非诉讼法律实务（如法律咨询、谈判、起草合同等）以及法律事务的组织和管理。</w:t>
      </w:r>
    </w:p>
    <w:p w14:paraId="55BBA0DF">
      <w:pPr>
        <w:adjustRightInd w:val="0"/>
        <w:spacing w:line="360" w:lineRule="auto"/>
        <w:ind w:firstLine="480" w:firstLineChars="200"/>
        <w:rPr>
          <w:rFonts w:hint="eastAsia" w:ascii="宋体" w:hAnsi="宋体"/>
          <w:sz w:val="24"/>
        </w:rPr>
      </w:pPr>
      <w:r>
        <w:rPr>
          <w:rFonts w:hint="eastAsia" w:ascii="宋体" w:hAnsi="宋体"/>
          <w:sz w:val="24"/>
        </w:rPr>
        <w:t>4. 较为熟练地掌握一门外语，具备用外语进行业务沟通、处理涉外法律事务、研究国外法律文献等能力。</w:t>
      </w:r>
    </w:p>
    <w:p w14:paraId="362D52D4">
      <w:pPr>
        <w:adjustRightInd w:val="0"/>
        <w:spacing w:line="360" w:lineRule="auto"/>
        <w:ind w:firstLine="480" w:firstLineChars="200"/>
        <w:rPr>
          <w:rFonts w:hint="eastAsia" w:ascii="宋体" w:hAnsi="宋体"/>
          <w:sz w:val="24"/>
        </w:rPr>
      </w:pPr>
      <w:r>
        <w:rPr>
          <w:rFonts w:hint="eastAsia" w:ascii="宋体" w:hAnsi="宋体"/>
          <w:sz w:val="24"/>
        </w:rPr>
        <w:t>（二）具体要求</w:t>
      </w:r>
    </w:p>
    <w:p w14:paraId="10FD3DA1">
      <w:pPr>
        <w:adjustRightInd w:val="0"/>
        <w:spacing w:line="360" w:lineRule="auto"/>
        <w:ind w:firstLine="480" w:firstLineChars="200"/>
        <w:rPr>
          <w:rFonts w:hint="eastAsia" w:ascii="宋体" w:hAnsi="宋体"/>
          <w:sz w:val="24"/>
        </w:rPr>
      </w:pPr>
      <w:r>
        <w:rPr>
          <w:rFonts w:hint="eastAsia" w:ascii="宋体" w:hAnsi="宋体"/>
          <w:sz w:val="24"/>
        </w:rPr>
        <w:t>1. 全面掌握法律专业知识。</w:t>
      </w:r>
    </w:p>
    <w:p w14:paraId="4FA78953">
      <w:pPr>
        <w:adjustRightInd w:val="0"/>
        <w:spacing w:line="360" w:lineRule="auto"/>
        <w:ind w:firstLine="480" w:firstLineChars="200"/>
        <w:rPr>
          <w:rFonts w:hint="eastAsia" w:ascii="宋体" w:hAnsi="宋体"/>
          <w:sz w:val="24"/>
        </w:rPr>
      </w:pPr>
      <w:r>
        <w:rPr>
          <w:rFonts w:hint="eastAsia" w:ascii="宋体" w:hAnsi="宋体"/>
          <w:sz w:val="24"/>
        </w:rPr>
        <w:t>2. 能够运用法律思维分析和解决法律实务问题。</w:t>
      </w:r>
    </w:p>
    <w:p w14:paraId="4CCBCFBE">
      <w:pPr>
        <w:adjustRightInd w:val="0"/>
        <w:spacing w:line="360" w:lineRule="auto"/>
        <w:ind w:firstLine="480" w:firstLineChars="200"/>
        <w:rPr>
          <w:rFonts w:hint="eastAsia" w:ascii="宋体" w:hAnsi="宋体"/>
          <w:sz w:val="24"/>
        </w:rPr>
      </w:pPr>
      <w:r>
        <w:rPr>
          <w:rFonts w:hint="eastAsia" w:ascii="宋体" w:hAnsi="宋体"/>
          <w:sz w:val="24"/>
        </w:rPr>
        <w:t>3. 熟练运用法律方法，具备在具体案件中进行法律解释、法律推理和法律论证的能力。</w:t>
      </w:r>
    </w:p>
    <w:p w14:paraId="6A14A8E0">
      <w:pPr>
        <w:adjustRightInd w:val="0"/>
        <w:spacing w:line="360" w:lineRule="auto"/>
        <w:ind w:firstLine="480" w:firstLineChars="200"/>
        <w:rPr>
          <w:rFonts w:hint="eastAsia" w:ascii="宋体" w:hAnsi="宋体"/>
          <w:sz w:val="24"/>
        </w:rPr>
      </w:pPr>
      <w:r>
        <w:rPr>
          <w:rFonts w:hint="eastAsia" w:ascii="宋体" w:hAnsi="宋体"/>
          <w:sz w:val="24"/>
        </w:rPr>
        <w:t>4. 掌握主要诉讼程序</w:t>
      </w:r>
      <w:r>
        <w:rPr>
          <w:rFonts w:hint="eastAsia" w:ascii="宋体" w:hAnsi="宋体"/>
          <w:color w:val="FF0000"/>
          <w:sz w:val="24"/>
          <w:lang w:eastAsia="zh-CN"/>
        </w:rPr>
        <w:t>和诉讼技能</w:t>
      </w:r>
      <w:r>
        <w:rPr>
          <w:rFonts w:hint="eastAsia" w:ascii="宋体" w:hAnsi="宋体"/>
          <w:sz w:val="24"/>
        </w:rPr>
        <w:t>，能够熟练从事法律事务代理和辩护业务。</w:t>
      </w:r>
    </w:p>
    <w:p w14:paraId="59F7AC1B">
      <w:pPr>
        <w:adjustRightInd w:val="0"/>
        <w:spacing w:line="360" w:lineRule="auto"/>
        <w:ind w:firstLine="480" w:firstLineChars="200"/>
        <w:rPr>
          <w:rFonts w:hint="eastAsia" w:ascii="宋体" w:hAnsi="宋体"/>
          <w:sz w:val="24"/>
        </w:rPr>
      </w:pPr>
      <w:r>
        <w:rPr>
          <w:rFonts w:hint="eastAsia" w:ascii="宋体" w:hAnsi="宋体"/>
          <w:sz w:val="24"/>
        </w:rPr>
        <w:t>5. 能够熟练从事非诉讼法律实务，具备法律事务的组织和管理能力。</w:t>
      </w:r>
    </w:p>
    <w:p w14:paraId="4E06E186">
      <w:pPr>
        <w:adjustRightInd w:val="0"/>
        <w:spacing w:line="360" w:lineRule="auto"/>
        <w:ind w:firstLine="480" w:firstLineChars="200"/>
        <w:rPr>
          <w:rFonts w:hint="eastAsia" w:ascii="黑体" w:hAnsi="宋体" w:eastAsia="黑体"/>
          <w:bCs/>
          <w:sz w:val="28"/>
          <w:szCs w:val="28"/>
        </w:rPr>
      </w:pPr>
      <w:r>
        <w:rPr>
          <w:rFonts w:hint="eastAsia" w:ascii="宋体" w:hAnsi="宋体"/>
          <w:sz w:val="24"/>
        </w:rPr>
        <w:t>6. 熟练掌握法律文书制作、法律咨询、法律谈判等技能。</w:t>
      </w:r>
    </w:p>
    <w:p w14:paraId="61BDEEEB">
      <w:pPr>
        <w:spacing w:line="360" w:lineRule="auto"/>
        <w:ind w:firstLine="560" w:firstLineChars="200"/>
        <w:rPr>
          <w:rFonts w:eastAsia="黑体"/>
          <w:b w:val="0"/>
          <w:bCs/>
          <w:sz w:val="28"/>
          <w:szCs w:val="28"/>
        </w:rPr>
      </w:pPr>
      <w:r>
        <w:rPr>
          <w:rFonts w:eastAsia="黑体"/>
          <w:b w:val="0"/>
          <w:bCs/>
          <w:sz w:val="28"/>
          <w:szCs w:val="28"/>
        </w:rPr>
        <w:t>六、培养方式</w:t>
      </w:r>
    </w:p>
    <w:p w14:paraId="29AD57FE">
      <w:pPr>
        <w:spacing w:line="360" w:lineRule="auto"/>
        <w:ind w:firstLine="480" w:firstLineChars="200"/>
        <w:rPr>
          <w:rFonts w:asciiTheme="minorEastAsia" w:hAnsiTheme="minorEastAsia" w:eastAsiaTheme="minorEastAsia"/>
          <w:bCs/>
          <w:iCs/>
          <w:sz w:val="24"/>
        </w:rPr>
      </w:pPr>
      <w:r>
        <w:rPr>
          <w:rFonts w:hint="eastAsia" w:asciiTheme="minorEastAsia" w:hAnsiTheme="minorEastAsia" w:eastAsiaTheme="minorEastAsia"/>
          <w:bCs/>
          <w:iCs/>
          <w:sz w:val="24"/>
        </w:rPr>
        <w:t>1. 培养方式实行导师制，成立法律硕士培养指导委员会，采取集体培养与个人负责相结合的指导方式。法律硕士培养指导委员会应以具有指导硕士研究生资格的正、副教授为主，并吸收一定比例的法律实务部门中具有高级专业技术职务的人员参加。加强教学与科研、法律实务部门的联系与交流，聘请法律实务部门的专家参与研究生的教学及培养工作。导师根据学校实际及学生知识结构等情况，制定个性化的指导方案，使学生得到良好的法学理论及法律职业训练。</w:t>
      </w:r>
    </w:p>
    <w:p w14:paraId="2369D79D">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 课程学习与实践能力并重。在提升专业理论知识的同时，重视和加强实践教学，突出课程实用性和综合性。采用多种途径和方式加强学生的法律职业伦理和职业能力的培养，着力提高研究生解决法律实务的意识和能力。实践能力的培养将融入各门课程之中，通过课程教学、法律实践、专题讲座与研究等形式来培养，并注重这些技能的综合应用。安排研究生参与社会调查、法律咨询、法律援助，以及到司法实践基地部门进行业务实习，不断培养法律专业硕士生的职业能力。</w:t>
      </w:r>
    </w:p>
    <w:p w14:paraId="1600C8E6">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 必修课的考核</w:t>
      </w:r>
      <w:r>
        <w:rPr>
          <w:rFonts w:hint="eastAsia" w:asciiTheme="minorEastAsia" w:hAnsiTheme="minorEastAsia" w:eastAsiaTheme="minorEastAsia"/>
          <w:bCs/>
          <w:iCs/>
          <w:sz w:val="24"/>
          <w:lang w:eastAsia="zh-CN"/>
        </w:rPr>
        <w:t>方式</w:t>
      </w:r>
      <w:r>
        <w:rPr>
          <w:rFonts w:hint="eastAsia" w:asciiTheme="minorEastAsia" w:hAnsiTheme="minorEastAsia" w:eastAsiaTheme="minorEastAsia"/>
          <w:bCs/>
          <w:iCs/>
          <w:sz w:val="24"/>
        </w:rPr>
        <w:t>分为考试和考查两种形式，选修课的考核方式分为考试或考查两种形式。</w:t>
      </w:r>
    </w:p>
    <w:p w14:paraId="3C850CB1">
      <w:pPr>
        <w:spacing w:line="360" w:lineRule="auto"/>
        <w:ind w:firstLine="560" w:firstLineChars="200"/>
        <w:rPr>
          <w:rFonts w:eastAsia="黑体"/>
          <w:b w:val="0"/>
          <w:bCs/>
          <w:sz w:val="28"/>
          <w:szCs w:val="28"/>
        </w:rPr>
      </w:pPr>
      <w:r>
        <w:rPr>
          <w:rFonts w:hint="eastAsia" w:eastAsia="黑体"/>
          <w:b w:val="0"/>
          <w:bCs/>
          <w:sz w:val="28"/>
          <w:szCs w:val="28"/>
        </w:rPr>
        <w:t>七、</w:t>
      </w:r>
      <w:r>
        <w:rPr>
          <w:rFonts w:eastAsia="黑体"/>
          <w:b w:val="0"/>
          <w:bCs/>
          <w:sz w:val="28"/>
          <w:szCs w:val="28"/>
        </w:rPr>
        <w:t>中期筛选</w:t>
      </w:r>
    </w:p>
    <w:p w14:paraId="5AFCDC47">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2FD92DDE">
      <w:pPr>
        <w:spacing w:line="360" w:lineRule="auto"/>
        <w:ind w:firstLine="560" w:firstLineChars="200"/>
        <w:rPr>
          <w:rFonts w:eastAsia="黑体"/>
          <w:b w:val="0"/>
          <w:bCs/>
          <w:sz w:val="28"/>
          <w:szCs w:val="28"/>
        </w:rPr>
      </w:pPr>
      <w:r>
        <w:rPr>
          <w:rFonts w:hint="eastAsia" w:eastAsia="黑体"/>
          <w:b w:val="0"/>
          <w:bCs/>
          <w:sz w:val="28"/>
          <w:szCs w:val="28"/>
        </w:rPr>
        <w:t>八</w:t>
      </w:r>
      <w:r>
        <w:rPr>
          <w:rFonts w:eastAsia="黑体"/>
          <w:b w:val="0"/>
          <w:bCs/>
          <w:sz w:val="28"/>
          <w:szCs w:val="28"/>
        </w:rPr>
        <w:t>、学位（毕业）论文</w:t>
      </w:r>
    </w:p>
    <w:p w14:paraId="6C878298">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p>
    <w:p w14:paraId="684E107C">
      <w:pPr>
        <w:adjustRightInd w:val="0"/>
        <w:spacing w:line="360" w:lineRule="auto"/>
        <w:ind w:firstLine="480" w:firstLineChars="200"/>
        <w:rPr>
          <w:rFonts w:hint="eastAsia" w:ascii="宋体" w:hAnsi="宋体" w:eastAsia="宋体"/>
          <w:color w:val="000000" w:themeColor="text1"/>
          <w:sz w:val="24"/>
          <w:lang w:eastAsia="zh-CN"/>
          <w14:textFill>
            <w14:solidFill>
              <w14:schemeClr w14:val="tx1"/>
            </w14:solidFill>
          </w14:textFill>
        </w:rPr>
      </w:pPr>
      <w:r>
        <w:rPr>
          <w:rFonts w:hint="eastAsia" w:ascii="宋体" w:hAnsi="宋体"/>
          <w:sz w:val="24"/>
        </w:rPr>
        <w:t>法学院和河北大学法律硕士教育中心根据</w:t>
      </w:r>
      <w:r>
        <w:rPr>
          <w:rFonts w:hint="eastAsia" w:ascii="宋体" w:hAnsi="宋体"/>
          <w:sz w:val="24"/>
          <w:lang w:val="en-US" w:eastAsia="zh-CN"/>
        </w:rPr>
        <w:t>全日制</w:t>
      </w:r>
      <w:r>
        <w:rPr>
          <w:rFonts w:hint="eastAsia" w:ascii="宋体" w:hAnsi="宋体"/>
          <w:sz w:val="24"/>
        </w:rPr>
        <w:t>法律（法学）研究生的研究兴趣和导师擅长的专业领域确定学生的研究方向。学位论文</w:t>
      </w:r>
      <w:r>
        <w:rPr>
          <w:rFonts w:hint="eastAsia" w:ascii="宋体" w:hAnsi="宋体"/>
          <w:color w:val="000000" w:themeColor="text1"/>
          <w:sz w:val="24"/>
          <w14:textFill>
            <w14:solidFill>
              <w14:schemeClr w14:val="tx1"/>
            </w14:solidFill>
          </w14:textFill>
        </w:rPr>
        <w:t>设以下</w:t>
      </w:r>
      <w:r>
        <w:rPr>
          <w:rFonts w:hint="eastAsia" w:ascii="宋体" w:hAnsi="宋体"/>
          <w:color w:val="000000" w:themeColor="text1"/>
          <w:sz w:val="24"/>
          <w:lang w:eastAsia="zh-CN"/>
          <w14:textFill>
            <w14:solidFill>
              <w14:schemeClr w14:val="tx1"/>
            </w14:solidFill>
          </w14:textFill>
        </w:rPr>
        <w:t>六</w:t>
      </w:r>
      <w:r>
        <w:rPr>
          <w:rFonts w:hint="eastAsia" w:ascii="宋体" w:hAnsi="宋体"/>
          <w:color w:val="000000" w:themeColor="text1"/>
          <w:sz w:val="24"/>
          <w14:textFill>
            <w14:solidFill>
              <w14:schemeClr w14:val="tx1"/>
            </w14:solidFill>
          </w14:textFill>
        </w:rPr>
        <w:t>个研究方向：（1）</w:t>
      </w:r>
      <w:r>
        <w:rPr>
          <w:rFonts w:hint="eastAsia" w:ascii="宋体" w:hAnsi="宋体"/>
          <w:color w:val="000000" w:themeColor="text1"/>
          <w:sz w:val="24"/>
          <w:lang w:eastAsia="zh-CN"/>
          <w14:textFill>
            <w14:solidFill>
              <w14:schemeClr w14:val="tx1"/>
            </w14:solidFill>
          </w14:textFill>
        </w:rPr>
        <w:t>立法实务</w:t>
      </w:r>
      <w:r>
        <w:rPr>
          <w:rFonts w:hint="eastAsia" w:ascii="宋体" w:hAnsi="宋体"/>
          <w:color w:val="000000" w:themeColor="text1"/>
          <w:sz w:val="24"/>
          <w14:textFill>
            <w14:solidFill>
              <w14:schemeClr w14:val="tx1"/>
            </w14:solidFill>
          </w14:textFill>
        </w:rPr>
        <w:t>；（2）</w:t>
      </w:r>
      <w:r>
        <w:rPr>
          <w:rFonts w:hint="eastAsia" w:ascii="宋体" w:hAnsi="宋体"/>
          <w:color w:val="000000" w:themeColor="text1"/>
          <w:sz w:val="24"/>
          <w:lang w:eastAsia="zh-CN"/>
          <w14:textFill>
            <w14:solidFill>
              <w14:schemeClr w14:val="tx1"/>
            </w14:solidFill>
          </w14:textFill>
        </w:rPr>
        <w:t>司法实务</w:t>
      </w:r>
      <w:r>
        <w:rPr>
          <w:rFonts w:hint="eastAsia" w:ascii="宋体" w:hAnsi="宋体"/>
          <w:color w:val="000000" w:themeColor="text1"/>
          <w:sz w:val="24"/>
          <w14:textFill>
            <w14:solidFill>
              <w14:schemeClr w14:val="tx1"/>
            </w14:solidFill>
          </w14:textFill>
        </w:rPr>
        <w:t>；（3）</w:t>
      </w:r>
      <w:r>
        <w:rPr>
          <w:rFonts w:hint="eastAsia" w:ascii="宋体" w:hAnsi="宋体"/>
          <w:color w:val="000000" w:themeColor="text1"/>
          <w:sz w:val="24"/>
          <w:lang w:eastAsia="zh-CN"/>
          <w14:textFill>
            <w14:solidFill>
              <w14:schemeClr w14:val="tx1"/>
            </w14:solidFill>
          </w14:textFill>
        </w:rPr>
        <w:t>企业法律实务</w:t>
      </w:r>
      <w:r>
        <w:rPr>
          <w:rFonts w:hint="eastAsia" w:ascii="宋体" w:hAnsi="宋体"/>
          <w:color w:val="000000" w:themeColor="text1"/>
          <w:sz w:val="24"/>
          <w14:textFill>
            <w14:solidFill>
              <w14:schemeClr w14:val="tx1"/>
            </w14:solidFill>
          </w14:textFill>
        </w:rPr>
        <w:t>；（4）</w:t>
      </w:r>
      <w:r>
        <w:rPr>
          <w:rFonts w:hint="eastAsia" w:ascii="宋体" w:hAnsi="宋体"/>
          <w:color w:val="000000" w:themeColor="text1"/>
          <w:sz w:val="24"/>
          <w:lang w:eastAsia="zh-CN"/>
          <w14:textFill>
            <w14:solidFill>
              <w14:schemeClr w14:val="tx1"/>
            </w14:solidFill>
          </w14:textFill>
        </w:rPr>
        <w:t>涉外法治实务</w:t>
      </w:r>
      <w:r>
        <w:rPr>
          <w:rFonts w:hint="eastAsia" w:ascii="宋体" w:hAnsi="宋体"/>
          <w:color w:val="000000" w:themeColor="text1"/>
          <w:sz w:val="24"/>
          <w14:textFill>
            <w14:solidFill>
              <w14:schemeClr w14:val="tx1"/>
            </w14:solidFill>
          </w14:textFill>
        </w:rPr>
        <w:t>；（5）</w:t>
      </w:r>
      <w:r>
        <w:rPr>
          <w:rFonts w:hint="eastAsia" w:ascii="宋体" w:hAnsi="宋体"/>
          <w:color w:val="000000" w:themeColor="text1"/>
          <w:sz w:val="24"/>
          <w:lang w:eastAsia="zh-CN"/>
          <w14:textFill>
            <w14:solidFill>
              <w14:schemeClr w14:val="tx1"/>
            </w14:solidFill>
          </w14:textFill>
        </w:rPr>
        <w:t>数字法治实务</w:t>
      </w:r>
      <w:r>
        <w:rPr>
          <w:rFonts w:hint="eastAsia" w:ascii="宋体" w:hAnsi="宋体"/>
          <w:color w:val="000000" w:themeColor="text1"/>
          <w:sz w:val="24"/>
          <w14:textFill>
            <w14:solidFill>
              <w14:schemeClr w14:val="tx1"/>
            </w14:solidFill>
          </w14:textFill>
        </w:rPr>
        <w:t>；（6）</w:t>
      </w:r>
      <w:r>
        <w:rPr>
          <w:rFonts w:hint="eastAsia" w:ascii="宋体" w:hAnsi="宋体"/>
          <w:color w:val="000000" w:themeColor="text1"/>
          <w:sz w:val="24"/>
          <w:lang w:eastAsia="zh-CN"/>
          <w14:textFill>
            <w14:solidFill>
              <w14:schemeClr w14:val="tx1"/>
            </w14:solidFill>
          </w14:textFill>
        </w:rPr>
        <w:t>纪检监察实务。</w:t>
      </w:r>
    </w:p>
    <w:p w14:paraId="1AC6DCFC">
      <w:pPr>
        <w:adjustRightInd w:val="0"/>
        <w:spacing w:line="360" w:lineRule="auto"/>
        <w:ind w:firstLine="480" w:firstLineChars="200"/>
        <w:rPr>
          <w:rFonts w:ascii="宋体" w:hAnsi="宋体" w:cs="宋体"/>
          <w:kern w:val="0"/>
          <w:sz w:val="24"/>
        </w:rPr>
      </w:pPr>
      <w:r>
        <w:rPr>
          <w:rFonts w:hint="eastAsia" w:ascii="宋体" w:hAnsi="宋体"/>
          <w:sz w:val="24"/>
        </w:rPr>
        <w:t>学位论文的字数要求：应用性专题的字数以</w:t>
      </w:r>
      <w:r>
        <w:rPr>
          <w:sz w:val="24"/>
        </w:rPr>
        <w:t>2</w:t>
      </w:r>
      <w:r>
        <w:rPr>
          <w:rFonts w:hAnsi="宋体"/>
          <w:sz w:val="24"/>
        </w:rPr>
        <w:t>万至</w:t>
      </w:r>
      <w:r>
        <w:rPr>
          <w:sz w:val="24"/>
        </w:rPr>
        <w:t>2.5</w:t>
      </w:r>
      <w:r>
        <w:rPr>
          <w:rFonts w:hAnsi="宋体"/>
          <w:sz w:val="24"/>
        </w:rPr>
        <w:t>万字为宜，调研报告和案例分析的字数以</w:t>
      </w:r>
      <w:r>
        <w:rPr>
          <w:sz w:val="24"/>
        </w:rPr>
        <w:t>2</w:t>
      </w:r>
      <w:r>
        <w:rPr>
          <w:rFonts w:hAnsi="宋体"/>
          <w:sz w:val="24"/>
        </w:rPr>
        <w:t>万字为宜。</w:t>
      </w:r>
      <w:r>
        <w:rPr>
          <w:rFonts w:hint="eastAsia" w:ascii="宋体" w:hAnsi="宋体"/>
          <w:sz w:val="24"/>
        </w:rPr>
        <w:t>学位论文的写作应达到以下五个方面的要求</w:t>
      </w:r>
      <w:r>
        <w:rPr>
          <w:rFonts w:hAnsi="宋体"/>
          <w:sz w:val="24"/>
        </w:rPr>
        <w:t>：（</w:t>
      </w:r>
      <w:r>
        <w:rPr>
          <w:kern w:val="0"/>
          <w:sz w:val="24"/>
        </w:rPr>
        <w:t>1</w:t>
      </w:r>
      <w:r>
        <w:rPr>
          <w:rFonts w:hAnsi="宋体"/>
          <w:kern w:val="0"/>
          <w:sz w:val="24"/>
        </w:rPr>
        <w:t>）论题具有理论和实践意义</w:t>
      </w:r>
      <w:r>
        <w:rPr>
          <w:rFonts w:hint="eastAsia" w:hAnsi="宋体"/>
          <w:kern w:val="0"/>
          <w:sz w:val="24"/>
        </w:rPr>
        <w:t>，</w:t>
      </w:r>
      <w:r>
        <w:rPr>
          <w:rFonts w:hAnsi="宋体"/>
          <w:kern w:val="0"/>
          <w:sz w:val="24"/>
        </w:rPr>
        <w:t>题目设计合理；（</w:t>
      </w:r>
      <w:r>
        <w:rPr>
          <w:kern w:val="0"/>
          <w:sz w:val="24"/>
        </w:rPr>
        <w:t>2</w:t>
      </w:r>
      <w:r>
        <w:rPr>
          <w:rFonts w:hAnsi="宋体"/>
          <w:kern w:val="0"/>
          <w:sz w:val="24"/>
        </w:rPr>
        <w:t>）梳理和归纳同类问题的研究或实践现状；</w:t>
      </w:r>
      <w:r>
        <w:rPr>
          <w:rFonts w:hint="eastAsia" w:hAnsi="宋体"/>
          <w:kern w:val="0"/>
          <w:sz w:val="24"/>
        </w:rPr>
        <w:t>（3）论据</w:t>
      </w:r>
      <w:r>
        <w:rPr>
          <w:rFonts w:hAnsi="宋体"/>
          <w:kern w:val="0"/>
          <w:sz w:val="24"/>
        </w:rPr>
        <w:t>充分</w:t>
      </w:r>
      <w:r>
        <w:rPr>
          <w:rFonts w:hint="eastAsia" w:hAnsi="宋体"/>
          <w:kern w:val="0"/>
          <w:sz w:val="24"/>
        </w:rPr>
        <w:t>，</w:t>
      </w:r>
      <w:r>
        <w:rPr>
          <w:rFonts w:hAnsi="宋体"/>
          <w:kern w:val="0"/>
          <w:sz w:val="24"/>
        </w:rPr>
        <w:t>论证合理</w:t>
      </w:r>
      <w:r>
        <w:rPr>
          <w:rFonts w:hint="eastAsia" w:hAnsi="宋体"/>
          <w:kern w:val="0"/>
          <w:sz w:val="24"/>
        </w:rPr>
        <w:t>，</w:t>
      </w:r>
      <w:r>
        <w:rPr>
          <w:rFonts w:hAnsi="宋体"/>
          <w:kern w:val="0"/>
          <w:sz w:val="24"/>
        </w:rPr>
        <w:t>资料完整</w:t>
      </w:r>
      <w:r>
        <w:rPr>
          <w:rFonts w:hint="eastAsia" w:hAnsi="宋体"/>
          <w:kern w:val="0"/>
          <w:sz w:val="24"/>
        </w:rPr>
        <w:t>；</w:t>
      </w:r>
      <w:r>
        <w:rPr>
          <w:rFonts w:hAnsi="宋体"/>
          <w:kern w:val="0"/>
          <w:sz w:val="24"/>
        </w:rPr>
        <w:t>（</w:t>
      </w:r>
      <w:r>
        <w:rPr>
          <w:rFonts w:hint="eastAsia"/>
          <w:kern w:val="0"/>
          <w:sz w:val="24"/>
        </w:rPr>
        <w:t>4</w:t>
      </w:r>
      <w:r>
        <w:rPr>
          <w:rFonts w:hAnsi="宋体"/>
          <w:kern w:val="0"/>
          <w:sz w:val="24"/>
        </w:rPr>
        <w:t>）具有研究方法意识，能够采取多样的研究方法，</w:t>
      </w:r>
      <w:r>
        <w:rPr>
          <w:rFonts w:hint="eastAsia" w:hAnsi="宋体"/>
          <w:kern w:val="0"/>
          <w:sz w:val="24"/>
        </w:rPr>
        <w:t>如</w:t>
      </w:r>
      <w:r>
        <w:rPr>
          <w:rFonts w:hAnsi="宋体"/>
          <w:kern w:val="0"/>
          <w:sz w:val="24"/>
        </w:rPr>
        <w:t>社会调查与统计方法</w:t>
      </w:r>
      <w:r>
        <w:rPr>
          <w:rFonts w:hint="eastAsia" w:hAnsi="宋体"/>
          <w:kern w:val="0"/>
          <w:sz w:val="24"/>
        </w:rPr>
        <w:t>、</w:t>
      </w:r>
      <w:r>
        <w:rPr>
          <w:rFonts w:hAnsi="宋体"/>
          <w:kern w:val="0"/>
          <w:sz w:val="24"/>
        </w:rPr>
        <w:t>规范实证方法等；（</w:t>
      </w:r>
      <w:r>
        <w:rPr>
          <w:rFonts w:hint="eastAsia"/>
          <w:kern w:val="0"/>
          <w:sz w:val="24"/>
        </w:rPr>
        <w:t>5</w:t>
      </w:r>
      <w:r>
        <w:rPr>
          <w:rFonts w:hAnsi="宋体"/>
          <w:kern w:val="0"/>
          <w:sz w:val="24"/>
        </w:rPr>
        <w:t>）</w:t>
      </w:r>
      <w:r>
        <w:rPr>
          <w:rFonts w:ascii="宋体" w:hAnsi="宋体" w:cs="宋体"/>
          <w:kern w:val="0"/>
          <w:sz w:val="24"/>
        </w:rPr>
        <w:t>符合写作规范。</w:t>
      </w:r>
    </w:p>
    <w:p w14:paraId="04C27E99">
      <w:pPr>
        <w:adjustRightInd w:val="0"/>
        <w:spacing w:line="360" w:lineRule="auto"/>
        <w:ind w:firstLine="480" w:firstLineChars="200"/>
        <w:rPr>
          <w:rFonts w:hint="eastAsia" w:ascii="宋体" w:hAnsi="宋体"/>
          <w:sz w:val="24"/>
        </w:rPr>
      </w:pPr>
      <w:r>
        <w:rPr>
          <w:bCs/>
          <w:color w:val="222222"/>
          <w:kern w:val="0"/>
          <w:sz w:val="24"/>
        </w:rPr>
        <w:t>2.开题：</w:t>
      </w:r>
      <w:r>
        <w:rPr>
          <w:rFonts w:hint="eastAsia" w:ascii="宋体" w:hAnsi="宋体"/>
          <w:sz w:val="24"/>
        </w:rPr>
        <w:t>学位论文选题应贯彻理论联系实际的原则，论文内容应着眼实际问题、面向法律实务、深入法学理论，反映学生运用所学法学理论与知识综合解决法律实务中的理论和实践问题的能力。导师组应根据学生的选题方向，确定具体的导师负责其论文的指导工作。</w:t>
      </w:r>
    </w:p>
    <w:p w14:paraId="503B6BC8">
      <w:pPr>
        <w:adjustRightInd w:val="0"/>
        <w:spacing w:line="360" w:lineRule="auto"/>
        <w:ind w:firstLine="480" w:firstLineChars="200"/>
        <w:rPr>
          <w:rFonts w:hint="eastAsia" w:ascii="宋体" w:hAnsi="宋体"/>
          <w:sz w:val="24"/>
        </w:rPr>
      </w:pPr>
      <w:r>
        <w:rPr>
          <w:rFonts w:hint="eastAsia" w:ascii="宋体" w:hAnsi="宋体"/>
          <w:sz w:val="24"/>
        </w:rPr>
        <w:t>学位论文以法律实务研究为主要内容，突出实务特点和实证研究方法，选题采用应用性专题、调研报告和案例分析三种形式。研究生应在实习中发掘学位论文选题，将实习与学位论文的写作有机结合。按照河北大学法律硕士教育中心制定的三种类型开题报告的模板要求填写内容，字数不少于</w:t>
      </w:r>
      <w:r>
        <w:rPr>
          <w:sz w:val="24"/>
        </w:rPr>
        <w:t>3000</w:t>
      </w:r>
      <w:r>
        <w:rPr>
          <w:rFonts w:hint="eastAsia" w:ascii="宋体" w:hAnsi="宋体"/>
          <w:sz w:val="24"/>
        </w:rPr>
        <w:t>字。</w:t>
      </w:r>
    </w:p>
    <w:p w14:paraId="747FECA4">
      <w:pPr>
        <w:widowControl/>
        <w:spacing w:line="360" w:lineRule="auto"/>
        <w:ind w:firstLine="480"/>
        <w:jc w:val="left"/>
        <w:rPr>
          <w:iCs/>
          <w:kern w:val="0"/>
          <w:sz w:val="18"/>
          <w:szCs w:val="18"/>
        </w:rPr>
      </w:pPr>
      <w:r>
        <w:rPr>
          <w:iCs/>
          <w:kern w:val="0"/>
          <w:sz w:val="24"/>
        </w:rPr>
        <w:t>要求研究生充分阅读国内外相关文献，撰写开题报告。开题报告应包含文献综述、论文选题依据、研究方案、预期目标与成果、工作计划等关键问题。</w:t>
      </w:r>
      <w:r>
        <w:rPr>
          <w:rFonts w:hint="eastAsia" w:ascii="宋体" w:hAnsi="宋体"/>
          <w:sz w:val="24"/>
        </w:rPr>
        <w:t>开题时间安排在第四学期。</w:t>
      </w:r>
      <w:r>
        <w:rPr>
          <w:iCs/>
          <w:kern w:val="0"/>
          <w:sz w:val="24"/>
        </w:rPr>
        <w:t>开题由3-5名具有高级专业技术职务人员参加，以学术报告的方式进行。</w:t>
      </w:r>
    </w:p>
    <w:p w14:paraId="1B5A4458">
      <w:pPr>
        <w:widowControl/>
        <w:spacing w:line="360" w:lineRule="auto"/>
        <w:ind w:firstLine="480"/>
        <w:jc w:val="left"/>
        <w:rPr>
          <w:iCs/>
          <w:kern w:val="0"/>
          <w:sz w:val="24"/>
        </w:rPr>
      </w:pPr>
      <w:r>
        <w:rPr>
          <w:bCs/>
          <w:color w:val="222222"/>
          <w:kern w:val="0"/>
          <w:sz w:val="24"/>
        </w:rPr>
        <w:t>3.中期进展报告：</w:t>
      </w:r>
      <w:r>
        <w:rPr>
          <w:rFonts w:hint="eastAsia"/>
          <w:bCs/>
          <w:color w:val="222222"/>
          <w:kern w:val="0"/>
          <w:sz w:val="24"/>
        </w:rPr>
        <w:t>法律（法学）硕士</w:t>
      </w:r>
      <w:r>
        <w:rPr>
          <w:rFonts w:hint="eastAsia"/>
          <w:bCs/>
          <w:color w:val="222222"/>
          <w:kern w:val="0"/>
          <w:sz w:val="24"/>
          <w:lang w:val="en-US" w:eastAsia="zh-CN"/>
        </w:rPr>
        <w:t>研究生</w:t>
      </w:r>
      <w:r>
        <w:rPr>
          <w:rFonts w:hint="eastAsia"/>
          <w:bCs/>
          <w:color w:val="222222"/>
          <w:kern w:val="0"/>
          <w:sz w:val="24"/>
        </w:rPr>
        <w:t>中期考核安排在第5学期，主要考核学生课程学习、科研能力、思想政治表现等。</w:t>
      </w:r>
      <w:r>
        <w:rPr>
          <w:iCs/>
          <w:kern w:val="0"/>
          <w:sz w:val="24"/>
        </w:rPr>
        <w:t>各导师组自行制定中期考核办法并组织考核。</w:t>
      </w:r>
      <w:r>
        <w:rPr>
          <w:rFonts w:hint="eastAsia"/>
          <w:bCs/>
          <w:color w:val="222222"/>
          <w:kern w:val="0"/>
          <w:sz w:val="24"/>
        </w:rPr>
        <w:t>中期考核不合格者，不能进入学位论文写作阶段。</w:t>
      </w:r>
    </w:p>
    <w:p w14:paraId="013D4843">
      <w:pPr>
        <w:widowControl/>
        <w:spacing w:line="360" w:lineRule="auto"/>
        <w:ind w:firstLine="480"/>
        <w:jc w:val="left"/>
        <w:rPr>
          <w:iCs/>
          <w:kern w:val="0"/>
          <w:sz w:val="24"/>
        </w:rPr>
      </w:pPr>
      <w:r>
        <w:rPr>
          <w:bCs/>
          <w:color w:val="222222"/>
          <w:kern w:val="0"/>
          <w:sz w:val="24"/>
        </w:rPr>
        <w:t>4.学位申请：</w:t>
      </w:r>
      <w:r>
        <w:rPr>
          <w:iCs/>
          <w:kern w:val="0"/>
          <w:sz w:val="24"/>
        </w:rPr>
        <w:t>达到学位授予条件的申请人，经导师同意后，应于答辩前三个月，向所属学位评定分委员会提出学位申请，提交学位申请材料。</w:t>
      </w:r>
    </w:p>
    <w:p w14:paraId="39DB356A">
      <w:pPr>
        <w:widowControl/>
        <w:spacing w:line="360" w:lineRule="auto"/>
        <w:ind w:firstLine="480"/>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0027FDBC">
      <w:pPr>
        <w:adjustRightInd w:val="0"/>
        <w:spacing w:line="360" w:lineRule="auto"/>
        <w:ind w:firstLine="480" w:firstLineChars="200"/>
        <w:rPr>
          <w:color w:val="222222"/>
          <w:kern w:val="0"/>
          <w:sz w:val="24"/>
        </w:rPr>
      </w:pPr>
      <w:r>
        <w:rPr>
          <w:bCs/>
          <w:color w:val="222222"/>
          <w:kern w:val="0"/>
          <w:sz w:val="24"/>
        </w:rPr>
        <w:t>6.论文评阅：</w:t>
      </w:r>
      <w:r>
        <w:rPr>
          <w:rStyle w:val="17"/>
          <w:sz w:val="24"/>
        </w:rPr>
        <w:t>学位论文必须由</w:t>
      </w:r>
      <w:r>
        <w:rPr>
          <w:rFonts w:hint="eastAsia" w:ascii="宋体" w:hAnsi="宋体"/>
          <w:sz w:val="24"/>
        </w:rPr>
        <w:t>3名本专业具有高级专业技术职务的专家评阅，其中至少1名为法治工作部门专家</w:t>
      </w:r>
      <w:r>
        <w:rPr>
          <w:rStyle w:val="17"/>
          <w:sz w:val="24"/>
        </w:rPr>
        <w:t>；学位论文答辩委员会成员中</w:t>
      </w:r>
      <w:r>
        <w:rPr>
          <w:rStyle w:val="17"/>
          <w:rFonts w:hint="eastAsia"/>
          <w:sz w:val="24"/>
        </w:rPr>
        <w:t>，</w:t>
      </w:r>
      <w:r>
        <w:rPr>
          <w:rStyle w:val="17"/>
          <w:sz w:val="24"/>
        </w:rPr>
        <w:t>应有</w:t>
      </w:r>
      <w:r>
        <w:rPr>
          <w:rStyle w:val="17"/>
          <w:rFonts w:hint="eastAsia"/>
          <w:sz w:val="24"/>
        </w:rPr>
        <w:t>1</w:t>
      </w:r>
      <w:r>
        <w:rPr>
          <w:rStyle w:val="17"/>
          <w:sz w:val="24"/>
        </w:rPr>
        <w:t>至</w:t>
      </w:r>
      <w:r>
        <w:rPr>
          <w:rStyle w:val="17"/>
          <w:rFonts w:hint="eastAsia"/>
          <w:sz w:val="24"/>
        </w:rPr>
        <w:t>2</w:t>
      </w:r>
      <w:r>
        <w:rPr>
          <w:rStyle w:val="17"/>
          <w:sz w:val="24"/>
        </w:rPr>
        <w:t>名</w:t>
      </w:r>
      <w:r>
        <w:rPr>
          <w:rStyle w:val="17"/>
          <w:rFonts w:hint="eastAsia"/>
          <w:sz w:val="24"/>
        </w:rPr>
        <w:t>法治</w:t>
      </w:r>
      <w:r>
        <w:rPr>
          <w:rStyle w:val="17"/>
          <w:sz w:val="24"/>
        </w:rPr>
        <w:t>工作</w:t>
      </w:r>
      <w:r>
        <w:rPr>
          <w:rFonts w:hint="eastAsia" w:ascii="宋体" w:hAnsi="宋体"/>
          <w:sz w:val="24"/>
        </w:rPr>
        <w:t>部门专家。</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6AEE02B3">
      <w:pPr>
        <w:widowControl/>
        <w:spacing w:line="360" w:lineRule="auto"/>
        <w:ind w:firstLine="480"/>
        <w:jc w:val="left"/>
        <w:rPr>
          <w:rFonts w:eastAsiaTheme="minorEastAsia"/>
          <w:i/>
          <w:color w:val="FF0000"/>
          <w:sz w:val="24"/>
        </w:rPr>
      </w:pPr>
      <w:r>
        <w:rPr>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5574D178">
      <w:pPr>
        <w:spacing w:line="360" w:lineRule="auto"/>
        <w:ind w:firstLine="560" w:firstLineChars="200"/>
        <w:rPr>
          <w:rFonts w:eastAsia="黑体"/>
          <w:b w:val="0"/>
          <w:bCs/>
          <w:sz w:val="28"/>
          <w:szCs w:val="28"/>
        </w:rPr>
      </w:pPr>
      <w:r>
        <w:rPr>
          <w:rFonts w:hint="eastAsia" w:eastAsia="黑体"/>
          <w:b w:val="0"/>
          <w:bCs/>
          <w:sz w:val="28"/>
          <w:szCs w:val="28"/>
        </w:rPr>
        <w:t>九</w:t>
      </w:r>
      <w:r>
        <w:rPr>
          <w:rFonts w:eastAsia="黑体"/>
          <w:b w:val="0"/>
          <w:bCs/>
          <w:sz w:val="28"/>
          <w:szCs w:val="28"/>
        </w:rPr>
        <w:t>、毕业条件</w:t>
      </w:r>
    </w:p>
    <w:p w14:paraId="074466EE">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233F3AF">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4EE0222F">
      <w:pPr>
        <w:spacing w:line="360" w:lineRule="auto"/>
        <w:ind w:firstLine="480" w:firstLineChars="200"/>
        <w:rPr>
          <w:bCs/>
          <w:color w:val="FF0000"/>
          <w:kern w:val="0"/>
          <w:sz w:val="24"/>
        </w:rPr>
      </w:pPr>
      <w:r>
        <w:rPr>
          <w:bCs/>
          <w:kern w:val="0"/>
          <w:sz w:val="24"/>
        </w:rPr>
        <w:t>（1）学术活动：研究生在读期间参加不少于</w:t>
      </w:r>
      <w:r>
        <w:rPr>
          <w:bCs/>
          <w:iCs/>
          <w:kern w:val="0"/>
          <w:sz w:val="24"/>
        </w:rPr>
        <w:t>10</w:t>
      </w:r>
      <w:r>
        <w:rPr>
          <w:bCs/>
          <w:kern w:val="0"/>
          <w:sz w:val="24"/>
        </w:rPr>
        <w:t>次学术活动，并撰写学术报告小结；以主讲人或宣讲人身份，参加在校内外举行的学术报告或学术讲座不少于</w:t>
      </w:r>
      <w:r>
        <w:rPr>
          <w:bCs/>
          <w:iCs/>
          <w:kern w:val="0"/>
          <w:sz w:val="24"/>
        </w:rPr>
        <w:t>1</w:t>
      </w:r>
      <w:r>
        <w:rPr>
          <w:bCs/>
          <w:kern w:val="0"/>
          <w:sz w:val="24"/>
        </w:rPr>
        <w:t>次。</w:t>
      </w:r>
    </w:p>
    <w:p w14:paraId="17E9118A">
      <w:pPr>
        <w:spacing w:line="360" w:lineRule="auto"/>
        <w:ind w:firstLine="480" w:firstLineChars="200"/>
        <w:rPr>
          <w:rFonts w:eastAsiaTheme="minorEastAsia"/>
          <w:i/>
          <w:color w:val="FF0000"/>
          <w:sz w:val="24"/>
        </w:rPr>
      </w:pPr>
      <w:r>
        <w:rPr>
          <w:bCs/>
          <w:kern w:val="0"/>
          <w:sz w:val="24"/>
        </w:rPr>
        <w:t>（2）实践活动：参与本专业相关的社会实践，由相关单位出具相关实践证明材料；或组织开展与本专业相关的调查、考察等活动，并提交相关报告。</w:t>
      </w:r>
    </w:p>
    <w:p w14:paraId="33CB8601">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9FEFCCD">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E1A9899">
      <w:pPr>
        <w:spacing w:line="360" w:lineRule="auto"/>
        <w:ind w:firstLine="560" w:firstLineChars="200"/>
        <w:rPr>
          <w:rFonts w:eastAsia="黑体"/>
          <w:b w:val="0"/>
          <w:bCs/>
          <w:sz w:val="28"/>
          <w:szCs w:val="28"/>
        </w:rPr>
      </w:pPr>
      <w:r>
        <w:rPr>
          <w:rFonts w:hint="eastAsia" w:eastAsia="黑体"/>
          <w:b w:val="0"/>
          <w:bCs/>
          <w:sz w:val="28"/>
          <w:szCs w:val="28"/>
        </w:rPr>
        <w:t>十</w:t>
      </w:r>
      <w:r>
        <w:rPr>
          <w:rFonts w:eastAsia="黑体"/>
          <w:b w:val="0"/>
          <w:bCs/>
          <w:sz w:val="28"/>
          <w:szCs w:val="28"/>
        </w:rPr>
        <w:t>、创新性成果</w:t>
      </w:r>
    </w:p>
    <w:p w14:paraId="49C0FDB1">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bookmarkStart w:id="3" w:name="OLE_LINK2"/>
      <w:bookmarkStart w:id="4" w:name="OLE_LINK8"/>
      <w:r>
        <w:rPr>
          <w:rFonts w:hint="eastAsia" w:eastAsiaTheme="minorEastAsia"/>
          <w:bCs/>
          <w:sz w:val="24"/>
        </w:rPr>
        <w:t>1</w:t>
      </w:r>
      <w:r>
        <w:rPr>
          <w:rFonts w:hint="eastAsia" w:eastAsiaTheme="minorEastAsia"/>
          <w:bCs/>
          <w:sz w:val="24"/>
          <w:lang w:eastAsia="zh-CN"/>
        </w:rPr>
        <w:t>.</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2832C2D8">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0AB61BE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2</w:t>
      </w:r>
      <w:r>
        <w:rPr>
          <w:rFonts w:hint="eastAsia" w:eastAsiaTheme="minorEastAsia"/>
          <w:bCs/>
          <w:sz w:val="24"/>
          <w:lang w:eastAsia="zh-CN"/>
        </w:rPr>
        <w:t>.</w:t>
      </w:r>
      <w:r>
        <w:rPr>
          <w:rFonts w:hint="eastAsia" w:eastAsiaTheme="minorEastAsia"/>
          <w:bCs/>
          <w:sz w:val="24"/>
        </w:rPr>
        <w:t>在CSSCI来源期刊公开发表1篇以上学术论文的，其学位论文可以按照学校规定不参加学院组织的学位论文双盲评审。</w:t>
      </w:r>
      <w:bookmarkEnd w:id="3"/>
    </w:p>
    <w:bookmarkEnd w:id="4"/>
    <w:p w14:paraId="1EA67297">
      <w:pPr>
        <w:spacing w:line="360" w:lineRule="auto"/>
        <w:ind w:firstLine="560" w:firstLineChars="200"/>
        <w:rPr>
          <w:rFonts w:eastAsia="黑体"/>
          <w:b w:val="0"/>
          <w:bCs/>
          <w:sz w:val="28"/>
          <w:szCs w:val="28"/>
        </w:rPr>
      </w:pPr>
      <w:r>
        <w:rPr>
          <w:rFonts w:eastAsia="黑体"/>
          <w:b w:val="0"/>
          <w:bCs/>
          <w:sz w:val="28"/>
          <w:szCs w:val="28"/>
        </w:rPr>
        <w:t>十一、学位授予</w:t>
      </w:r>
    </w:p>
    <w:p w14:paraId="1291B769">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50E64807">
      <w:pPr>
        <w:spacing w:line="360" w:lineRule="auto"/>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二</w:t>
      </w:r>
      <w:r>
        <w:rPr>
          <w:rFonts w:eastAsia="黑体"/>
          <w:b w:val="0"/>
          <w:bCs/>
          <w:sz w:val="28"/>
          <w:szCs w:val="28"/>
        </w:rPr>
        <w:t>、学分及课程设置</w:t>
      </w:r>
    </w:p>
    <w:p w14:paraId="4F03B4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5</w:t>
      </w:r>
      <w:r>
        <w:rPr>
          <w:rFonts w:hint="eastAsia" w:eastAsiaTheme="minorEastAsia"/>
          <w:color w:val="000000" w:themeColor="text1"/>
          <w:sz w:val="24"/>
          <w:lang w:val="en-US" w:eastAsia="zh-CN"/>
          <w14:textFill>
            <w14:solidFill>
              <w14:schemeClr w14:val="tx1"/>
            </w14:solidFill>
          </w14:textFill>
        </w:rPr>
        <w:t>9</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2</w:t>
      </w:r>
      <w:r>
        <w:rPr>
          <w:rFonts w:hint="eastAsia" w:eastAsiaTheme="minorEastAsia"/>
          <w:color w:val="000000" w:themeColor="text1"/>
          <w:sz w:val="24"/>
          <w:lang w:val="en-US" w:eastAsia="zh-CN"/>
          <w14:textFill>
            <w14:solidFill>
              <w14:schemeClr w14:val="tx1"/>
            </w14:solidFill>
          </w14:textFill>
        </w:rPr>
        <w:t>8</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lang w:val="en-US" w:eastAsia="zh-CN"/>
          <w14:textFill>
            <w14:solidFill>
              <w14:schemeClr w14:val="tx1"/>
            </w14:solidFill>
          </w14:textFill>
        </w:rPr>
        <w:t>10</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2</w:t>
      </w:r>
      <w:r>
        <w:rPr>
          <w:rFonts w:hint="eastAsia" w:eastAsiaTheme="minorEastAsia"/>
          <w:color w:val="000000" w:themeColor="text1"/>
          <w:sz w:val="24"/>
          <w:lang w:val="en-US" w:eastAsia="zh-CN"/>
          <w14:textFill>
            <w14:solidFill>
              <w14:schemeClr w14:val="tx1"/>
            </w14:solidFill>
          </w14:textFill>
        </w:rPr>
        <w:t>1</w:t>
      </w:r>
      <w:r>
        <w:rPr>
          <w:rFonts w:eastAsiaTheme="minorEastAsia"/>
          <w:color w:val="000000" w:themeColor="text1"/>
          <w:sz w:val="24"/>
          <w14:textFill>
            <w14:solidFill>
              <w14:schemeClr w14:val="tx1"/>
            </w14:solidFill>
          </w14:textFill>
        </w:rPr>
        <w:t>分。</w:t>
      </w:r>
    </w:p>
    <w:p w14:paraId="0CFD94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FF0000"/>
          <w:sz w:val="24"/>
        </w:rPr>
      </w:pPr>
      <w:r>
        <w:rPr>
          <w:rFonts w:eastAsiaTheme="minorEastAsia"/>
          <w:color w:val="000000"/>
          <w:sz w:val="24"/>
        </w:rPr>
        <w:t>课程考试不设补考环节，</w:t>
      </w:r>
      <w:r>
        <w:rPr>
          <w:color w:val="000000"/>
          <w:sz w:val="24"/>
        </w:rPr>
        <w:t>考试成绩低于60分的需重修。</w:t>
      </w:r>
    </w:p>
    <w:p w14:paraId="536496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
          <w:bCs/>
          <w:sz w:val="24"/>
        </w:rPr>
      </w:pPr>
      <w:r>
        <w:rPr>
          <w:rFonts w:hint="eastAsia"/>
          <w:iCs/>
          <w:sz w:val="24"/>
        </w:rPr>
        <w:t>课程考核方式包括考试和考查。学位课一般采用笔试的方式。非学位课和实践环节</w:t>
      </w:r>
      <w:r>
        <w:rPr>
          <w:rFonts w:eastAsiaTheme="minorEastAsia"/>
          <w:iCs/>
          <w:sz w:val="24"/>
        </w:rPr>
        <w:t>可以采用口试、笔试或写读书报告、论文的形式</w:t>
      </w:r>
      <w:r>
        <w:rPr>
          <w:rFonts w:hint="eastAsia" w:eastAsiaTheme="minorEastAsia"/>
          <w:iCs/>
          <w:sz w:val="24"/>
        </w:rPr>
        <w:t>。</w:t>
      </w:r>
      <w:r>
        <w:rPr>
          <w:rFonts w:eastAsiaTheme="minorEastAsia"/>
          <w:iCs/>
          <w:sz w:val="24"/>
        </w:rPr>
        <w:t>无论采取何种</w:t>
      </w:r>
      <w:r>
        <w:rPr>
          <w:rFonts w:hint="eastAsia" w:eastAsiaTheme="minorEastAsia"/>
          <w:iCs/>
          <w:sz w:val="24"/>
        </w:rPr>
        <w:t>考核</w:t>
      </w:r>
      <w:r>
        <w:rPr>
          <w:rFonts w:eastAsiaTheme="minorEastAsia"/>
          <w:iCs/>
          <w:sz w:val="24"/>
        </w:rPr>
        <w:t>方式，均应能真实反映学生对所学课程掌握的程度及运用知识的能力，成绩均按百分制成绩评定。</w:t>
      </w:r>
    </w:p>
    <w:p w14:paraId="3619201C">
      <w:pPr>
        <w:spacing w:after="156" w:afterLines="50" w:line="440" w:lineRule="exact"/>
        <w:ind w:firstLine="482" w:firstLineChars="200"/>
        <w:jc w:val="center"/>
        <w:rPr>
          <w:rFonts w:eastAsiaTheme="minorEastAsia"/>
          <w:b/>
          <w:bCs/>
          <w:sz w:val="24"/>
        </w:rPr>
      </w:pPr>
      <w:r>
        <w:rPr>
          <w:rFonts w:hint="eastAsia" w:asciiTheme="minorEastAsia" w:hAnsiTheme="minorEastAsia" w:eastAsiaTheme="minorEastAsia"/>
          <w:b/>
          <w:bCs/>
          <w:sz w:val="24"/>
        </w:rPr>
        <w:t>法律（法学）</w:t>
      </w:r>
      <w:r>
        <w:rPr>
          <w:rFonts w:eastAsiaTheme="minorEastAsia"/>
          <w:b/>
          <w:bCs/>
          <w:sz w:val="24"/>
        </w:rPr>
        <w:t>全日制专业学位硕士研究生课程及培养环节设置一览表</w:t>
      </w:r>
    </w:p>
    <w:tbl>
      <w:tblPr>
        <w:tblStyle w:val="13"/>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490074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1797" w:type="dxa"/>
            <w:gridSpan w:val="2"/>
            <w:vAlign w:val="center"/>
          </w:tcPr>
          <w:p w14:paraId="570941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课程类别</w:t>
            </w:r>
          </w:p>
        </w:tc>
        <w:tc>
          <w:tcPr>
            <w:tcW w:w="3516" w:type="dxa"/>
            <w:vAlign w:val="center"/>
          </w:tcPr>
          <w:p w14:paraId="0BF4A9C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课程说明</w:t>
            </w:r>
          </w:p>
        </w:tc>
        <w:tc>
          <w:tcPr>
            <w:tcW w:w="1081" w:type="dxa"/>
            <w:vAlign w:val="center"/>
          </w:tcPr>
          <w:p w14:paraId="4B60D1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课程编号</w:t>
            </w:r>
          </w:p>
        </w:tc>
        <w:tc>
          <w:tcPr>
            <w:tcW w:w="709" w:type="dxa"/>
            <w:vAlign w:val="center"/>
          </w:tcPr>
          <w:p w14:paraId="6578B4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学分</w:t>
            </w:r>
          </w:p>
        </w:tc>
        <w:tc>
          <w:tcPr>
            <w:tcW w:w="709" w:type="dxa"/>
            <w:vAlign w:val="center"/>
          </w:tcPr>
          <w:p w14:paraId="77339A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学期</w:t>
            </w:r>
          </w:p>
        </w:tc>
        <w:tc>
          <w:tcPr>
            <w:tcW w:w="1045" w:type="dxa"/>
            <w:vAlign w:val="center"/>
          </w:tcPr>
          <w:p w14:paraId="3C6A7A9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Cs w:val="21"/>
              </w:rPr>
            </w:pPr>
            <w:r>
              <w:rPr>
                <w:b/>
                <w:color w:val="auto"/>
                <w:szCs w:val="21"/>
              </w:rPr>
              <w:t>备注</w:t>
            </w:r>
          </w:p>
        </w:tc>
      </w:tr>
      <w:tr w14:paraId="2BF0A8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1A729D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b/>
                <w:color w:val="auto"/>
                <w:sz w:val="18"/>
                <w:szCs w:val="18"/>
              </w:rPr>
            </w:pPr>
            <w:r>
              <w:rPr>
                <w:b/>
                <w:color w:val="auto"/>
                <w:sz w:val="18"/>
                <w:szCs w:val="18"/>
              </w:rPr>
              <w:t>学位课</w:t>
            </w:r>
          </w:p>
        </w:tc>
        <w:tc>
          <w:tcPr>
            <w:tcW w:w="1226" w:type="dxa"/>
            <w:vMerge w:val="restart"/>
            <w:vAlign w:val="center"/>
          </w:tcPr>
          <w:p w14:paraId="7AEFBE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r>
              <w:rPr>
                <w:b/>
                <w:color w:val="auto"/>
                <w:sz w:val="18"/>
                <w:szCs w:val="18"/>
              </w:rPr>
              <w:t>公共必修课</w:t>
            </w:r>
          </w:p>
          <w:p w14:paraId="3D6ADAA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6274FAD0">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18"/>
                <w:szCs w:val="18"/>
              </w:rPr>
            </w:pPr>
            <w:r>
              <w:rPr>
                <w:color w:val="auto"/>
                <w:sz w:val="18"/>
                <w:szCs w:val="18"/>
              </w:rPr>
              <w:t>新时代中国特色社会主义理论与实践</w:t>
            </w:r>
          </w:p>
        </w:tc>
        <w:tc>
          <w:tcPr>
            <w:tcW w:w="1081" w:type="dxa"/>
            <w:vAlign w:val="center"/>
          </w:tcPr>
          <w:p w14:paraId="749DF62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TS0000001</w:t>
            </w:r>
          </w:p>
        </w:tc>
        <w:tc>
          <w:tcPr>
            <w:tcW w:w="709" w:type="dxa"/>
            <w:vAlign w:val="center"/>
          </w:tcPr>
          <w:p w14:paraId="79FD04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2</w:t>
            </w:r>
          </w:p>
        </w:tc>
        <w:tc>
          <w:tcPr>
            <w:tcW w:w="709" w:type="dxa"/>
            <w:vAlign w:val="center"/>
          </w:tcPr>
          <w:p w14:paraId="6EFF86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1</w:t>
            </w:r>
          </w:p>
        </w:tc>
        <w:tc>
          <w:tcPr>
            <w:tcW w:w="1045" w:type="dxa"/>
            <w:vAlign w:val="center"/>
          </w:tcPr>
          <w:p w14:paraId="0649BB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rPr>
              <w:t>考查</w:t>
            </w:r>
          </w:p>
        </w:tc>
      </w:tr>
      <w:tr w14:paraId="3DE442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E0F42F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590F96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68DD2EE8">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18"/>
                <w:szCs w:val="18"/>
              </w:rPr>
            </w:pPr>
            <w:r>
              <w:rPr>
                <w:color w:val="auto"/>
                <w:sz w:val="18"/>
                <w:szCs w:val="18"/>
              </w:rPr>
              <w:t>通用学术英语</w:t>
            </w:r>
          </w:p>
        </w:tc>
        <w:tc>
          <w:tcPr>
            <w:tcW w:w="1081" w:type="dxa"/>
            <w:vAlign w:val="center"/>
          </w:tcPr>
          <w:p w14:paraId="598A72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TS0000002</w:t>
            </w:r>
          </w:p>
        </w:tc>
        <w:tc>
          <w:tcPr>
            <w:tcW w:w="709" w:type="dxa"/>
            <w:vAlign w:val="center"/>
          </w:tcPr>
          <w:p w14:paraId="609033E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2</w:t>
            </w:r>
          </w:p>
        </w:tc>
        <w:tc>
          <w:tcPr>
            <w:tcW w:w="709" w:type="dxa"/>
            <w:vAlign w:val="center"/>
          </w:tcPr>
          <w:p w14:paraId="0F45CA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1</w:t>
            </w:r>
          </w:p>
        </w:tc>
        <w:tc>
          <w:tcPr>
            <w:tcW w:w="1045" w:type="dxa"/>
            <w:vAlign w:val="center"/>
          </w:tcPr>
          <w:p w14:paraId="368754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rPr>
              <w:t>考查</w:t>
            </w:r>
          </w:p>
        </w:tc>
      </w:tr>
      <w:tr w14:paraId="4F8958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67D907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restart"/>
            <w:vAlign w:val="center"/>
          </w:tcPr>
          <w:p w14:paraId="0A61D63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highlight w:val="none"/>
              </w:rPr>
            </w:pPr>
            <w:r>
              <w:rPr>
                <w:b/>
                <w:color w:val="auto"/>
                <w:sz w:val="18"/>
                <w:szCs w:val="18"/>
                <w:highlight w:val="none"/>
              </w:rPr>
              <w:t>学科基础课</w:t>
            </w:r>
          </w:p>
          <w:p w14:paraId="687C69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8</w:t>
            </w:r>
            <w:r>
              <w:rPr>
                <w:b/>
                <w:color w:val="auto"/>
                <w:sz w:val="18"/>
                <w:szCs w:val="18"/>
                <w:highlight w:val="none"/>
              </w:rPr>
              <w:t>学分）</w:t>
            </w:r>
          </w:p>
        </w:tc>
        <w:tc>
          <w:tcPr>
            <w:tcW w:w="3516" w:type="dxa"/>
            <w:vAlign w:val="center"/>
          </w:tcPr>
          <w:p w14:paraId="4CF3CEF4">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18"/>
                <w:szCs w:val="18"/>
              </w:rPr>
            </w:pPr>
            <w:r>
              <w:rPr>
                <w:color w:val="auto"/>
                <w:sz w:val="18"/>
                <w:szCs w:val="18"/>
              </w:rPr>
              <w:t>学术道德与论文写作</w:t>
            </w:r>
          </w:p>
        </w:tc>
        <w:tc>
          <w:tcPr>
            <w:tcW w:w="1081" w:type="dxa"/>
            <w:shd w:val="clear" w:color="auto" w:fill="C7DAF1" w:themeFill="text2" w:themeFillTint="32"/>
            <w:vAlign w:val="center"/>
          </w:tcPr>
          <w:p w14:paraId="27114C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color w:val="auto"/>
                <w:sz w:val="18"/>
                <w:szCs w:val="18"/>
                <w:lang w:val="en-US"/>
              </w:rPr>
            </w:pPr>
            <w:r>
              <w:rPr>
                <w:rFonts w:hint="eastAsia"/>
                <w:color w:val="auto"/>
                <w:sz w:val="18"/>
                <w:szCs w:val="18"/>
              </w:rPr>
              <w:t>ZS0717</w:t>
            </w:r>
            <w:r>
              <w:rPr>
                <w:rFonts w:hint="eastAsia"/>
                <w:color w:val="auto"/>
                <w:sz w:val="18"/>
                <w:szCs w:val="18"/>
                <w:lang w:val="en-US" w:eastAsia="zh-CN"/>
              </w:rPr>
              <w:t>019</w:t>
            </w:r>
          </w:p>
        </w:tc>
        <w:tc>
          <w:tcPr>
            <w:tcW w:w="709" w:type="dxa"/>
            <w:vAlign w:val="center"/>
          </w:tcPr>
          <w:p w14:paraId="633D80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color w:val="auto"/>
                <w:sz w:val="18"/>
                <w:szCs w:val="18"/>
                <w:lang w:val="en-US" w:eastAsia="zh-CN"/>
              </w:rPr>
            </w:pPr>
            <w:r>
              <w:rPr>
                <w:rFonts w:hint="eastAsia"/>
                <w:color w:val="auto"/>
                <w:sz w:val="18"/>
                <w:szCs w:val="18"/>
                <w:lang w:val="en-US" w:eastAsia="zh-CN"/>
              </w:rPr>
              <w:t>1</w:t>
            </w:r>
          </w:p>
        </w:tc>
        <w:tc>
          <w:tcPr>
            <w:tcW w:w="709" w:type="dxa"/>
            <w:vAlign w:val="center"/>
          </w:tcPr>
          <w:p w14:paraId="760ED7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color w:val="auto"/>
                <w:sz w:val="18"/>
                <w:szCs w:val="18"/>
                <w:lang w:eastAsia="zh-CN"/>
              </w:rPr>
            </w:pPr>
            <w:r>
              <w:rPr>
                <w:rFonts w:hint="eastAsia"/>
                <w:color w:val="auto"/>
                <w:sz w:val="18"/>
                <w:szCs w:val="18"/>
                <w:lang w:val="en-US" w:eastAsia="zh-CN"/>
              </w:rPr>
              <w:t>2</w:t>
            </w:r>
          </w:p>
        </w:tc>
        <w:tc>
          <w:tcPr>
            <w:tcW w:w="1045" w:type="dxa"/>
            <w:vAlign w:val="center"/>
          </w:tcPr>
          <w:p w14:paraId="4EDC59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color w:val="auto"/>
                <w:sz w:val="18"/>
                <w:szCs w:val="18"/>
                <w:lang w:eastAsia="zh-CN"/>
              </w:rPr>
            </w:pPr>
            <w:r>
              <w:rPr>
                <w:rFonts w:hint="eastAsia"/>
                <w:color w:val="auto"/>
                <w:sz w:val="18"/>
                <w:szCs w:val="18"/>
                <w:lang w:eastAsia="zh-CN"/>
              </w:rPr>
              <w:t>考查</w:t>
            </w:r>
          </w:p>
        </w:tc>
      </w:tr>
      <w:tr w14:paraId="549755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799AC29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1687CA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highlight w:val="yellow"/>
              </w:rPr>
            </w:pPr>
          </w:p>
        </w:tc>
        <w:tc>
          <w:tcPr>
            <w:tcW w:w="3516" w:type="dxa"/>
            <w:shd w:val="clear" w:color="auto" w:fill="auto"/>
            <w:vAlign w:val="center"/>
          </w:tcPr>
          <w:p w14:paraId="796AF09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法律英语</w:t>
            </w:r>
          </w:p>
        </w:tc>
        <w:tc>
          <w:tcPr>
            <w:tcW w:w="1081" w:type="dxa"/>
            <w:shd w:val="clear" w:color="auto" w:fill="C7DAF1" w:themeFill="text2" w:themeFillTint="32"/>
            <w:vAlign w:val="center"/>
          </w:tcPr>
          <w:p w14:paraId="09C988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ZS0717</w:t>
            </w:r>
            <w:r>
              <w:rPr>
                <w:rFonts w:hint="eastAsia"/>
                <w:color w:val="auto"/>
                <w:sz w:val="18"/>
                <w:szCs w:val="18"/>
                <w:lang w:val="en-US" w:eastAsia="zh-CN"/>
              </w:rPr>
              <w:t>020</w:t>
            </w:r>
          </w:p>
        </w:tc>
        <w:tc>
          <w:tcPr>
            <w:tcW w:w="709" w:type="dxa"/>
            <w:shd w:val="clear" w:color="auto" w:fill="auto"/>
            <w:vAlign w:val="center"/>
          </w:tcPr>
          <w:p w14:paraId="3C428F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35BE4C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1</w:t>
            </w:r>
          </w:p>
        </w:tc>
        <w:tc>
          <w:tcPr>
            <w:tcW w:w="1045" w:type="dxa"/>
            <w:shd w:val="clear" w:color="auto" w:fill="auto"/>
            <w:vAlign w:val="center"/>
          </w:tcPr>
          <w:p w14:paraId="4DBC40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i/>
                <w:color w:val="auto"/>
                <w:kern w:val="2"/>
                <w:sz w:val="18"/>
                <w:szCs w:val="18"/>
                <w:lang w:val="en-US" w:eastAsia="zh-CN" w:bidi="ar-SA"/>
              </w:rPr>
            </w:pPr>
            <w:r>
              <w:rPr>
                <w:color w:val="auto"/>
                <w:sz w:val="18"/>
                <w:szCs w:val="18"/>
              </w:rPr>
              <w:t>考试</w:t>
            </w:r>
          </w:p>
        </w:tc>
      </w:tr>
      <w:tr w14:paraId="2D0B31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1F6E5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73FF08F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highlight w:val="yellow"/>
              </w:rPr>
            </w:pPr>
          </w:p>
        </w:tc>
        <w:tc>
          <w:tcPr>
            <w:tcW w:w="3516" w:type="dxa"/>
            <w:shd w:val="clear" w:color="auto" w:fill="auto"/>
            <w:vAlign w:val="center"/>
          </w:tcPr>
          <w:p w14:paraId="0966B47E">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法理学</w:t>
            </w:r>
          </w:p>
        </w:tc>
        <w:tc>
          <w:tcPr>
            <w:tcW w:w="1081" w:type="dxa"/>
            <w:shd w:val="clear" w:color="auto" w:fill="C7DAF1" w:themeFill="text2" w:themeFillTint="32"/>
            <w:vAlign w:val="center"/>
          </w:tcPr>
          <w:p w14:paraId="1846C3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ZS0717</w:t>
            </w:r>
            <w:r>
              <w:rPr>
                <w:rFonts w:hint="eastAsia"/>
                <w:color w:val="auto"/>
                <w:sz w:val="18"/>
                <w:szCs w:val="18"/>
                <w:lang w:val="en-US" w:eastAsia="zh-CN"/>
              </w:rPr>
              <w:t>021</w:t>
            </w:r>
          </w:p>
        </w:tc>
        <w:tc>
          <w:tcPr>
            <w:tcW w:w="709" w:type="dxa"/>
            <w:shd w:val="clear" w:color="auto" w:fill="auto"/>
            <w:vAlign w:val="center"/>
          </w:tcPr>
          <w:p w14:paraId="076CBE1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color w:val="auto"/>
                <w:kern w:val="2"/>
                <w:sz w:val="21"/>
                <w:szCs w:val="24"/>
                <w:lang w:val="en-US" w:eastAsia="zh-CN" w:bidi="ar-SA"/>
              </w:rPr>
            </w:pPr>
            <w:r>
              <w:rPr>
                <w:rFonts w:hint="eastAsia"/>
                <w:color w:val="auto"/>
                <w:sz w:val="18"/>
                <w:szCs w:val="18"/>
              </w:rPr>
              <w:t>2</w:t>
            </w:r>
          </w:p>
        </w:tc>
        <w:tc>
          <w:tcPr>
            <w:tcW w:w="709" w:type="dxa"/>
            <w:shd w:val="clear" w:color="auto" w:fill="auto"/>
            <w:vAlign w:val="center"/>
          </w:tcPr>
          <w:p w14:paraId="432851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color w:val="auto"/>
                <w:kern w:val="2"/>
                <w:sz w:val="21"/>
                <w:szCs w:val="24"/>
                <w:lang w:val="en-US" w:eastAsia="zh-CN" w:bidi="ar-SA"/>
              </w:rPr>
            </w:pPr>
            <w:r>
              <w:rPr>
                <w:rFonts w:hint="eastAsia"/>
                <w:color w:val="auto"/>
                <w:sz w:val="18"/>
                <w:szCs w:val="18"/>
              </w:rPr>
              <w:t>1</w:t>
            </w:r>
          </w:p>
        </w:tc>
        <w:tc>
          <w:tcPr>
            <w:tcW w:w="1045" w:type="dxa"/>
            <w:shd w:val="clear" w:color="auto" w:fill="auto"/>
            <w:vAlign w:val="center"/>
          </w:tcPr>
          <w:p w14:paraId="3520C8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i/>
                <w:color w:val="auto"/>
                <w:kern w:val="2"/>
                <w:sz w:val="18"/>
                <w:szCs w:val="18"/>
                <w:lang w:val="en-US" w:eastAsia="zh-CN" w:bidi="ar-SA"/>
              </w:rPr>
            </w:pPr>
            <w:r>
              <w:rPr>
                <w:color w:val="auto"/>
                <w:sz w:val="18"/>
                <w:szCs w:val="18"/>
              </w:rPr>
              <w:t>考试</w:t>
            </w:r>
          </w:p>
        </w:tc>
      </w:tr>
      <w:tr w14:paraId="5550EE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037BFBD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00305F2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highlight w:val="yellow"/>
              </w:rPr>
            </w:pPr>
          </w:p>
        </w:tc>
        <w:tc>
          <w:tcPr>
            <w:tcW w:w="3516" w:type="dxa"/>
            <w:shd w:val="clear" w:color="auto" w:fill="auto"/>
            <w:vAlign w:val="center"/>
          </w:tcPr>
          <w:p w14:paraId="0D0590F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宪法专题</w:t>
            </w:r>
          </w:p>
        </w:tc>
        <w:tc>
          <w:tcPr>
            <w:tcW w:w="1081" w:type="dxa"/>
            <w:shd w:val="clear" w:color="auto" w:fill="C7DAF1" w:themeFill="text2" w:themeFillTint="32"/>
            <w:vAlign w:val="center"/>
          </w:tcPr>
          <w:p w14:paraId="3326AC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ZS0717</w:t>
            </w:r>
            <w:r>
              <w:rPr>
                <w:rFonts w:hint="eastAsia"/>
                <w:color w:val="auto"/>
                <w:sz w:val="18"/>
                <w:szCs w:val="18"/>
                <w:lang w:val="en-US" w:eastAsia="zh-CN"/>
              </w:rPr>
              <w:t>022</w:t>
            </w:r>
          </w:p>
        </w:tc>
        <w:tc>
          <w:tcPr>
            <w:tcW w:w="709" w:type="dxa"/>
            <w:shd w:val="clear" w:color="auto" w:fill="auto"/>
            <w:vAlign w:val="center"/>
          </w:tcPr>
          <w:p w14:paraId="3EB2BF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1CE53E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shd w:val="clear" w:color="auto" w:fill="auto"/>
            <w:vAlign w:val="center"/>
          </w:tcPr>
          <w:p w14:paraId="6AE5DA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考试</w:t>
            </w:r>
          </w:p>
        </w:tc>
      </w:tr>
      <w:tr w14:paraId="49997B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B46C4A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046CB7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highlight w:val="yellow"/>
              </w:rPr>
            </w:pPr>
          </w:p>
        </w:tc>
        <w:tc>
          <w:tcPr>
            <w:tcW w:w="3516" w:type="dxa"/>
            <w:shd w:val="clear" w:color="auto" w:fill="auto"/>
            <w:vAlign w:val="center"/>
          </w:tcPr>
          <w:p w14:paraId="1A13741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中国法制史专题</w:t>
            </w:r>
          </w:p>
        </w:tc>
        <w:tc>
          <w:tcPr>
            <w:tcW w:w="1081" w:type="dxa"/>
            <w:shd w:val="clear" w:color="auto" w:fill="C7DAF1" w:themeFill="text2" w:themeFillTint="32"/>
            <w:vAlign w:val="center"/>
          </w:tcPr>
          <w:p w14:paraId="5FA0CE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ZS0717</w:t>
            </w:r>
            <w:r>
              <w:rPr>
                <w:rFonts w:hint="eastAsia"/>
                <w:color w:val="auto"/>
                <w:sz w:val="18"/>
                <w:szCs w:val="18"/>
                <w:lang w:val="en-US" w:eastAsia="zh-CN"/>
              </w:rPr>
              <w:t>023</w:t>
            </w:r>
          </w:p>
        </w:tc>
        <w:tc>
          <w:tcPr>
            <w:tcW w:w="709" w:type="dxa"/>
            <w:shd w:val="clear" w:color="auto" w:fill="auto"/>
            <w:vAlign w:val="center"/>
          </w:tcPr>
          <w:p w14:paraId="7DFAC8B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F462F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shd w:val="clear" w:color="auto" w:fill="auto"/>
            <w:vAlign w:val="center"/>
          </w:tcPr>
          <w:p w14:paraId="712F34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考试</w:t>
            </w:r>
          </w:p>
        </w:tc>
      </w:tr>
      <w:tr w14:paraId="496637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99F8C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restart"/>
            <w:vAlign w:val="center"/>
          </w:tcPr>
          <w:p w14:paraId="0713E27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r>
              <w:rPr>
                <w:b/>
                <w:color w:val="auto"/>
                <w:sz w:val="18"/>
                <w:szCs w:val="18"/>
              </w:rPr>
              <w:t>专业必修课</w:t>
            </w:r>
          </w:p>
          <w:p w14:paraId="6E8C328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16</w:t>
            </w:r>
            <w:r>
              <w:rPr>
                <w:b/>
                <w:color w:val="auto"/>
                <w:sz w:val="18"/>
                <w:szCs w:val="18"/>
                <w:highlight w:val="none"/>
              </w:rPr>
              <w:t>学分）</w:t>
            </w:r>
          </w:p>
        </w:tc>
        <w:tc>
          <w:tcPr>
            <w:tcW w:w="3516" w:type="dxa"/>
            <w:vAlign w:val="center"/>
          </w:tcPr>
          <w:p w14:paraId="19F04285">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rPr>
            </w:pPr>
            <w:r>
              <w:rPr>
                <w:rFonts w:hint="eastAsia"/>
                <w:color w:val="auto"/>
                <w:sz w:val="18"/>
                <w:szCs w:val="18"/>
              </w:rPr>
              <w:t>习近平法治思想专题</w:t>
            </w:r>
          </w:p>
        </w:tc>
        <w:tc>
          <w:tcPr>
            <w:tcW w:w="1081" w:type="dxa"/>
            <w:shd w:val="clear" w:color="auto" w:fill="D7D7D7" w:themeFill="background1" w:themeFillShade="D8"/>
            <w:vAlign w:val="center"/>
          </w:tcPr>
          <w:p w14:paraId="235C868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eastAsia="宋体"/>
                <w:color w:val="auto"/>
                <w:sz w:val="18"/>
                <w:szCs w:val="18"/>
                <w:lang w:val="en-US" w:eastAsia="zh-CN"/>
              </w:rPr>
            </w:pPr>
            <w:r>
              <w:rPr>
                <w:rFonts w:hint="eastAsia"/>
                <w:iCs/>
                <w:color w:val="auto"/>
                <w:sz w:val="18"/>
                <w:szCs w:val="18"/>
              </w:rPr>
              <w:t>ZS0717</w:t>
            </w:r>
            <w:r>
              <w:rPr>
                <w:rFonts w:hint="eastAsia"/>
                <w:iCs/>
                <w:color w:val="auto"/>
                <w:sz w:val="18"/>
                <w:szCs w:val="18"/>
                <w:lang w:val="en-US" w:eastAsia="zh-CN"/>
              </w:rPr>
              <w:t>011</w:t>
            </w:r>
          </w:p>
        </w:tc>
        <w:tc>
          <w:tcPr>
            <w:tcW w:w="709" w:type="dxa"/>
            <w:vAlign w:val="center"/>
          </w:tcPr>
          <w:p w14:paraId="27056A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rPr>
            </w:pPr>
            <w:r>
              <w:rPr>
                <w:rFonts w:hint="eastAsia"/>
                <w:color w:val="auto"/>
                <w:sz w:val="18"/>
                <w:szCs w:val="18"/>
              </w:rPr>
              <w:t>1</w:t>
            </w:r>
          </w:p>
        </w:tc>
        <w:tc>
          <w:tcPr>
            <w:tcW w:w="709" w:type="dxa"/>
            <w:vAlign w:val="center"/>
          </w:tcPr>
          <w:p w14:paraId="6C3D4CC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rPr>
            </w:pPr>
            <w:r>
              <w:rPr>
                <w:rFonts w:hint="eastAsia"/>
                <w:color w:val="auto"/>
                <w:sz w:val="18"/>
                <w:szCs w:val="18"/>
              </w:rPr>
              <w:t>1</w:t>
            </w:r>
          </w:p>
        </w:tc>
        <w:tc>
          <w:tcPr>
            <w:tcW w:w="1045" w:type="dxa"/>
            <w:vAlign w:val="center"/>
          </w:tcPr>
          <w:p w14:paraId="12B067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考试</w:t>
            </w:r>
          </w:p>
        </w:tc>
      </w:tr>
      <w:tr w14:paraId="400CB8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009C13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05838D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0A15BFF4">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民法原理与实务</w:t>
            </w:r>
          </w:p>
        </w:tc>
        <w:tc>
          <w:tcPr>
            <w:tcW w:w="1081" w:type="dxa"/>
            <w:shd w:val="clear" w:color="auto" w:fill="D7D7D7" w:themeFill="background1" w:themeFillShade="D8"/>
            <w:vAlign w:val="center"/>
          </w:tcPr>
          <w:p w14:paraId="0F8F20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012</w:t>
            </w:r>
          </w:p>
        </w:tc>
        <w:tc>
          <w:tcPr>
            <w:tcW w:w="709" w:type="dxa"/>
            <w:vAlign w:val="center"/>
          </w:tcPr>
          <w:p w14:paraId="2B56685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2</w:t>
            </w:r>
          </w:p>
        </w:tc>
        <w:tc>
          <w:tcPr>
            <w:tcW w:w="709" w:type="dxa"/>
            <w:vAlign w:val="center"/>
          </w:tcPr>
          <w:p w14:paraId="0FD7B7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1</w:t>
            </w:r>
          </w:p>
        </w:tc>
        <w:tc>
          <w:tcPr>
            <w:tcW w:w="1045" w:type="dxa"/>
            <w:vAlign w:val="center"/>
          </w:tcPr>
          <w:p w14:paraId="484EFB9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60B8C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7AA7C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0CDFB29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2847CAC5">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民事诉讼原理与实务</w:t>
            </w:r>
          </w:p>
        </w:tc>
        <w:tc>
          <w:tcPr>
            <w:tcW w:w="1081" w:type="dxa"/>
            <w:shd w:val="clear" w:color="auto" w:fill="D7D7D7" w:themeFill="background1" w:themeFillShade="D8"/>
            <w:vAlign w:val="center"/>
          </w:tcPr>
          <w:p w14:paraId="66A021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013</w:t>
            </w:r>
          </w:p>
        </w:tc>
        <w:tc>
          <w:tcPr>
            <w:tcW w:w="709" w:type="dxa"/>
            <w:vAlign w:val="center"/>
          </w:tcPr>
          <w:p w14:paraId="08201BE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2</w:t>
            </w:r>
          </w:p>
        </w:tc>
        <w:tc>
          <w:tcPr>
            <w:tcW w:w="709" w:type="dxa"/>
            <w:vAlign w:val="center"/>
          </w:tcPr>
          <w:p w14:paraId="2326563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1</w:t>
            </w:r>
          </w:p>
        </w:tc>
        <w:tc>
          <w:tcPr>
            <w:tcW w:w="1045" w:type="dxa"/>
            <w:vAlign w:val="center"/>
          </w:tcPr>
          <w:p w14:paraId="203241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60CEB9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F3B7D6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5CDC3B4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09505859">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刑法原理与实务</w:t>
            </w:r>
          </w:p>
        </w:tc>
        <w:tc>
          <w:tcPr>
            <w:tcW w:w="1081" w:type="dxa"/>
            <w:shd w:val="clear" w:color="auto" w:fill="D7D7D7" w:themeFill="background1" w:themeFillShade="D8"/>
            <w:vAlign w:val="center"/>
          </w:tcPr>
          <w:p w14:paraId="2D9D352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014</w:t>
            </w:r>
          </w:p>
        </w:tc>
        <w:tc>
          <w:tcPr>
            <w:tcW w:w="709" w:type="dxa"/>
            <w:vAlign w:val="center"/>
          </w:tcPr>
          <w:p w14:paraId="2D6CCF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2</w:t>
            </w:r>
          </w:p>
        </w:tc>
        <w:tc>
          <w:tcPr>
            <w:tcW w:w="709" w:type="dxa"/>
            <w:vAlign w:val="center"/>
          </w:tcPr>
          <w:p w14:paraId="501552E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1</w:t>
            </w:r>
          </w:p>
        </w:tc>
        <w:tc>
          <w:tcPr>
            <w:tcW w:w="1045" w:type="dxa"/>
            <w:vAlign w:val="center"/>
          </w:tcPr>
          <w:p w14:paraId="13547A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572BBD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5E87BE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245978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7A988EF9">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刑事诉讼原理与实务</w:t>
            </w:r>
          </w:p>
        </w:tc>
        <w:tc>
          <w:tcPr>
            <w:tcW w:w="1081" w:type="dxa"/>
            <w:shd w:val="clear" w:color="auto" w:fill="D7D7D7" w:themeFill="background1" w:themeFillShade="D8"/>
            <w:vAlign w:val="center"/>
          </w:tcPr>
          <w:p w14:paraId="50D1B8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015</w:t>
            </w:r>
          </w:p>
        </w:tc>
        <w:tc>
          <w:tcPr>
            <w:tcW w:w="709" w:type="dxa"/>
            <w:vAlign w:val="center"/>
          </w:tcPr>
          <w:p w14:paraId="063B12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2</w:t>
            </w:r>
          </w:p>
        </w:tc>
        <w:tc>
          <w:tcPr>
            <w:tcW w:w="709" w:type="dxa"/>
            <w:vAlign w:val="center"/>
          </w:tcPr>
          <w:p w14:paraId="4FC1EB2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1</w:t>
            </w:r>
          </w:p>
        </w:tc>
        <w:tc>
          <w:tcPr>
            <w:tcW w:w="1045" w:type="dxa"/>
            <w:vAlign w:val="center"/>
          </w:tcPr>
          <w:p w14:paraId="17E9E8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327B12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5E1F58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0790A4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73C057F6">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行政法与行政诉讼原理与实务</w:t>
            </w:r>
          </w:p>
        </w:tc>
        <w:tc>
          <w:tcPr>
            <w:tcW w:w="1081" w:type="dxa"/>
            <w:shd w:val="clear" w:color="auto" w:fill="D7D7D7" w:themeFill="background1" w:themeFillShade="D8"/>
            <w:vAlign w:val="center"/>
          </w:tcPr>
          <w:p w14:paraId="287863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016</w:t>
            </w:r>
          </w:p>
        </w:tc>
        <w:tc>
          <w:tcPr>
            <w:tcW w:w="709" w:type="dxa"/>
            <w:vAlign w:val="center"/>
          </w:tcPr>
          <w:p w14:paraId="538C8D4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3</w:t>
            </w:r>
          </w:p>
        </w:tc>
        <w:tc>
          <w:tcPr>
            <w:tcW w:w="709" w:type="dxa"/>
            <w:vAlign w:val="center"/>
          </w:tcPr>
          <w:p w14:paraId="1868E8F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color w:val="auto"/>
                <w:sz w:val="18"/>
                <w:szCs w:val="18"/>
                <w:lang w:val="en-US" w:eastAsia="zh-CN"/>
              </w:rPr>
              <w:t>2</w:t>
            </w:r>
          </w:p>
        </w:tc>
        <w:tc>
          <w:tcPr>
            <w:tcW w:w="1045" w:type="dxa"/>
            <w:vAlign w:val="center"/>
          </w:tcPr>
          <w:p w14:paraId="27CD35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7BE2AC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052F0A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73DA3E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vAlign w:val="center"/>
          </w:tcPr>
          <w:p w14:paraId="0EB65E2C">
            <w:pPr>
              <w:keepNext w:val="0"/>
              <w:keepLines w:val="0"/>
              <w:pageBreakBefore w:val="0"/>
              <w:widowControl w:val="0"/>
              <w:kinsoku/>
              <w:wordWrap/>
              <w:overflowPunct/>
              <w:topLinePunct w:val="0"/>
              <w:autoSpaceDE/>
              <w:autoSpaceDN/>
              <w:bidi w:val="0"/>
              <w:adjustRightInd/>
              <w:snapToGrid/>
              <w:spacing w:line="360" w:lineRule="exact"/>
              <w:textAlignment w:val="auto"/>
              <w:rPr>
                <w:i/>
                <w:color w:val="auto"/>
                <w:sz w:val="18"/>
                <w:szCs w:val="18"/>
              </w:rPr>
            </w:pPr>
            <w:r>
              <w:rPr>
                <w:rFonts w:hint="eastAsia"/>
                <w:color w:val="auto"/>
                <w:sz w:val="18"/>
                <w:szCs w:val="18"/>
              </w:rPr>
              <w:t>经济法原理与实务</w:t>
            </w:r>
          </w:p>
        </w:tc>
        <w:tc>
          <w:tcPr>
            <w:tcW w:w="1081" w:type="dxa"/>
            <w:shd w:val="clear" w:color="auto" w:fill="D7D7D7" w:themeFill="background1" w:themeFillShade="D8"/>
            <w:vAlign w:val="center"/>
          </w:tcPr>
          <w:p w14:paraId="4BD91B8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iCs/>
                <w:color w:val="auto"/>
                <w:sz w:val="18"/>
                <w:szCs w:val="18"/>
              </w:rPr>
              <w:t>ZS0717</w:t>
            </w:r>
            <w:r>
              <w:rPr>
                <w:rFonts w:hint="eastAsia"/>
                <w:iCs/>
                <w:color w:val="auto"/>
                <w:sz w:val="18"/>
                <w:szCs w:val="18"/>
                <w:lang w:val="en-US" w:eastAsia="zh-CN"/>
              </w:rPr>
              <w:t>017</w:t>
            </w:r>
          </w:p>
        </w:tc>
        <w:tc>
          <w:tcPr>
            <w:tcW w:w="709" w:type="dxa"/>
            <w:vAlign w:val="center"/>
          </w:tcPr>
          <w:p w14:paraId="2518F4B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rFonts w:hint="eastAsia"/>
                <w:color w:val="auto"/>
                <w:sz w:val="18"/>
                <w:szCs w:val="18"/>
              </w:rPr>
              <w:t>2</w:t>
            </w:r>
          </w:p>
        </w:tc>
        <w:tc>
          <w:tcPr>
            <w:tcW w:w="709" w:type="dxa"/>
            <w:vAlign w:val="center"/>
          </w:tcPr>
          <w:p w14:paraId="6AC774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i/>
                <w:color w:val="auto"/>
                <w:sz w:val="18"/>
                <w:szCs w:val="18"/>
                <w:lang w:eastAsia="zh-CN"/>
              </w:rPr>
            </w:pPr>
            <w:r>
              <w:rPr>
                <w:rFonts w:hint="eastAsia"/>
                <w:color w:val="auto"/>
                <w:sz w:val="18"/>
                <w:szCs w:val="18"/>
                <w:lang w:val="en-US" w:eastAsia="zh-CN"/>
              </w:rPr>
              <w:t>1</w:t>
            </w:r>
          </w:p>
        </w:tc>
        <w:tc>
          <w:tcPr>
            <w:tcW w:w="1045" w:type="dxa"/>
            <w:vAlign w:val="center"/>
          </w:tcPr>
          <w:p w14:paraId="5409940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r>
              <w:rPr>
                <w:color w:val="auto"/>
                <w:sz w:val="18"/>
                <w:szCs w:val="18"/>
              </w:rPr>
              <w:t>考试</w:t>
            </w:r>
          </w:p>
        </w:tc>
      </w:tr>
      <w:tr w14:paraId="4506A7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02833E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1226" w:type="dxa"/>
            <w:vMerge w:val="continue"/>
            <w:vAlign w:val="center"/>
          </w:tcPr>
          <w:p w14:paraId="46DB3D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18"/>
                <w:szCs w:val="18"/>
              </w:rPr>
            </w:pPr>
          </w:p>
        </w:tc>
        <w:tc>
          <w:tcPr>
            <w:tcW w:w="3516" w:type="dxa"/>
            <w:shd w:val="clear" w:color="auto" w:fill="auto"/>
            <w:vAlign w:val="center"/>
          </w:tcPr>
          <w:p w14:paraId="761A790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法律职业伦理</w:t>
            </w:r>
          </w:p>
        </w:tc>
        <w:tc>
          <w:tcPr>
            <w:tcW w:w="1081" w:type="dxa"/>
            <w:shd w:val="clear" w:color="auto" w:fill="D7D7D7" w:themeFill="background1" w:themeFillShade="D8"/>
            <w:vAlign w:val="center"/>
          </w:tcPr>
          <w:p w14:paraId="6727AD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iCs/>
                <w:color w:val="auto"/>
                <w:sz w:val="18"/>
                <w:szCs w:val="18"/>
              </w:rPr>
              <w:t>ZS0717</w:t>
            </w:r>
            <w:r>
              <w:rPr>
                <w:rFonts w:hint="eastAsia"/>
                <w:iCs/>
                <w:color w:val="auto"/>
                <w:sz w:val="18"/>
                <w:szCs w:val="18"/>
                <w:lang w:val="en-US" w:eastAsia="zh-CN"/>
              </w:rPr>
              <w:t>018</w:t>
            </w:r>
          </w:p>
        </w:tc>
        <w:tc>
          <w:tcPr>
            <w:tcW w:w="709" w:type="dxa"/>
            <w:shd w:val="clear" w:color="auto" w:fill="auto"/>
            <w:vAlign w:val="center"/>
          </w:tcPr>
          <w:p w14:paraId="00116A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21B026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shd w:val="clear" w:color="auto" w:fill="auto"/>
            <w:vAlign w:val="center"/>
          </w:tcPr>
          <w:p w14:paraId="6EF9AA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Times New Roman" w:hAnsi="Times New Roman" w:eastAsia="宋体" w:cs="Times New Roman"/>
                <w:i/>
                <w:color w:val="auto"/>
                <w:kern w:val="2"/>
                <w:sz w:val="18"/>
                <w:szCs w:val="18"/>
                <w:lang w:val="en-US" w:eastAsia="zh-CN" w:bidi="ar-SA"/>
              </w:rPr>
            </w:pPr>
            <w:r>
              <w:rPr>
                <w:color w:val="auto"/>
                <w:sz w:val="18"/>
                <w:szCs w:val="18"/>
              </w:rPr>
              <w:t>考试</w:t>
            </w:r>
          </w:p>
        </w:tc>
      </w:tr>
      <w:tr w14:paraId="197C68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31E9DF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color w:val="auto"/>
                <w:sz w:val="18"/>
                <w:szCs w:val="18"/>
              </w:rPr>
            </w:pPr>
            <w:r>
              <w:rPr>
                <w:b/>
                <w:color w:val="auto"/>
                <w:sz w:val="18"/>
                <w:szCs w:val="18"/>
              </w:rPr>
              <w:t>非学位课</w:t>
            </w:r>
          </w:p>
        </w:tc>
        <w:tc>
          <w:tcPr>
            <w:tcW w:w="1226" w:type="dxa"/>
            <w:vMerge w:val="restart"/>
            <w:vAlign w:val="center"/>
          </w:tcPr>
          <w:p w14:paraId="3BE7ED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b/>
                <w:color w:val="auto"/>
                <w:sz w:val="18"/>
                <w:szCs w:val="18"/>
              </w:rPr>
              <w:t>公共通识课</w:t>
            </w:r>
          </w:p>
          <w:p w14:paraId="36EDF0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b/>
                <w:color w:val="auto"/>
                <w:sz w:val="18"/>
                <w:szCs w:val="18"/>
              </w:rPr>
              <w:t>（2学分）</w:t>
            </w:r>
          </w:p>
        </w:tc>
        <w:tc>
          <w:tcPr>
            <w:tcW w:w="3516" w:type="dxa"/>
            <w:vAlign w:val="center"/>
          </w:tcPr>
          <w:p w14:paraId="698FCD67">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《习近平谈治国理政》研读</w:t>
            </w:r>
          </w:p>
        </w:tc>
        <w:tc>
          <w:tcPr>
            <w:tcW w:w="1081" w:type="dxa"/>
            <w:vAlign w:val="center"/>
          </w:tcPr>
          <w:p w14:paraId="41975F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TT0000101</w:t>
            </w:r>
          </w:p>
        </w:tc>
        <w:tc>
          <w:tcPr>
            <w:tcW w:w="709" w:type="dxa"/>
            <w:vAlign w:val="center"/>
          </w:tcPr>
          <w:p w14:paraId="36BB01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1</w:t>
            </w:r>
          </w:p>
        </w:tc>
        <w:tc>
          <w:tcPr>
            <w:tcW w:w="709" w:type="dxa"/>
            <w:vAlign w:val="center"/>
          </w:tcPr>
          <w:p w14:paraId="6CB407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2</w:t>
            </w:r>
          </w:p>
        </w:tc>
        <w:tc>
          <w:tcPr>
            <w:tcW w:w="1045" w:type="dxa"/>
            <w:vAlign w:val="center"/>
          </w:tcPr>
          <w:p w14:paraId="0BC1D5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考查</w:t>
            </w:r>
          </w:p>
        </w:tc>
      </w:tr>
      <w:tr w14:paraId="7BC188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6F6C0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25E594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05CA5073">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马克思主义与社会科学方法论</w:t>
            </w:r>
          </w:p>
        </w:tc>
        <w:tc>
          <w:tcPr>
            <w:tcW w:w="1081" w:type="dxa"/>
            <w:vAlign w:val="center"/>
          </w:tcPr>
          <w:p w14:paraId="7060D0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TS0000101</w:t>
            </w:r>
          </w:p>
        </w:tc>
        <w:tc>
          <w:tcPr>
            <w:tcW w:w="709" w:type="dxa"/>
            <w:vAlign w:val="center"/>
          </w:tcPr>
          <w:p w14:paraId="1967C8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1</w:t>
            </w:r>
          </w:p>
        </w:tc>
        <w:tc>
          <w:tcPr>
            <w:tcW w:w="709" w:type="dxa"/>
            <w:tcBorders>
              <w:bottom w:val="single" w:color="auto" w:sz="4" w:space="0"/>
            </w:tcBorders>
            <w:vAlign w:val="center"/>
          </w:tcPr>
          <w:p w14:paraId="04F7D5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2</w:t>
            </w:r>
          </w:p>
        </w:tc>
        <w:tc>
          <w:tcPr>
            <w:tcW w:w="1045" w:type="dxa"/>
            <w:tcBorders>
              <w:bottom w:val="single" w:color="auto" w:sz="4" w:space="0"/>
            </w:tcBorders>
            <w:vAlign w:val="center"/>
          </w:tcPr>
          <w:p w14:paraId="3D13D44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考查</w:t>
            </w:r>
          </w:p>
        </w:tc>
      </w:tr>
      <w:tr w14:paraId="75AFA9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601246DC">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3E0946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auto"/>
                <w:sz w:val="18"/>
                <w:szCs w:val="18"/>
                <w:lang w:eastAsia="zh-CN"/>
              </w:rPr>
            </w:pPr>
            <w:r>
              <w:rPr>
                <w:rFonts w:hint="eastAsia"/>
                <w:b/>
                <w:color w:val="auto"/>
                <w:sz w:val="18"/>
                <w:szCs w:val="18"/>
                <w:lang w:eastAsia="zh-CN"/>
              </w:rPr>
              <w:t>立法实务方向选修课</w:t>
            </w:r>
          </w:p>
        </w:tc>
        <w:tc>
          <w:tcPr>
            <w:tcW w:w="3516" w:type="dxa"/>
            <w:vAlign w:val="center"/>
          </w:tcPr>
          <w:p w14:paraId="4AC55C2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i/>
                <w:color w:val="auto"/>
                <w:sz w:val="18"/>
                <w:szCs w:val="18"/>
                <w:lang w:eastAsia="zh-CN"/>
              </w:rPr>
            </w:pPr>
            <w:r>
              <w:rPr>
                <w:rFonts w:hint="eastAsia" w:ascii="宋体" w:hAnsi="宋体"/>
                <w:color w:val="auto"/>
                <w:sz w:val="18"/>
                <w:szCs w:val="18"/>
                <w:lang w:eastAsia="zh-CN"/>
              </w:rPr>
              <w:t>立法原理与实务</w:t>
            </w:r>
          </w:p>
        </w:tc>
        <w:tc>
          <w:tcPr>
            <w:tcW w:w="1081" w:type="dxa"/>
            <w:shd w:val="clear" w:color="auto" w:fill="FDEADA" w:themeFill="accent6" w:themeFillTint="32"/>
            <w:vAlign w:val="center"/>
          </w:tcPr>
          <w:p w14:paraId="4C9F9F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color w:val="C00000"/>
                <w:sz w:val="18"/>
                <w:szCs w:val="18"/>
                <w:lang w:eastAsia="zh-CN"/>
              </w:rPr>
            </w:pPr>
            <w:r>
              <w:rPr>
                <w:rFonts w:hint="eastAsia"/>
                <w:iCs/>
                <w:color w:val="C00000"/>
                <w:sz w:val="18"/>
                <w:szCs w:val="18"/>
              </w:rPr>
              <w:t>ZS0717</w:t>
            </w:r>
            <w:r>
              <w:rPr>
                <w:rFonts w:hint="eastAsia"/>
                <w:iCs/>
                <w:color w:val="C00000"/>
                <w:sz w:val="18"/>
                <w:szCs w:val="18"/>
                <w:lang w:val="en-US" w:eastAsia="zh-CN"/>
              </w:rPr>
              <w:t>111</w:t>
            </w:r>
          </w:p>
        </w:tc>
        <w:tc>
          <w:tcPr>
            <w:tcW w:w="709" w:type="dxa"/>
            <w:shd w:val="clear" w:color="auto" w:fill="auto"/>
            <w:vAlign w:val="center"/>
          </w:tcPr>
          <w:p w14:paraId="349DBA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7BCC87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1045" w:type="dxa"/>
            <w:vMerge w:val="restart"/>
            <w:vAlign w:val="center"/>
          </w:tcPr>
          <w:p w14:paraId="4DBAB2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bookmarkStart w:id="5" w:name="OLE_LINK3"/>
            <w:r>
              <w:rPr>
                <w:color w:val="auto"/>
                <w:sz w:val="18"/>
                <w:szCs w:val="18"/>
              </w:rPr>
              <w:t>本方向研究生至少选修</w:t>
            </w:r>
          </w:p>
          <w:p w14:paraId="716F8FA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bookmarkEnd w:id="5"/>
          </w:p>
        </w:tc>
      </w:tr>
      <w:tr w14:paraId="28DE06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BD77C15">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66CC3E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6F86681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auto"/>
                <w:sz w:val="18"/>
                <w:szCs w:val="18"/>
                <w:lang w:eastAsia="zh-CN"/>
              </w:rPr>
            </w:pPr>
            <w:r>
              <w:rPr>
                <w:rFonts w:hint="eastAsia" w:ascii="宋体" w:hAnsi="宋体"/>
                <w:color w:val="auto"/>
                <w:sz w:val="18"/>
                <w:szCs w:val="18"/>
                <w:lang w:eastAsia="zh-CN"/>
              </w:rPr>
              <w:t>比较立法学专题</w:t>
            </w:r>
          </w:p>
        </w:tc>
        <w:tc>
          <w:tcPr>
            <w:tcW w:w="1081" w:type="dxa"/>
            <w:shd w:val="clear" w:color="auto" w:fill="FDEADA" w:themeFill="accent6" w:themeFillTint="32"/>
            <w:vAlign w:val="center"/>
          </w:tcPr>
          <w:p w14:paraId="2F3B1D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color w:val="C00000"/>
                <w:sz w:val="18"/>
                <w:szCs w:val="18"/>
                <w:lang w:eastAsia="zh-CN"/>
              </w:rPr>
            </w:pPr>
            <w:r>
              <w:rPr>
                <w:rFonts w:hint="eastAsia"/>
                <w:iCs/>
                <w:color w:val="C00000"/>
                <w:sz w:val="18"/>
                <w:szCs w:val="18"/>
              </w:rPr>
              <w:t>ZS0717</w:t>
            </w:r>
            <w:r>
              <w:rPr>
                <w:rFonts w:hint="eastAsia"/>
                <w:iCs/>
                <w:color w:val="C00000"/>
                <w:sz w:val="18"/>
                <w:szCs w:val="18"/>
                <w:lang w:val="en-US" w:eastAsia="zh-CN"/>
              </w:rPr>
              <w:t>112</w:t>
            </w:r>
          </w:p>
        </w:tc>
        <w:tc>
          <w:tcPr>
            <w:tcW w:w="709" w:type="dxa"/>
            <w:shd w:val="clear" w:color="auto" w:fill="auto"/>
            <w:vAlign w:val="center"/>
          </w:tcPr>
          <w:p w14:paraId="123097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5B5345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77540E1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4A4972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43EADD7">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6F05D1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419CCE9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auto"/>
                <w:sz w:val="18"/>
                <w:szCs w:val="18"/>
                <w:lang w:eastAsia="zh-CN"/>
              </w:rPr>
            </w:pPr>
            <w:r>
              <w:rPr>
                <w:rFonts w:hint="eastAsia" w:ascii="宋体" w:hAnsi="宋体"/>
                <w:color w:val="auto"/>
                <w:sz w:val="18"/>
                <w:szCs w:val="18"/>
                <w:lang w:eastAsia="zh-CN"/>
              </w:rPr>
              <w:t>立法技术与规范</w:t>
            </w:r>
          </w:p>
        </w:tc>
        <w:tc>
          <w:tcPr>
            <w:tcW w:w="1081" w:type="dxa"/>
            <w:shd w:val="clear" w:color="auto" w:fill="FDEADA" w:themeFill="accent6" w:themeFillTint="32"/>
            <w:vAlign w:val="center"/>
          </w:tcPr>
          <w:p w14:paraId="0F3BD7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41</w:t>
            </w:r>
          </w:p>
        </w:tc>
        <w:tc>
          <w:tcPr>
            <w:tcW w:w="709" w:type="dxa"/>
            <w:shd w:val="clear" w:color="auto" w:fill="auto"/>
            <w:vAlign w:val="center"/>
          </w:tcPr>
          <w:p w14:paraId="62D501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24074A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230A03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657E65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EE9D32D">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6034F5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7EC0FD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i/>
                <w:color w:val="auto"/>
                <w:sz w:val="18"/>
                <w:szCs w:val="18"/>
                <w:lang w:eastAsia="zh-CN"/>
              </w:rPr>
            </w:pPr>
            <w:r>
              <w:rPr>
                <w:rFonts w:hint="eastAsia" w:ascii="宋体" w:hAnsi="宋体"/>
                <w:color w:val="auto"/>
                <w:sz w:val="18"/>
                <w:szCs w:val="18"/>
                <w:lang w:eastAsia="zh-CN"/>
              </w:rPr>
              <w:t>地方立法专题</w:t>
            </w:r>
          </w:p>
        </w:tc>
        <w:tc>
          <w:tcPr>
            <w:tcW w:w="1081" w:type="dxa"/>
            <w:shd w:val="clear" w:color="auto" w:fill="FDEADA" w:themeFill="accent6" w:themeFillTint="32"/>
            <w:vAlign w:val="center"/>
          </w:tcPr>
          <w:p w14:paraId="0D0A43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42</w:t>
            </w:r>
          </w:p>
        </w:tc>
        <w:tc>
          <w:tcPr>
            <w:tcW w:w="709" w:type="dxa"/>
            <w:shd w:val="clear" w:color="auto" w:fill="auto"/>
            <w:vAlign w:val="center"/>
          </w:tcPr>
          <w:p w14:paraId="39D6A9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1E7088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707E4D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001241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86A1837">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36A55A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rFonts w:hint="eastAsia"/>
                <w:b/>
                <w:color w:val="auto"/>
                <w:sz w:val="18"/>
                <w:szCs w:val="18"/>
                <w:lang w:eastAsia="zh-CN"/>
              </w:rPr>
              <w:t>司法实务方向选修课</w:t>
            </w:r>
          </w:p>
        </w:tc>
        <w:tc>
          <w:tcPr>
            <w:tcW w:w="3516" w:type="dxa"/>
            <w:shd w:val="clear" w:color="auto" w:fill="auto"/>
            <w:vAlign w:val="center"/>
          </w:tcPr>
          <w:p w14:paraId="7F5C0A4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证据法专题</w:t>
            </w:r>
          </w:p>
        </w:tc>
        <w:tc>
          <w:tcPr>
            <w:tcW w:w="1081" w:type="dxa"/>
            <w:shd w:val="clear" w:color="auto" w:fill="FDEADA" w:themeFill="accent6" w:themeFillTint="32"/>
            <w:vAlign w:val="center"/>
          </w:tcPr>
          <w:p w14:paraId="07F7CB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113</w:t>
            </w:r>
          </w:p>
        </w:tc>
        <w:tc>
          <w:tcPr>
            <w:tcW w:w="709" w:type="dxa"/>
            <w:shd w:val="clear" w:color="auto" w:fill="auto"/>
            <w:vAlign w:val="center"/>
          </w:tcPr>
          <w:p w14:paraId="732325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AE1C2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vMerge w:val="restart"/>
            <w:vAlign w:val="center"/>
          </w:tcPr>
          <w:p w14:paraId="3FEE7F0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本方向研究生至少选修</w:t>
            </w:r>
          </w:p>
          <w:p w14:paraId="1241F8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p>
        </w:tc>
      </w:tr>
      <w:tr w14:paraId="472CD7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61546261">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230BFA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78807CB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犯罪学</w:t>
            </w:r>
            <w:r>
              <w:rPr>
                <w:rFonts w:hint="eastAsia"/>
                <w:iCs/>
                <w:color w:val="auto"/>
                <w:sz w:val="18"/>
                <w:szCs w:val="18"/>
                <w:lang w:eastAsia="zh-CN"/>
              </w:rPr>
              <w:t>专题</w:t>
            </w:r>
          </w:p>
        </w:tc>
        <w:tc>
          <w:tcPr>
            <w:tcW w:w="1081" w:type="dxa"/>
            <w:shd w:val="clear" w:color="auto" w:fill="FDEADA" w:themeFill="accent6" w:themeFillTint="32"/>
            <w:vAlign w:val="center"/>
          </w:tcPr>
          <w:p w14:paraId="0666B4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114</w:t>
            </w:r>
          </w:p>
        </w:tc>
        <w:tc>
          <w:tcPr>
            <w:tcW w:w="709" w:type="dxa"/>
            <w:shd w:val="clear" w:color="auto" w:fill="auto"/>
            <w:vAlign w:val="center"/>
          </w:tcPr>
          <w:p w14:paraId="2F605D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auto"/>
                <w:kern w:val="2"/>
                <w:sz w:val="18"/>
                <w:szCs w:val="18"/>
                <w:highlight w:val="none"/>
                <w:lang w:val="en-US" w:eastAsia="zh-CN" w:bidi="ar-SA"/>
              </w:rPr>
            </w:pPr>
            <w:r>
              <w:rPr>
                <w:rFonts w:hint="eastAsia"/>
                <w:iCs/>
                <w:color w:val="auto"/>
                <w:sz w:val="18"/>
                <w:szCs w:val="18"/>
                <w:highlight w:val="none"/>
              </w:rPr>
              <w:t>2</w:t>
            </w:r>
          </w:p>
        </w:tc>
        <w:tc>
          <w:tcPr>
            <w:tcW w:w="709" w:type="dxa"/>
            <w:shd w:val="clear" w:color="auto" w:fill="auto"/>
            <w:vAlign w:val="center"/>
          </w:tcPr>
          <w:p w14:paraId="4F2EC4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auto"/>
                <w:kern w:val="2"/>
                <w:sz w:val="18"/>
                <w:szCs w:val="18"/>
                <w:highlight w:val="none"/>
                <w:lang w:val="en-US" w:eastAsia="zh-CN" w:bidi="ar-SA"/>
              </w:rPr>
            </w:pPr>
            <w:r>
              <w:rPr>
                <w:rFonts w:hint="eastAsia"/>
                <w:iCs/>
                <w:color w:val="auto"/>
                <w:sz w:val="18"/>
                <w:szCs w:val="18"/>
                <w:highlight w:val="none"/>
                <w:lang w:val="en-US" w:eastAsia="zh-CN"/>
              </w:rPr>
              <w:t>3</w:t>
            </w:r>
          </w:p>
        </w:tc>
        <w:tc>
          <w:tcPr>
            <w:tcW w:w="1045" w:type="dxa"/>
            <w:vMerge w:val="continue"/>
            <w:vAlign w:val="center"/>
          </w:tcPr>
          <w:p w14:paraId="0FE3DD9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131E8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C99CA26">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41A4DC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688647F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刑事执行法学专题</w:t>
            </w:r>
          </w:p>
        </w:tc>
        <w:tc>
          <w:tcPr>
            <w:tcW w:w="1081" w:type="dxa"/>
            <w:shd w:val="clear" w:color="auto" w:fill="FDEADA" w:themeFill="accent6" w:themeFillTint="32"/>
            <w:vAlign w:val="center"/>
          </w:tcPr>
          <w:p w14:paraId="68FFA3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auto"/>
                <w:kern w:val="2"/>
                <w:sz w:val="18"/>
                <w:szCs w:val="18"/>
                <w:highlight w:val="none"/>
                <w:lang w:val="en-US" w:eastAsia="zh-CN" w:bidi="ar-SA"/>
              </w:rPr>
            </w:pPr>
            <w:r>
              <w:rPr>
                <w:rFonts w:hint="eastAsia"/>
                <w:iCs/>
                <w:color w:val="auto"/>
                <w:sz w:val="18"/>
                <w:szCs w:val="18"/>
              </w:rPr>
              <w:t>ZS07172</w:t>
            </w:r>
            <w:r>
              <w:rPr>
                <w:rFonts w:hint="eastAsia"/>
                <w:iCs/>
                <w:color w:val="auto"/>
                <w:sz w:val="18"/>
                <w:szCs w:val="18"/>
                <w:lang w:val="en-US" w:eastAsia="zh-CN"/>
              </w:rPr>
              <w:t>43</w:t>
            </w:r>
          </w:p>
        </w:tc>
        <w:tc>
          <w:tcPr>
            <w:tcW w:w="709" w:type="dxa"/>
            <w:shd w:val="clear" w:color="auto" w:fill="auto"/>
            <w:vAlign w:val="center"/>
          </w:tcPr>
          <w:p w14:paraId="2FD258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2</w:t>
            </w:r>
          </w:p>
        </w:tc>
        <w:tc>
          <w:tcPr>
            <w:tcW w:w="709" w:type="dxa"/>
            <w:shd w:val="clear" w:color="auto" w:fill="auto"/>
            <w:vAlign w:val="center"/>
          </w:tcPr>
          <w:p w14:paraId="0AACEC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3</w:t>
            </w:r>
          </w:p>
        </w:tc>
        <w:tc>
          <w:tcPr>
            <w:tcW w:w="1045" w:type="dxa"/>
            <w:vMerge w:val="continue"/>
            <w:vAlign w:val="center"/>
          </w:tcPr>
          <w:p w14:paraId="5A9985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8D3E0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15609F0A">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672E15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0136A72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司法制度专题研究</w:t>
            </w:r>
          </w:p>
        </w:tc>
        <w:tc>
          <w:tcPr>
            <w:tcW w:w="1081" w:type="dxa"/>
            <w:shd w:val="clear" w:color="auto" w:fill="FDEADA" w:themeFill="accent6" w:themeFillTint="32"/>
            <w:vAlign w:val="center"/>
          </w:tcPr>
          <w:p w14:paraId="67F276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Cs/>
                <w:color w:val="auto"/>
                <w:kern w:val="2"/>
                <w:sz w:val="18"/>
                <w:szCs w:val="18"/>
                <w:lang w:val="en-US" w:eastAsia="zh-CN" w:bidi="ar-SA"/>
              </w:rPr>
            </w:pPr>
            <w:r>
              <w:rPr>
                <w:rFonts w:hint="eastAsia"/>
                <w:iCs/>
                <w:color w:val="auto"/>
                <w:sz w:val="18"/>
                <w:szCs w:val="18"/>
              </w:rPr>
              <w:t>ZS07172</w:t>
            </w:r>
            <w:r>
              <w:rPr>
                <w:rFonts w:hint="eastAsia"/>
                <w:iCs/>
                <w:color w:val="auto"/>
                <w:sz w:val="18"/>
                <w:szCs w:val="18"/>
                <w:lang w:val="en-US" w:eastAsia="zh-CN"/>
              </w:rPr>
              <w:t>44</w:t>
            </w:r>
          </w:p>
        </w:tc>
        <w:tc>
          <w:tcPr>
            <w:tcW w:w="709" w:type="dxa"/>
            <w:shd w:val="clear" w:color="auto" w:fill="auto"/>
            <w:vAlign w:val="center"/>
          </w:tcPr>
          <w:p w14:paraId="2BB729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35422D1E">
            <w:pPr>
              <w:keepNext w:val="0"/>
              <w:keepLines w:val="0"/>
              <w:pageBreakBefore w:val="0"/>
              <w:widowControl w:val="0"/>
              <w:tabs>
                <w:tab w:val="left" w:pos="226"/>
              </w:tabs>
              <w:kinsoku/>
              <w:wordWrap/>
              <w:overflowPunct/>
              <w:topLinePunct w:val="0"/>
              <w:autoSpaceDE/>
              <w:autoSpaceDN/>
              <w:bidi w:val="0"/>
              <w:adjustRightInd/>
              <w:snapToGrid/>
              <w:spacing w:line="320" w:lineRule="exact"/>
              <w:jc w:val="left"/>
              <w:textAlignment w:val="auto"/>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ab/>
            </w:r>
            <w:r>
              <w:rPr>
                <w:rFonts w:hint="eastAsia"/>
                <w:color w:val="auto"/>
                <w:sz w:val="18"/>
                <w:szCs w:val="18"/>
                <w:lang w:val="en-US" w:eastAsia="zh-CN"/>
              </w:rPr>
              <w:t>3</w:t>
            </w:r>
          </w:p>
        </w:tc>
        <w:tc>
          <w:tcPr>
            <w:tcW w:w="1045" w:type="dxa"/>
            <w:vMerge w:val="continue"/>
            <w:vAlign w:val="center"/>
          </w:tcPr>
          <w:p w14:paraId="497C0CA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0E4A16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66AC498A">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4F69FC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rFonts w:hint="eastAsia"/>
                <w:b/>
                <w:color w:val="auto"/>
                <w:sz w:val="18"/>
                <w:szCs w:val="18"/>
                <w:lang w:eastAsia="zh-CN"/>
              </w:rPr>
              <w:t>企业法律实务方向选修课</w:t>
            </w:r>
          </w:p>
        </w:tc>
        <w:tc>
          <w:tcPr>
            <w:tcW w:w="3516" w:type="dxa"/>
            <w:shd w:val="clear" w:color="auto" w:fill="auto"/>
            <w:vAlign w:val="center"/>
          </w:tcPr>
          <w:p w14:paraId="35F1A3F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商法</w:t>
            </w:r>
            <w:r>
              <w:rPr>
                <w:rFonts w:hint="eastAsia"/>
                <w:color w:val="auto"/>
                <w:sz w:val="18"/>
                <w:szCs w:val="18"/>
                <w:lang w:eastAsia="zh-CN"/>
              </w:rPr>
              <w:t>原理与实务</w:t>
            </w:r>
          </w:p>
        </w:tc>
        <w:tc>
          <w:tcPr>
            <w:tcW w:w="1081" w:type="dxa"/>
            <w:shd w:val="clear" w:color="auto" w:fill="FDEADA" w:themeFill="accent6" w:themeFillTint="32"/>
            <w:vAlign w:val="center"/>
          </w:tcPr>
          <w:p w14:paraId="07B8E0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115</w:t>
            </w:r>
          </w:p>
        </w:tc>
        <w:tc>
          <w:tcPr>
            <w:tcW w:w="709" w:type="dxa"/>
            <w:shd w:val="clear" w:color="auto" w:fill="auto"/>
            <w:vAlign w:val="center"/>
          </w:tcPr>
          <w:p w14:paraId="688012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768E7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045" w:type="dxa"/>
            <w:vMerge w:val="restart"/>
            <w:vAlign w:val="center"/>
          </w:tcPr>
          <w:p w14:paraId="2F40A55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本方向研究生至少选修</w:t>
            </w:r>
          </w:p>
          <w:p w14:paraId="68F6575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p>
        </w:tc>
      </w:tr>
      <w:tr w14:paraId="7476E5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71A41247">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3E519E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5FCC133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知识产权法</w:t>
            </w:r>
            <w:r>
              <w:rPr>
                <w:rFonts w:hint="eastAsia" w:ascii="宋体" w:hAnsi="宋体"/>
                <w:color w:val="auto"/>
                <w:sz w:val="18"/>
                <w:szCs w:val="18"/>
                <w:lang w:eastAsia="zh-CN"/>
              </w:rPr>
              <w:t>原理与实务</w:t>
            </w:r>
          </w:p>
        </w:tc>
        <w:tc>
          <w:tcPr>
            <w:tcW w:w="1081" w:type="dxa"/>
            <w:shd w:val="clear" w:color="auto" w:fill="FDEADA" w:themeFill="accent6" w:themeFillTint="32"/>
            <w:vAlign w:val="center"/>
          </w:tcPr>
          <w:p w14:paraId="573E48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116</w:t>
            </w:r>
          </w:p>
        </w:tc>
        <w:tc>
          <w:tcPr>
            <w:tcW w:w="709" w:type="dxa"/>
            <w:shd w:val="clear" w:color="auto" w:fill="auto"/>
            <w:vAlign w:val="center"/>
          </w:tcPr>
          <w:p w14:paraId="0A47DA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B5F95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3</w:t>
            </w:r>
          </w:p>
        </w:tc>
        <w:tc>
          <w:tcPr>
            <w:tcW w:w="1045" w:type="dxa"/>
            <w:vMerge w:val="continue"/>
            <w:vAlign w:val="center"/>
          </w:tcPr>
          <w:p w14:paraId="1F03EF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FA701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C3CA603">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37AC9B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0A2B5CD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劳动与社会保障法</w:t>
            </w:r>
            <w:r>
              <w:rPr>
                <w:rFonts w:hint="eastAsia" w:ascii="宋体" w:hAnsi="宋体"/>
                <w:color w:val="auto"/>
                <w:sz w:val="18"/>
                <w:szCs w:val="18"/>
                <w:lang w:eastAsia="zh-CN"/>
              </w:rPr>
              <w:t>原理与实务</w:t>
            </w:r>
          </w:p>
        </w:tc>
        <w:tc>
          <w:tcPr>
            <w:tcW w:w="1081" w:type="dxa"/>
            <w:shd w:val="clear" w:color="auto" w:fill="FDEADA" w:themeFill="accent6" w:themeFillTint="32"/>
            <w:vAlign w:val="center"/>
          </w:tcPr>
          <w:p w14:paraId="6E578B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rPr>
              <w:t>ZS07172</w:t>
            </w:r>
            <w:r>
              <w:rPr>
                <w:rFonts w:hint="eastAsia"/>
                <w:iCs/>
                <w:color w:val="auto"/>
                <w:sz w:val="18"/>
                <w:szCs w:val="18"/>
                <w:lang w:val="en-US" w:eastAsia="zh-CN"/>
              </w:rPr>
              <w:t>45</w:t>
            </w:r>
          </w:p>
        </w:tc>
        <w:tc>
          <w:tcPr>
            <w:tcW w:w="709" w:type="dxa"/>
            <w:shd w:val="clear" w:color="auto" w:fill="auto"/>
            <w:vAlign w:val="center"/>
          </w:tcPr>
          <w:p w14:paraId="7129B9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1C9E0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vAlign w:val="center"/>
          </w:tcPr>
          <w:p w14:paraId="2501C4F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0FB0E9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6B76D20">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0CFA02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108159A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环境资源法</w:t>
            </w:r>
            <w:r>
              <w:rPr>
                <w:rFonts w:hint="eastAsia" w:ascii="宋体" w:hAnsi="宋体"/>
                <w:color w:val="auto"/>
                <w:sz w:val="18"/>
                <w:szCs w:val="18"/>
                <w:lang w:eastAsia="zh-CN"/>
              </w:rPr>
              <w:t>原理与实务</w:t>
            </w:r>
          </w:p>
        </w:tc>
        <w:tc>
          <w:tcPr>
            <w:tcW w:w="1081" w:type="dxa"/>
            <w:shd w:val="clear" w:color="auto" w:fill="FDEADA" w:themeFill="accent6" w:themeFillTint="32"/>
            <w:vAlign w:val="center"/>
          </w:tcPr>
          <w:p w14:paraId="2BFDAA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rPr>
              <w:t>ZS07172</w:t>
            </w:r>
            <w:r>
              <w:rPr>
                <w:rFonts w:hint="eastAsia"/>
                <w:iCs/>
                <w:color w:val="auto"/>
                <w:sz w:val="18"/>
                <w:szCs w:val="18"/>
                <w:lang w:val="en-US" w:eastAsia="zh-CN"/>
              </w:rPr>
              <w:t>46</w:t>
            </w:r>
          </w:p>
        </w:tc>
        <w:tc>
          <w:tcPr>
            <w:tcW w:w="709" w:type="dxa"/>
            <w:shd w:val="clear" w:color="auto" w:fill="auto"/>
            <w:vAlign w:val="center"/>
          </w:tcPr>
          <w:p w14:paraId="65BA01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CA239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vAlign w:val="center"/>
          </w:tcPr>
          <w:p w14:paraId="10388B4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6CF251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2ACBA7A">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0C558A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rFonts w:hint="eastAsia"/>
                <w:b/>
                <w:color w:val="auto"/>
                <w:sz w:val="18"/>
                <w:szCs w:val="18"/>
                <w:lang w:eastAsia="zh-CN"/>
              </w:rPr>
              <w:t>涉外法治实务方向选修课</w:t>
            </w:r>
          </w:p>
        </w:tc>
        <w:tc>
          <w:tcPr>
            <w:tcW w:w="3516" w:type="dxa"/>
            <w:shd w:val="clear" w:color="auto" w:fill="auto"/>
            <w:vAlign w:val="center"/>
          </w:tcPr>
          <w:p w14:paraId="30235A4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涉外法治原理与实务</w:t>
            </w:r>
          </w:p>
        </w:tc>
        <w:tc>
          <w:tcPr>
            <w:tcW w:w="1081" w:type="dxa"/>
            <w:shd w:val="clear" w:color="auto" w:fill="FDEADA" w:themeFill="accent6" w:themeFillTint="32"/>
            <w:vAlign w:val="center"/>
          </w:tcPr>
          <w:p w14:paraId="3EF59F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C00000"/>
                <w:sz w:val="18"/>
                <w:szCs w:val="18"/>
                <w:lang w:val="en-US" w:eastAsia="zh-CN"/>
              </w:rPr>
            </w:pPr>
            <w:r>
              <w:rPr>
                <w:rFonts w:hint="eastAsia"/>
                <w:iCs/>
                <w:color w:val="C00000"/>
                <w:sz w:val="18"/>
                <w:szCs w:val="18"/>
              </w:rPr>
              <w:t>ZS0717</w:t>
            </w:r>
            <w:r>
              <w:rPr>
                <w:rFonts w:hint="eastAsia"/>
                <w:iCs/>
                <w:color w:val="C00000"/>
                <w:sz w:val="18"/>
                <w:szCs w:val="18"/>
                <w:lang w:val="en-US" w:eastAsia="zh-CN"/>
              </w:rPr>
              <w:t>117</w:t>
            </w:r>
          </w:p>
        </w:tc>
        <w:tc>
          <w:tcPr>
            <w:tcW w:w="709" w:type="dxa"/>
            <w:shd w:val="clear" w:color="auto" w:fill="auto"/>
            <w:vAlign w:val="center"/>
          </w:tcPr>
          <w:p w14:paraId="70E61E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551204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1045" w:type="dxa"/>
            <w:vMerge w:val="restart"/>
            <w:vAlign w:val="center"/>
          </w:tcPr>
          <w:p w14:paraId="26D7D8E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本方向研究生至少选修</w:t>
            </w:r>
          </w:p>
          <w:p w14:paraId="4EF096B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p>
        </w:tc>
      </w:tr>
      <w:tr w14:paraId="5F61DE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07961FB">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55F4D5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31EC398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国际法专题</w:t>
            </w:r>
          </w:p>
        </w:tc>
        <w:tc>
          <w:tcPr>
            <w:tcW w:w="1081" w:type="dxa"/>
            <w:shd w:val="clear" w:color="auto" w:fill="FDEADA" w:themeFill="accent6" w:themeFillTint="32"/>
            <w:vAlign w:val="center"/>
          </w:tcPr>
          <w:p w14:paraId="3A2486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118</w:t>
            </w:r>
          </w:p>
        </w:tc>
        <w:tc>
          <w:tcPr>
            <w:tcW w:w="709" w:type="dxa"/>
            <w:shd w:val="clear" w:color="auto" w:fill="auto"/>
            <w:vAlign w:val="center"/>
          </w:tcPr>
          <w:p w14:paraId="22C752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5F624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vAlign w:val="center"/>
          </w:tcPr>
          <w:p w14:paraId="45A2BF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4E1F9D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49E90D58">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20A102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533719C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auto"/>
                <w:sz w:val="18"/>
                <w:szCs w:val="18"/>
              </w:rPr>
            </w:pPr>
            <w:r>
              <w:rPr>
                <w:rFonts w:hint="eastAsia" w:ascii="宋体" w:hAnsi="宋体"/>
                <w:color w:val="auto"/>
                <w:sz w:val="18"/>
                <w:szCs w:val="18"/>
              </w:rPr>
              <w:t>涉外诉讼与仲裁实务</w:t>
            </w:r>
          </w:p>
        </w:tc>
        <w:tc>
          <w:tcPr>
            <w:tcW w:w="1081" w:type="dxa"/>
            <w:shd w:val="clear" w:color="auto" w:fill="FDEADA" w:themeFill="accent6" w:themeFillTint="32"/>
            <w:vAlign w:val="center"/>
          </w:tcPr>
          <w:p w14:paraId="71FB00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C00000"/>
                <w:sz w:val="18"/>
                <w:szCs w:val="18"/>
                <w:lang w:val="en-US" w:eastAsia="zh-CN"/>
              </w:rPr>
            </w:pPr>
            <w:r>
              <w:rPr>
                <w:rFonts w:hint="eastAsia"/>
                <w:iCs/>
                <w:color w:val="auto"/>
                <w:sz w:val="18"/>
                <w:szCs w:val="18"/>
              </w:rPr>
              <w:t>ZS0717</w:t>
            </w:r>
            <w:r>
              <w:rPr>
                <w:rFonts w:hint="eastAsia"/>
                <w:iCs/>
                <w:color w:val="auto"/>
                <w:sz w:val="18"/>
                <w:szCs w:val="18"/>
                <w:lang w:val="en-US" w:eastAsia="zh-CN"/>
              </w:rPr>
              <w:t>247</w:t>
            </w:r>
          </w:p>
        </w:tc>
        <w:tc>
          <w:tcPr>
            <w:tcW w:w="709" w:type="dxa"/>
            <w:shd w:val="clear" w:color="auto" w:fill="auto"/>
            <w:vAlign w:val="center"/>
          </w:tcPr>
          <w:p w14:paraId="1C8023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2BF85E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4B59A5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6E5185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00BAFBC6">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783CFB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298777C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olor w:val="auto"/>
                <w:sz w:val="18"/>
                <w:szCs w:val="18"/>
              </w:rPr>
            </w:pPr>
            <w:r>
              <w:rPr>
                <w:rFonts w:hint="eastAsia" w:ascii="宋体" w:hAnsi="宋体"/>
                <w:color w:val="auto"/>
                <w:sz w:val="18"/>
                <w:szCs w:val="18"/>
              </w:rPr>
              <w:t>涉外律师服务</w:t>
            </w:r>
          </w:p>
        </w:tc>
        <w:tc>
          <w:tcPr>
            <w:tcW w:w="1081" w:type="dxa"/>
            <w:shd w:val="clear" w:color="auto" w:fill="FDEADA" w:themeFill="accent6" w:themeFillTint="32"/>
            <w:vAlign w:val="center"/>
          </w:tcPr>
          <w:p w14:paraId="3A176F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48</w:t>
            </w:r>
          </w:p>
        </w:tc>
        <w:tc>
          <w:tcPr>
            <w:tcW w:w="709" w:type="dxa"/>
            <w:shd w:val="clear" w:color="auto" w:fill="auto"/>
            <w:vAlign w:val="center"/>
          </w:tcPr>
          <w:p w14:paraId="3C81A0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70A6AC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00FEEDC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46E240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FAF8AA9">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77A4DD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rFonts w:hint="eastAsia"/>
                <w:b/>
                <w:color w:val="auto"/>
                <w:sz w:val="18"/>
                <w:szCs w:val="18"/>
                <w:lang w:eastAsia="zh-CN"/>
              </w:rPr>
              <w:t>数字法治实务方向选修课</w:t>
            </w:r>
          </w:p>
        </w:tc>
        <w:tc>
          <w:tcPr>
            <w:tcW w:w="3516" w:type="dxa"/>
            <w:shd w:val="clear" w:color="auto" w:fill="auto"/>
            <w:vAlign w:val="center"/>
          </w:tcPr>
          <w:p w14:paraId="68D86F1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数字法治原理与实务</w:t>
            </w:r>
          </w:p>
        </w:tc>
        <w:tc>
          <w:tcPr>
            <w:tcW w:w="1081" w:type="dxa"/>
            <w:shd w:val="clear" w:color="auto" w:fill="FDEADA" w:themeFill="accent6" w:themeFillTint="32"/>
            <w:vAlign w:val="center"/>
          </w:tcPr>
          <w:p w14:paraId="6440AB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119</w:t>
            </w:r>
          </w:p>
        </w:tc>
        <w:tc>
          <w:tcPr>
            <w:tcW w:w="709" w:type="dxa"/>
            <w:shd w:val="clear" w:color="auto" w:fill="auto"/>
            <w:vAlign w:val="center"/>
          </w:tcPr>
          <w:p w14:paraId="28CC84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1468CC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vMerge w:val="restart"/>
            <w:vAlign w:val="center"/>
          </w:tcPr>
          <w:p w14:paraId="1DB051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本方向研究生至少选修</w:t>
            </w:r>
          </w:p>
          <w:p w14:paraId="44FFB8B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p>
        </w:tc>
      </w:tr>
      <w:tr w14:paraId="751EEC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47A94973">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3C9605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3877F59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网络与数据安全法专题</w:t>
            </w:r>
          </w:p>
        </w:tc>
        <w:tc>
          <w:tcPr>
            <w:tcW w:w="1081" w:type="dxa"/>
            <w:shd w:val="clear" w:color="auto" w:fill="FDEADA" w:themeFill="accent6" w:themeFillTint="32"/>
            <w:vAlign w:val="center"/>
          </w:tcPr>
          <w:p w14:paraId="17058B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C00000"/>
                <w:sz w:val="18"/>
                <w:szCs w:val="18"/>
                <w:lang w:val="en-US" w:eastAsia="zh-CN"/>
              </w:rPr>
            </w:pPr>
            <w:r>
              <w:rPr>
                <w:rFonts w:hint="eastAsia"/>
                <w:iCs/>
                <w:color w:val="C00000"/>
                <w:sz w:val="18"/>
                <w:szCs w:val="18"/>
              </w:rPr>
              <w:t>ZS0717</w:t>
            </w:r>
            <w:r>
              <w:rPr>
                <w:rFonts w:hint="eastAsia"/>
                <w:iCs/>
                <w:color w:val="C00000"/>
                <w:sz w:val="18"/>
                <w:szCs w:val="18"/>
                <w:lang w:val="en-US" w:eastAsia="zh-CN"/>
              </w:rPr>
              <w:t>120</w:t>
            </w:r>
          </w:p>
        </w:tc>
        <w:tc>
          <w:tcPr>
            <w:tcW w:w="709" w:type="dxa"/>
            <w:shd w:val="clear" w:color="auto" w:fill="auto"/>
            <w:vAlign w:val="center"/>
          </w:tcPr>
          <w:p w14:paraId="44EB50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077940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12E4D34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9347E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5474878">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1D2CF3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6215DCD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数字法治政府专题</w:t>
            </w:r>
          </w:p>
        </w:tc>
        <w:tc>
          <w:tcPr>
            <w:tcW w:w="1081" w:type="dxa"/>
            <w:shd w:val="clear" w:color="auto" w:fill="FDEADA" w:themeFill="accent6" w:themeFillTint="32"/>
            <w:vAlign w:val="center"/>
          </w:tcPr>
          <w:p w14:paraId="381D9B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w:t>
            </w:r>
            <w:bookmarkStart w:id="8" w:name="_GoBack"/>
            <w:bookmarkEnd w:id="8"/>
            <w:r>
              <w:rPr>
                <w:rFonts w:hint="eastAsia"/>
                <w:iCs/>
                <w:color w:val="auto"/>
                <w:sz w:val="18"/>
                <w:szCs w:val="18"/>
              </w:rPr>
              <w:t>07172</w:t>
            </w:r>
            <w:r>
              <w:rPr>
                <w:rFonts w:hint="eastAsia"/>
                <w:iCs/>
                <w:color w:val="auto"/>
                <w:sz w:val="18"/>
                <w:szCs w:val="18"/>
                <w:lang w:val="en-US" w:eastAsia="zh-CN"/>
              </w:rPr>
              <w:t>49</w:t>
            </w:r>
          </w:p>
        </w:tc>
        <w:tc>
          <w:tcPr>
            <w:tcW w:w="709" w:type="dxa"/>
            <w:shd w:val="clear" w:color="auto" w:fill="auto"/>
            <w:vAlign w:val="center"/>
          </w:tcPr>
          <w:p w14:paraId="4F563C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4C12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01443E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81C4A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1EA825C0">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2FEB0C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3FECD2E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网络犯罪治理专题</w:t>
            </w:r>
          </w:p>
        </w:tc>
        <w:tc>
          <w:tcPr>
            <w:tcW w:w="1081" w:type="dxa"/>
            <w:shd w:val="clear" w:color="auto" w:fill="FDEADA" w:themeFill="accent6" w:themeFillTint="32"/>
            <w:vAlign w:val="center"/>
          </w:tcPr>
          <w:p w14:paraId="56E079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50</w:t>
            </w:r>
          </w:p>
        </w:tc>
        <w:tc>
          <w:tcPr>
            <w:tcW w:w="709" w:type="dxa"/>
            <w:shd w:val="clear" w:color="auto" w:fill="auto"/>
            <w:vAlign w:val="center"/>
          </w:tcPr>
          <w:p w14:paraId="68B9B1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232DF1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2F1FE15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095FAF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1D1384A7">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2D25EA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rFonts w:hint="eastAsia"/>
                <w:b/>
                <w:color w:val="auto"/>
                <w:sz w:val="18"/>
                <w:szCs w:val="18"/>
                <w:lang w:eastAsia="zh-CN"/>
              </w:rPr>
              <w:t>纪检监察实务方向选修课</w:t>
            </w:r>
          </w:p>
        </w:tc>
        <w:tc>
          <w:tcPr>
            <w:tcW w:w="3516" w:type="dxa"/>
            <w:shd w:val="clear" w:color="auto" w:fill="auto"/>
            <w:vAlign w:val="center"/>
          </w:tcPr>
          <w:p w14:paraId="69A9930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监察法专题</w:t>
            </w:r>
          </w:p>
        </w:tc>
        <w:tc>
          <w:tcPr>
            <w:tcW w:w="1081" w:type="dxa"/>
            <w:shd w:val="clear" w:color="auto" w:fill="FDEADA" w:themeFill="accent6" w:themeFillTint="32"/>
            <w:vAlign w:val="center"/>
          </w:tcPr>
          <w:p w14:paraId="40DF87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
                <w:color w:val="C00000"/>
                <w:kern w:val="2"/>
                <w:sz w:val="18"/>
                <w:szCs w:val="18"/>
                <w:lang w:val="en-US" w:eastAsia="zh-CN" w:bidi="ar-SA"/>
              </w:rPr>
            </w:pPr>
            <w:r>
              <w:rPr>
                <w:rFonts w:hint="eastAsia"/>
                <w:iCs/>
                <w:color w:val="C00000"/>
                <w:sz w:val="18"/>
                <w:szCs w:val="18"/>
              </w:rPr>
              <w:t>ZS0717</w:t>
            </w:r>
            <w:r>
              <w:rPr>
                <w:rFonts w:hint="eastAsia"/>
                <w:iCs/>
                <w:color w:val="C00000"/>
                <w:sz w:val="18"/>
                <w:szCs w:val="18"/>
                <w:lang w:val="en-US" w:eastAsia="zh-CN"/>
              </w:rPr>
              <w:t>121</w:t>
            </w:r>
          </w:p>
        </w:tc>
        <w:tc>
          <w:tcPr>
            <w:tcW w:w="709" w:type="dxa"/>
            <w:shd w:val="clear" w:color="auto" w:fill="auto"/>
            <w:vAlign w:val="center"/>
          </w:tcPr>
          <w:p w14:paraId="7A631F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E5BF0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3</w:t>
            </w:r>
          </w:p>
        </w:tc>
        <w:tc>
          <w:tcPr>
            <w:tcW w:w="1045" w:type="dxa"/>
            <w:vMerge w:val="restart"/>
            <w:vAlign w:val="center"/>
          </w:tcPr>
          <w:p w14:paraId="6150CE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color w:val="auto"/>
                <w:sz w:val="18"/>
                <w:szCs w:val="18"/>
              </w:rPr>
              <w:t>本方向研究生至少选修</w:t>
            </w:r>
          </w:p>
          <w:p w14:paraId="584073D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r>
              <w:rPr>
                <w:rFonts w:hint="eastAsia"/>
                <w:color w:val="auto"/>
                <w:sz w:val="18"/>
                <w:szCs w:val="18"/>
                <w:lang w:val="en-US" w:eastAsia="zh-CN"/>
              </w:rPr>
              <w:t>8</w:t>
            </w:r>
            <w:r>
              <w:rPr>
                <w:color w:val="auto"/>
                <w:sz w:val="18"/>
                <w:szCs w:val="18"/>
              </w:rPr>
              <w:t>学分</w:t>
            </w:r>
          </w:p>
        </w:tc>
      </w:tr>
      <w:tr w14:paraId="7591A2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4F19E810">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421CDD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1AABA6D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中国监察制度史</w:t>
            </w:r>
          </w:p>
        </w:tc>
        <w:tc>
          <w:tcPr>
            <w:tcW w:w="1081" w:type="dxa"/>
            <w:shd w:val="clear" w:color="auto" w:fill="FDEADA" w:themeFill="accent6" w:themeFillTint="32"/>
            <w:vAlign w:val="center"/>
          </w:tcPr>
          <w:p w14:paraId="0A5C35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C00000"/>
                <w:sz w:val="18"/>
                <w:szCs w:val="18"/>
                <w:lang w:val="en-US" w:eastAsia="zh-CN"/>
              </w:rPr>
            </w:pPr>
            <w:r>
              <w:rPr>
                <w:rFonts w:hint="eastAsia"/>
                <w:iCs/>
                <w:color w:val="C00000"/>
                <w:sz w:val="18"/>
                <w:szCs w:val="18"/>
              </w:rPr>
              <w:t>ZS0717</w:t>
            </w:r>
            <w:r>
              <w:rPr>
                <w:rFonts w:hint="eastAsia"/>
                <w:iCs/>
                <w:color w:val="C00000"/>
                <w:sz w:val="18"/>
                <w:szCs w:val="18"/>
                <w:lang w:val="en-US" w:eastAsia="zh-CN"/>
              </w:rPr>
              <w:t>122</w:t>
            </w:r>
          </w:p>
        </w:tc>
        <w:tc>
          <w:tcPr>
            <w:tcW w:w="709" w:type="dxa"/>
            <w:shd w:val="clear" w:color="auto" w:fill="auto"/>
            <w:vAlign w:val="center"/>
          </w:tcPr>
          <w:p w14:paraId="196496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32F9D8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1045" w:type="dxa"/>
            <w:vMerge w:val="continue"/>
            <w:vAlign w:val="center"/>
          </w:tcPr>
          <w:p w14:paraId="5903045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31D407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7BF41612">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0ABEAE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70E159E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职务犯罪专题</w:t>
            </w:r>
          </w:p>
        </w:tc>
        <w:tc>
          <w:tcPr>
            <w:tcW w:w="1081" w:type="dxa"/>
            <w:shd w:val="clear" w:color="auto" w:fill="FDEADA" w:themeFill="accent6" w:themeFillTint="32"/>
            <w:vAlign w:val="center"/>
          </w:tcPr>
          <w:p w14:paraId="3F93CE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51</w:t>
            </w:r>
          </w:p>
        </w:tc>
        <w:tc>
          <w:tcPr>
            <w:tcW w:w="709" w:type="dxa"/>
            <w:shd w:val="clear" w:color="auto" w:fill="auto"/>
            <w:vAlign w:val="center"/>
          </w:tcPr>
          <w:p w14:paraId="10CE78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0F8520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61A513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3226ED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92DD1C1">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715047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796C939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 w:val="18"/>
                <w:szCs w:val="18"/>
                <w:lang w:eastAsia="zh-CN"/>
              </w:rPr>
            </w:pPr>
            <w:r>
              <w:rPr>
                <w:rFonts w:hint="eastAsia" w:ascii="宋体" w:hAnsi="宋体"/>
                <w:color w:val="auto"/>
                <w:sz w:val="18"/>
                <w:szCs w:val="18"/>
                <w:lang w:eastAsia="zh-CN"/>
              </w:rPr>
              <w:t>政务处分法专题</w:t>
            </w:r>
          </w:p>
        </w:tc>
        <w:tc>
          <w:tcPr>
            <w:tcW w:w="1081" w:type="dxa"/>
            <w:shd w:val="clear" w:color="auto" w:fill="FDEADA" w:themeFill="accent6" w:themeFillTint="32"/>
            <w:vAlign w:val="center"/>
          </w:tcPr>
          <w:p w14:paraId="6175E5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52</w:t>
            </w:r>
          </w:p>
        </w:tc>
        <w:tc>
          <w:tcPr>
            <w:tcW w:w="709" w:type="dxa"/>
            <w:shd w:val="clear" w:color="auto" w:fill="auto"/>
            <w:vAlign w:val="center"/>
          </w:tcPr>
          <w:p w14:paraId="2787D4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2</w:t>
            </w:r>
          </w:p>
        </w:tc>
        <w:tc>
          <w:tcPr>
            <w:tcW w:w="709" w:type="dxa"/>
            <w:shd w:val="clear" w:color="auto" w:fill="auto"/>
            <w:vAlign w:val="center"/>
          </w:tcPr>
          <w:p w14:paraId="6C6AC0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val="en-US" w:eastAsia="zh-CN"/>
              </w:rPr>
            </w:pPr>
            <w:r>
              <w:rPr>
                <w:rFonts w:hint="eastAsia"/>
                <w:color w:val="auto"/>
                <w:sz w:val="18"/>
                <w:szCs w:val="18"/>
                <w:lang w:val="en-US" w:eastAsia="zh-CN"/>
              </w:rPr>
              <w:t>3</w:t>
            </w:r>
          </w:p>
        </w:tc>
        <w:tc>
          <w:tcPr>
            <w:tcW w:w="1045" w:type="dxa"/>
            <w:vMerge w:val="continue"/>
            <w:vAlign w:val="center"/>
          </w:tcPr>
          <w:p w14:paraId="00158A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1C5ABE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769449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b/>
                <w:color w:val="auto"/>
                <w:sz w:val="18"/>
                <w:szCs w:val="18"/>
              </w:rPr>
              <w:t>必修环节</w:t>
            </w:r>
          </w:p>
        </w:tc>
        <w:tc>
          <w:tcPr>
            <w:tcW w:w="1226" w:type="dxa"/>
            <w:vMerge w:val="restart"/>
            <w:vAlign w:val="center"/>
          </w:tcPr>
          <w:p w14:paraId="6EC200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b/>
                <w:color w:val="auto"/>
                <w:sz w:val="18"/>
                <w:szCs w:val="18"/>
              </w:rPr>
              <w:t>素质拓展</w:t>
            </w:r>
          </w:p>
        </w:tc>
        <w:tc>
          <w:tcPr>
            <w:tcW w:w="3516" w:type="dxa"/>
            <w:vAlign w:val="center"/>
          </w:tcPr>
          <w:p w14:paraId="3EDFEA38">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入学教育</w:t>
            </w:r>
          </w:p>
        </w:tc>
        <w:tc>
          <w:tcPr>
            <w:tcW w:w="1081" w:type="dxa"/>
            <w:shd w:val="clear" w:color="auto" w:fill="FDEADA" w:themeFill="accent6" w:themeFillTint="32"/>
            <w:vAlign w:val="center"/>
          </w:tcPr>
          <w:p w14:paraId="096010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vAlign w:val="center"/>
          </w:tcPr>
          <w:p w14:paraId="424380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vAlign w:val="center"/>
          </w:tcPr>
          <w:p w14:paraId="61C6F7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1</w:t>
            </w:r>
          </w:p>
        </w:tc>
        <w:tc>
          <w:tcPr>
            <w:tcW w:w="1045" w:type="dxa"/>
            <w:vMerge w:val="restart"/>
            <w:vAlign w:val="center"/>
          </w:tcPr>
          <w:p w14:paraId="6F0CE90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p>
        </w:tc>
      </w:tr>
      <w:tr w14:paraId="28AE3D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53A1E1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116787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shd w:val="clear" w:color="auto" w:fill="auto"/>
            <w:vAlign w:val="center"/>
          </w:tcPr>
          <w:p w14:paraId="55BCAE85">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color w:val="auto"/>
                <w:kern w:val="2"/>
                <w:sz w:val="18"/>
                <w:szCs w:val="18"/>
                <w:lang w:val="en-US" w:eastAsia="zh-CN" w:bidi="ar-SA"/>
              </w:rPr>
            </w:pPr>
            <w:r>
              <w:rPr>
                <w:color w:val="auto"/>
                <w:sz w:val="18"/>
                <w:szCs w:val="18"/>
              </w:rPr>
              <w:t>学术/实践活动</w:t>
            </w:r>
          </w:p>
        </w:tc>
        <w:tc>
          <w:tcPr>
            <w:tcW w:w="1081" w:type="dxa"/>
            <w:shd w:val="clear" w:color="auto" w:fill="FDEADA" w:themeFill="accent6" w:themeFillTint="32"/>
            <w:vAlign w:val="center"/>
          </w:tcPr>
          <w:p w14:paraId="4B58CC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25AD4B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auto"/>
                <w:kern w:val="2"/>
                <w:sz w:val="18"/>
                <w:szCs w:val="18"/>
                <w:lang w:val="en-US" w:eastAsia="zh-CN" w:bidi="ar-SA"/>
              </w:rPr>
            </w:pPr>
            <w:r>
              <w:rPr>
                <w:color w:val="auto"/>
                <w:sz w:val="18"/>
                <w:szCs w:val="18"/>
              </w:rPr>
              <w:t>1</w:t>
            </w:r>
          </w:p>
        </w:tc>
        <w:tc>
          <w:tcPr>
            <w:tcW w:w="709" w:type="dxa"/>
            <w:shd w:val="clear" w:color="auto" w:fill="auto"/>
            <w:vAlign w:val="center"/>
          </w:tcPr>
          <w:p w14:paraId="4BB15D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1-5</w:t>
            </w:r>
          </w:p>
        </w:tc>
        <w:tc>
          <w:tcPr>
            <w:tcW w:w="1045" w:type="dxa"/>
            <w:vMerge w:val="continue"/>
            <w:vAlign w:val="center"/>
          </w:tcPr>
          <w:p w14:paraId="6921CDA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i/>
                <w:color w:val="auto"/>
                <w:sz w:val="18"/>
                <w:szCs w:val="18"/>
              </w:rPr>
            </w:pPr>
          </w:p>
        </w:tc>
      </w:tr>
      <w:tr w14:paraId="19F278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7929B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05D16E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1F20A49C">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rFonts w:hint="eastAsia"/>
                <w:color w:val="auto"/>
                <w:sz w:val="18"/>
                <w:szCs w:val="18"/>
              </w:rPr>
              <w:t>法律谈判与法律文书写作</w:t>
            </w:r>
          </w:p>
        </w:tc>
        <w:tc>
          <w:tcPr>
            <w:tcW w:w="1081" w:type="dxa"/>
            <w:shd w:val="clear" w:color="auto" w:fill="FDEADA" w:themeFill="accent6" w:themeFillTint="32"/>
            <w:vAlign w:val="center"/>
          </w:tcPr>
          <w:p w14:paraId="34F920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53</w:t>
            </w:r>
          </w:p>
        </w:tc>
        <w:tc>
          <w:tcPr>
            <w:tcW w:w="709" w:type="dxa"/>
            <w:vAlign w:val="center"/>
          </w:tcPr>
          <w:p w14:paraId="530784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3</w:t>
            </w:r>
          </w:p>
        </w:tc>
        <w:tc>
          <w:tcPr>
            <w:tcW w:w="709" w:type="dxa"/>
            <w:vAlign w:val="center"/>
          </w:tcPr>
          <w:p w14:paraId="4484F9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3</w:t>
            </w:r>
          </w:p>
        </w:tc>
        <w:tc>
          <w:tcPr>
            <w:tcW w:w="1045" w:type="dxa"/>
            <w:vMerge w:val="continue"/>
            <w:vAlign w:val="center"/>
          </w:tcPr>
          <w:p w14:paraId="1A9B38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4412F6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0C2C88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474469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482FBB9D">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rFonts w:hint="eastAsia"/>
                <w:color w:val="auto"/>
                <w:sz w:val="18"/>
                <w:szCs w:val="18"/>
              </w:rPr>
              <w:t>法律检索与法学论文写作</w:t>
            </w:r>
          </w:p>
        </w:tc>
        <w:tc>
          <w:tcPr>
            <w:tcW w:w="1081" w:type="dxa"/>
            <w:shd w:val="clear" w:color="auto" w:fill="FDEADA" w:themeFill="accent6" w:themeFillTint="32"/>
            <w:vAlign w:val="center"/>
          </w:tcPr>
          <w:p w14:paraId="719897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54</w:t>
            </w:r>
          </w:p>
        </w:tc>
        <w:tc>
          <w:tcPr>
            <w:tcW w:w="709" w:type="dxa"/>
            <w:vAlign w:val="center"/>
          </w:tcPr>
          <w:p w14:paraId="294054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3</w:t>
            </w:r>
          </w:p>
        </w:tc>
        <w:tc>
          <w:tcPr>
            <w:tcW w:w="709" w:type="dxa"/>
            <w:vAlign w:val="center"/>
          </w:tcPr>
          <w:p w14:paraId="34D91D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3</w:t>
            </w:r>
          </w:p>
        </w:tc>
        <w:tc>
          <w:tcPr>
            <w:tcW w:w="1045" w:type="dxa"/>
            <w:vMerge w:val="continue"/>
            <w:vAlign w:val="center"/>
          </w:tcPr>
          <w:p w14:paraId="5CA640D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61E07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6B1739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7DD5D1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4FA5EEC9">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rFonts w:hint="eastAsia"/>
                <w:color w:val="auto"/>
                <w:sz w:val="18"/>
                <w:szCs w:val="18"/>
              </w:rPr>
              <w:t>模拟法庭实训</w:t>
            </w:r>
          </w:p>
        </w:tc>
        <w:tc>
          <w:tcPr>
            <w:tcW w:w="1081" w:type="dxa"/>
            <w:shd w:val="clear" w:color="auto" w:fill="FDEADA" w:themeFill="accent6" w:themeFillTint="32"/>
            <w:vAlign w:val="center"/>
          </w:tcPr>
          <w:p w14:paraId="53FFD8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55</w:t>
            </w:r>
          </w:p>
        </w:tc>
        <w:tc>
          <w:tcPr>
            <w:tcW w:w="709" w:type="dxa"/>
            <w:vAlign w:val="center"/>
          </w:tcPr>
          <w:p w14:paraId="0B8D5F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eastAsia="zh-CN"/>
              </w:rPr>
            </w:pPr>
            <w:r>
              <w:rPr>
                <w:rFonts w:hint="eastAsia"/>
                <w:color w:val="auto"/>
                <w:sz w:val="18"/>
                <w:szCs w:val="18"/>
                <w:lang w:val="en-US" w:eastAsia="zh-CN"/>
              </w:rPr>
              <w:t>3</w:t>
            </w:r>
          </w:p>
        </w:tc>
        <w:tc>
          <w:tcPr>
            <w:tcW w:w="709" w:type="dxa"/>
            <w:vAlign w:val="center"/>
          </w:tcPr>
          <w:p w14:paraId="629ED8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2</w:t>
            </w:r>
          </w:p>
        </w:tc>
        <w:tc>
          <w:tcPr>
            <w:tcW w:w="1045" w:type="dxa"/>
            <w:vMerge w:val="continue"/>
            <w:vAlign w:val="center"/>
          </w:tcPr>
          <w:p w14:paraId="64A009D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F25DF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E08B2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1226" w:type="dxa"/>
            <w:vMerge w:val="continue"/>
            <w:vAlign w:val="center"/>
          </w:tcPr>
          <w:p w14:paraId="6894B3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3EE8021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color w:val="auto"/>
                <w:sz w:val="18"/>
                <w:szCs w:val="18"/>
              </w:rPr>
            </w:pPr>
            <w:r>
              <w:rPr>
                <w:rFonts w:hint="eastAsia"/>
                <w:color w:val="auto"/>
                <w:sz w:val="18"/>
                <w:szCs w:val="18"/>
              </w:rPr>
              <w:t>专业实习</w:t>
            </w:r>
          </w:p>
        </w:tc>
        <w:tc>
          <w:tcPr>
            <w:tcW w:w="1081" w:type="dxa"/>
            <w:shd w:val="clear" w:color="auto" w:fill="FDEADA" w:themeFill="accent6" w:themeFillTint="32"/>
            <w:vAlign w:val="center"/>
          </w:tcPr>
          <w:p w14:paraId="3F9D68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iCs/>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56</w:t>
            </w:r>
          </w:p>
        </w:tc>
        <w:tc>
          <w:tcPr>
            <w:tcW w:w="709" w:type="dxa"/>
            <w:vAlign w:val="center"/>
          </w:tcPr>
          <w:p w14:paraId="2381E9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color w:val="auto"/>
                <w:sz w:val="18"/>
                <w:szCs w:val="18"/>
              </w:rPr>
            </w:pPr>
            <w:r>
              <w:rPr>
                <w:rFonts w:hint="eastAsia"/>
                <w:color w:val="auto"/>
                <w:sz w:val="18"/>
                <w:szCs w:val="18"/>
              </w:rPr>
              <w:t>6</w:t>
            </w:r>
          </w:p>
        </w:tc>
        <w:tc>
          <w:tcPr>
            <w:tcW w:w="709" w:type="dxa"/>
            <w:vAlign w:val="center"/>
          </w:tcPr>
          <w:p w14:paraId="515068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color w:val="auto"/>
                <w:sz w:val="18"/>
                <w:szCs w:val="18"/>
              </w:rPr>
            </w:pPr>
            <w:r>
              <w:rPr>
                <w:rFonts w:hint="eastAsia"/>
                <w:color w:val="auto"/>
                <w:sz w:val="18"/>
                <w:szCs w:val="18"/>
              </w:rPr>
              <w:t>4</w:t>
            </w:r>
          </w:p>
        </w:tc>
        <w:tc>
          <w:tcPr>
            <w:tcW w:w="1045" w:type="dxa"/>
            <w:vMerge w:val="continue"/>
            <w:vAlign w:val="center"/>
          </w:tcPr>
          <w:p w14:paraId="2859848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64DBC7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7C7FD20">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restart"/>
            <w:vAlign w:val="center"/>
          </w:tcPr>
          <w:p w14:paraId="493B39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r>
              <w:rPr>
                <w:b/>
                <w:color w:val="auto"/>
                <w:sz w:val="18"/>
                <w:szCs w:val="18"/>
              </w:rPr>
              <w:t>学术训练</w:t>
            </w:r>
          </w:p>
        </w:tc>
        <w:tc>
          <w:tcPr>
            <w:tcW w:w="3516" w:type="dxa"/>
            <w:vAlign w:val="center"/>
          </w:tcPr>
          <w:p w14:paraId="0214787A">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中期筛选</w:t>
            </w:r>
          </w:p>
        </w:tc>
        <w:tc>
          <w:tcPr>
            <w:tcW w:w="1081" w:type="dxa"/>
            <w:shd w:val="clear" w:color="auto" w:fill="FDEADA" w:themeFill="accent6" w:themeFillTint="32"/>
            <w:vAlign w:val="center"/>
          </w:tcPr>
          <w:p w14:paraId="2298F8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498088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34DECE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color w:val="auto"/>
                <w:sz w:val="18"/>
                <w:szCs w:val="18"/>
                <w:lang w:eastAsia="zh-CN"/>
              </w:rPr>
            </w:pPr>
            <w:r>
              <w:rPr>
                <w:rFonts w:hint="eastAsia"/>
                <w:iCs/>
                <w:color w:val="auto"/>
                <w:sz w:val="18"/>
                <w:szCs w:val="18"/>
                <w:lang w:val="en-US" w:eastAsia="zh-CN"/>
              </w:rPr>
              <w:t>4</w:t>
            </w:r>
          </w:p>
        </w:tc>
        <w:tc>
          <w:tcPr>
            <w:tcW w:w="1045" w:type="dxa"/>
            <w:vMerge w:val="restart"/>
            <w:vAlign w:val="center"/>
          </w:tcPr>
          <w:p w14:paraId="05BEC48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bookmarkStart w:id="6" w:name="OLE_LINK4"/>
            <w:r>
              <w:rPr>
                <w:rFonts w:hint="eastAsia"/>
                <w:color w:val="auto"/>
                <w:sz w:val="18"/>
                <w:szCs w:val="18"/>
              </w:rPr>
              <w:t>学位论文5学分</w:t>
            </w:r>
            <w:bookmarkEnd w:id="6"/>
          </w:p>
        </w:tc>
      </w:tr>
      <w:tr w14:paraId="67C090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33956F1">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24596F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3E098DFF">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论文开题</w:t>
            </w:r>
          </w:p>
        </w:tc>
        <w:tc>
          <w:tcPr>
            <w:tcW w:w="1081" w:type="dxa"/>
            <w:shd w:val="clear" w:color="auto" w:fill="FDEADA" w:themeFill="accent6" w:themeFillTint="32"/>
            <w:vAlign w:val="center"/>
          </w:tcPr>
          <w:p w14:paraId="1A738F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57</w:t>
            </w:r>
          </w:p>
        </w:tc>
        <w:tc>
          <w:tcPr>
            <w:tcW w:w="709" w:type="dxa"/>
            <w:vAlign w:val="center"/>
          </w:tcPr>
          <w:p w14:paraId="52217C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1</w:t>
            </w:r>
          </w:p>
        </w:tc>
        <w:tc>
          <w:tcPr>
            <w:tcW w:w="709" w:type="dxa"/>
            <w:vAlign w:val="center"/>
          </w:tcPr>
          <w:p w14:paraId="17DA33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4</w:t>
            </w:r>
          </w:p>
        </w:tc>
        <w:tc>
          <w:tcPr>
            <w:tcW w:w="1045" w:type="dxa"/>
            <w:vMerge w:val="continue"/>
            <w:vAlign w:val="center"/>
          </w:tcPr>
          <w:p w14:paraId="5312379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58890A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7E2CA595">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3E01DC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61B17417">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论文中期进展报告</w:t>
            </w:r>
          </w:p>
        </w:tc>
        <w:tc>
          <w:tcPr>
            <w:tcW w:w="1081" w:type="dxa"/>
            <w:shd w:val="clear" w:color="auto" w:fill="FDEADA" w:themeFill="accent6" w:themeFillTint="32"/>
            <w:vAlign w:val="center"/>
          </w:tcPr>
          <w:p w14:paraId="5CDE57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4DCB06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04EB36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color w:val="auto"/>
                <w:sz w:val="18"/>
                <w:szCs w:val="18"/>
              </w:rPr>
            </w:pPr>
            <w:r>
              <w:rPr>
                <w:rFonts w:hint="eastAsia"/>
                <w:iCs/>
                <w:color w:val="auto"/>
                <w:sz w:val="18"/>
                <w:szCs w:val="18"/>
              </w:rPr>
              <w:t>5</w:t>
            </w:r>
          </w:p>
        </w:tc>
        <w:tc>
          <w:tcPr>
            <w:tcW w:w="1045" w:type="dxa"/>
            <w:vMerge w:val="continue"/>
          </w:tcPr>
          <w:p w14:paraId="513BFA6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676FAF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7B00B02">
            <w:pPr>
              <w:keepNext w:val="0"/>
              <w:keepLines w:val="0"/>
              <w:pageBreakBefore w:val="0"/>
              <w:widowControl w:val="0"/>
              <w:kinsoku/>
              <w:wordWrap/>
              <w:overflowPunct/>
              <w:topLinePunct w:val="0"/>
              <w:autoSpaceDE/>
              <w:autoSpaceDN/>
              <w:bidi w:val="0"/>
              <w:adjustRightInd/>
              <w:snapToGrid/>
              <w:spacing w:line="320" w:lineRule="exact"/>
              <w:textAlignment w:val="auto"/>
              <w:rPr>
                <w:b/>
                <w:color w:val="auto"/>
                <w:sz w:val="18"/>
                <w:szCs w:val="18"/>
              </w:rPr>
            </w:pPr>
          </w:p>
        </w:tc>
        <w:tc>
          <w:tcPr>
            <w:tcW w:w="1226" w:type="dxa"/>
            <w:vMerge w:val="continue"/>
            <w:vAlign w:val="center"/>
          </w:tcPr>
          <w:p w14:paraId="5DCFC6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auto"/>
                <w:sz w:val="18"/>
                <w:szCs w:val="18"/>
              </w:rPr>
            </w:pPr>
          </w:p>
        </w:tc>
        <w:tc>
          <w:tcPr>
            <w:tcW w:w="3516" w:type="dxa"/>
            <w:vAlign w:val="center"/>
          </w:tcPr>
          <w:p w14:paraId="50D53DEF">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论文预答辩</w:t>
            </w:r>
          </w:p>
        </w:tc>
        <w:tc>
          <w:tcPr>
            <w:tcW w:w="1081" w:type="dxa"/>
            <w:shd w:val="clear" w:color="auto" w:fill="FDEADA" w:themeFill="accent6" w:themeFillTint="32"/>
            <w:vAlign w:val="center"/>
          </w:tcPr>
          <w:p w14:paraId="13F2C5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sz w:val="18"/>
                <w:szCs w:val="18"/>
                <w:lang w:val="en-US" w:eastAsia="zh-CN"/>
              </w:rPr>
            </w:pPr>
            <w:r>
              <w:rPr>
                <w:rFonts w:hint="eastAsia"/>
                <w:iCs/>
                <w:color w:val="auto"/>
                <w:sz w:val="18"/>
                <w:szCs w:val="18"/>
              </w:rPr>
              <w:t>ZS07172</w:t>
            </w:r>
            <w:r>
              <w:rPr>
                <w:rFonts w:hint="eastAsia"/>
                <w:iCs/>
                <w:color w:val="auto"/>
                <w:sz w:val="18"/>
                <w:szCs w:val="18"/>
                <w:lang w:val="en-US" w:eastAsia="zh-CN"/>
              </w:rPr>
              <w:t>58</w:t>
            </w:r>
          </w:p>
        </w:tc>
        <w:tc>
          <w:tcPr>
            <w:tcW w:w="709" w:type="dxa"/>
            <w:vAlign w:val="center"/>
          </w:tcPr>
          <w:p w14:paraId="2690D7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4</w:t>
            </w:r>
          </w:p>
        </w:tc>
        <w:tc>
          <w:tcPr>
            <w:tcW w:w="709" w:type="dxa"/>
            <w:vAlign w:val="center"/>
          </w:tcPr>
          <w:p w14:paraId="2834E3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color w:val="auto"/>
                <w:sz w:val="18"/>
                <w:szCs w:val="18"/>
              </w:rPr>
              <w:t>6</w:t>
            </w:r>
          </w:p>
        </w:tc>
        <w:tc>
          <w:tcPr>
            <w:tcW w:w="1045" w:type="dxa"/>
            <w:vMerge w:val="continue"/>
          </w:tcPr>
          <w:p w14:paraId="08EE24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1591BA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7BFE2C26">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p>
        </w:tc>
        <w:tc>
          <w:tcPr>
            <w:tcW w:w="1226" w:type="dxa"/>
            <w:vMerge w:val="continue"/>
          </w:tcPr>
          <w:p w14:paraId="2CF3F8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3516" w:type="dxa"/>
            <w:vAlign w:val="center"/>
          </w:tcPr>
          <w:p w14:paraId="27EAC176">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论文评审</w:t>
            </w:r>
          </w:p>
        </w:tc>
        <w:tc>
          <w:tcPr>
            <w:tcW w:w="1081" w:type="dxa"/>
            <w:vAlign w:val="center"/>
          </w:tcPr>
          <w:p w14:paraId="387FF7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309FC8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3AA21F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6</w:t>
            </w:r>
          </w:p>
        </w:tc>
        <w:tc>
          <w:tcPr>
            <w:tcW w:w="1045" w:type="dxa"/>
            <w:vMerge w:val="continue"/>
          </w:tcPr>
          <w:p w14:paraId="3F26DE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r w14:paraId="76245A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8F98603">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p>
        </w:tc>
        <w:tc>
          <w:tcPr>
            <w:tcW w:w="1226" w:type="dxa"/>
            <w:vMerge w:val="continue"/>
          </w:tcPr>
          <w:p w14:paraId="377206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3516" w:type="dxa"/>
            <w:vAlign w:val="center"/>
          </w:tcPr>
          <w:p w14:paraId="1BDBC275">
            <w:pPr>
              <w:keepNext w:val="0"/>
              <w:keepLines w:val="0"/>
              <w:pageBreakBefore w:val="0"/>
              <w:widowControl w:val="0"/>
              <w:kinsoku/>
              <w:wordWrap/>
              <w:overflowPunct/>
              <w:topLinePunct w:val="0"/>
              <w:autoSpaceDE/>
              <w:autoSpaceDN/>
              <w:bidi w:val="0"/>
              <w:adjustRightInd/>
              <w:snapToGrid/>
              <w:spacing w:line="320" w:lineRule="exact"/>
              <w:textAlignment w:val="auto"/>
              <w:rPr>
                <w:color w:val="auto"/>
                <w:sz w:val="18"/>
                <w:szCs w:val="18"/>
              </w:rPr>
            </w:pPr>
            <w:r>
              <w:rPr>
                <w:color w:val="auto"/>
                <w:sz w:val="18"/>
                <w:szCs w:val="18"/>
              </w:rPr>
              <w:t>论文答辩</w:t>
            </w:r>
          </w:p>
        </w:tc>
        <w:tc>
          <w:tcPr>
            <w:tcW w:w="1081" w:type="dxa"/>
            <w:vAlign w:val="center"/>
          </w:tcPr>
          <w:p w14:paraId="6AEFCA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2DD4EC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p>
        </w:tc>
        <w:tc>
          <w:tcPr>
            <w:tcW w:w="709" w:type="dxa"/>
            <w:vAlign w:val="center"/>
          </w:tcPr>
          <w:p w14:paraId="4DBE4F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6</w:t>
            </w:r>
          </w:p>
        </w:tc>
        <w:tc>
          <w:tcPr>
            <w:tcW w:w="1045" w:type="dxa"/>
            <w:vMerge w:val="continue"/>
          </w:tcPr>
          <w:p w14:paraId="7FAD4A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18"/>
                <w:szCs w:val="18"/>
              </w:rPr>
            </w:pPr>
          </w:p>
        </w:tc>
      </w:tr>
    </w:tbl>
    <w:p w14:paraId="172CF6EE">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B96DD3A">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bookmarkEnd w:id="0"/>
    <w:bookmarkEnd w:id="1"/>
    <w:p w14:paraId="3143F20A">
      <w:pPr>
        <w:spacing w:line="440" w:lineRule="exact"/>
        <w:ind w:firstLine="480" w:firstLineChars="200"/>
        <w:rPr>
          <w:rFonts w:hint="eastAsia" w:eastAsiaTheme="minorEastAsia"/>
          <w:bCs/>
          <w:sz w:val="24"/>
        </w:rPr>
      </w:pPr>
      <w:bookmarkStart w:id="7" w:name="OLE_LINK5"/>
      <w:r>
        <w:rPr>
          <w:rFonts w:hint="eastAsia" w:eastAsiaTheme="minorEastAsia"/>
          <w:bCs/>
          <w:sz w:val="24"/>
        </w:rPr>
        <w:t>1</w:t>
      </w:r>
      <w:r>
        <w:rPr>
          <w:rFonts w:hint="eastAsia" w:eastAsiaTheme="minorEastAsia"/>
          <w:bCs/>
          <w:sz w:val="24"/>
          <w:lang w:eastAsia="zh-CN"/>
        </w:rPr>
        <w:t>.</w:t>
      </w:r>
      <w:r>
        <w:rPr>
          <w:rFonts w:hint="eastAsia" w:eastAsiaTheme="minorEastAsia"/>
          <w:bCs/>
          <w:sz w:val="24"/>
        </w:rPr>
        <w:t>学位课为一级学科下所有专业方向的必修课程。必修环节为研究生培养过程中必须完成的培养活动。</w:t>
      </w:r>
    </w:p>
    <w:p w14:paraId="439C3E1C">
      <w:pPr>
        <w:spacing w:line="440" w:lineRule="exact"/>
        <w:ind w:firstLine="480" w:firstLineChars="200"/>
        <w:rPr>
          <w:rFonts w:hint="eastAsia" w:eastAsiaTheme="minorEastAsia"/>
          <w:bCs/>
          <w:sz w:val="24"/>
        </w:rPr>
      </w:pPr>
      <w:r>
        <w:rPr>
          <w:rFonts w:hint="eastAsia" w:eastAsiaTheme="minorEastAsia"/>
          <w:bCs/>
          <w:sz w:val="24"/>
          <w:lang w:val="en-US" w:eastAsia="zh-CN"/>
        </w:rPr>
        <w:t>2.</w:t>
      </w:r>
      <w:r>
        <w:rPr>
          <w:rFonts w:hint="eastAsia" w:eastAsiaTheme="minorEastAsia"/>
          <w:bCs/>
          <w:sz w:val="24"/>
        </w:rPr>
        <w:t>公共通识课程中的通修为必选课程。</w:t>
      </w:r>
    </w:p>
    <w:p w14:paraId="652D9BCE">
      <w:pPr>
        <w:spacing w:line="440" w:lineRule="exact"/>
        <w:ind w:firstLine="480" w:firstLineChars="200"/>
        <w:rPr>
          <w:rFonts w:eastAsiaTheme="minorEastAsia"/>
          <w:bCs/>
          <w:sz w:val="24"/>
        </w:rPr>
      </w:pPr>
      <w:r>
        <w:rPr>
          <w:rFonts w:hint="eastAsia" w:eastAsiaTheme="minorEastAsia"/>
          <w:bCs/>
          <w:sz w:val="24"/>
          <w:lang w:val="en-US" w:eastAsia="zh-CN"/>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bookmarkEnd w:id="7"/>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3D9F"/>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2F4"/>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70F6"/>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972"/>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A7B2C"/>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376B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C9D"/>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1A83"/>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6BD6"/>
    <w:rsid w:val="00937654"/>
    <w:rsid w:val="00937D4A"/>
    <w:rsid w:val="00942771"/>
    <w:rsid w:val="00942BE1"/>
    <w:rsid w:val="009435A3"/>
    <w:rsid w:val="00943C58"/>
    <w:rsid w:val="00945EE6"/>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644"/>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21FB"/>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155B"/>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9A8"/>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C1D"/>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D41"/>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32621A"/>
    <w:rsid w:val="039D7B38"/>
    <w:rsid w:val="04BF763A"/>
    <w:rsid w:val="05041908"/>
    <w:rsid w:val="056F72B2"/>
    <w:rsid w:val="0753050F"/>
    <w:rsid w:val="07BC7CF6"/>
    <w:rsid w:val="080D2DB2"/>
    <w:rsid w:val="08474155"/>
    <w:rsid w:val="098A6F7A"/>
    <w:rsid w:val="09AB4631"/>
    <w:rsid w:val="0BFE7C41"/>
    <w:rsid w:val="0C925109"/>
    <w:rsid w:val="0C9615C8"/>
    <w:rsid w:val="0CF30416"/>
    <w:rsid w:val="0D9B6725"/>
    <w:rsid w:val="0E032C8D"/>
    <w:rsid w:val="0E8042DE"/>
    <w:rsid w:val="0F0942D3"/>
    <w:rsid w:val="104F08B1"/>
    <w:rsid w:val="10881228"/>
    <w:rsid w:val="10E914DC"/>
    <w:rsid w:val="111B7991"/>
    <w:rsid w:val="11720ABE"/>
    <w:rsid w:val="11A27578"/>
    <w:rsid w:val="164C2CF7"/>
    <w:rsid w:val="172C5003"/>
    <w:rsid w:val="17800EAB"/>
    <w:rsid w:val="182C1032"/>
    <w:rsid w:val="188B3FAB"/>
    <w:rsid w:val="1AAA1F5C"/>
    <w:rsid w:val="1BEC2FB3"/>
    <w:rsid w:val="1C484F46"/>
    <w:rsid w:val="1C5D7A0C"/>
    <w:rsid w:val="1C695588"/>
    <w:rsid w:val="1C6B1587"/>
    <w:rsid w:val="1CFC5477"/>
    <w:rsid w:val="1E334EC9"/>
    <w:rsid w:val="1E674404"/>
    <w:rsid w:val="1FE96C05"/>
    <w:rsid w:val="20592BE1"/>
    <w:rsid w:val="20EC5803"/>
    <w:rsid w:val="240F1DE0"/>
    <w:rsid w:val="24B14D99"/>
    <w:rsid w:val="253A246B"/>
    <w:rsid w:val="26EA6341"/>
    <w:rsid w:val="27561C28"/>
    <w:rsid w:val="27952750"/>
    <w:rsid w:val="2A1D4C7F"/>
    <w:rsid w:val="2A685EFA"/>
    <w:rsid w:val="2C5C383D"/>
    <w:rsid w:val="2E6469D8"/>
    <w:rsid w:val="2EE61AF3"/>
    <w:rsid w:val="2F634EE2"/>
    <w:rsid w:val="316719F6"/>
    <w:rsid w:val="32096215"/>
    <w:rsid w:val="3234700A"/>
    <w:rsid w:val="32DA195F"/>
    <w:rsid w:val="332D5F33"/>
    <w:rsid w:val="33772423"/>
    <w:rsid w:val="33A1247D"/>
    <w:rsid w:val="349124F1"/>
    <w:rsid w:val="35042CC3"/>
    <w:rsid w:val="362237F8"/>
    <w:rsid w:val="379F6CD3"/>
    <w:rsid w:val="381E22EE"/>
    <w:rsid w:val="388A7983"/>
    <w:rsid w:val="38DE382B"/>
    <w:rsid w:val="38EC419A"/>
    <w:rsid w:val="394C2E8B"/>
    <w:rsid w:val="39D55A01"/>
    <w:rsid w:val="3A322081"/>
    <w:rsid w:val="3A6945FF"/>
    <w:rsid w:val="3AA80595"/>
    <w:rsid w:val="3AD4138A"/>
    <w:rsid w:val="3B2740D4"/>
    <w:rsid w:val="3B7F12F6"/>
    <w:rsid w:val="3DAD0C8E"/>
    <w:rsid w:val="3E6622F9"/>
    <w:rsid w:val="3EEA4CD8"/>
    <w:rsid w:val="41131099"/>
    <w:rsid w:val="42A36041"/>
    <w:rsid w:val="43993170"/>
    <w:rsid w:val="490B41C9"/>
    <w:rsid w:val="4A190B67"/>
    <w:rsid w:val="4B895879"/>
    <w:rsid w:val="4BCB40E3"/>
    <w:rsid w:val="4D371A30"/>
    <w:rsid w:val="4E177822"/>
    <w:rsid w:val="4E1B63C8"/>
    <w:rsid w:val="4FFF25AD"/>
    <w:rsid w:val="5164685A"/>
    <w:rsid w:val="516C77CE"/>
    <w:rsid w:val="51F15F26"/>
    <w:rsid w:val="5359580D"/>
    <w:rsid w:val="53660527"/>
    <w:rsid w:val="5385202A"/>
    <w:rsid w:val="53EA42B4"/>
    <w:rsid w:val="5429409D"/>
    <w:rsid w:val="542B571F"/>
    <w:rsid w:val="54745318"/>
    <w:rsid w:val="54B2118A"/>
    <w:rsid w:val="55055F70"/>
    <w:rsid w:val="55EE10FA"/>
    <w:rsid w:val="567C04B4"/>
    <w:rsid w:val="57925AB5"/>
    <w:rsid w:val="57B7551B"/>
    <w:rsid w:val="58E155E0"/>
    <w:rsid w:val="590F1AB3"/>
    <w:rsid w:val="59205ADF"/>
    <w:rsid w:val="59AA6661"/>
    <w:rsid w:val="5ADA7E9F"/>
    <w:rsid w:val="5BDD7C46"/>
    <w:rsid w:val="5C5123E2"/>
    <w:rsid w:val="5CA14C6C"/>
    <w:rsid w:val="5FDC42F1"/>
    <w:rsid w:val="630261E5"/>
    <w:rsid w:val="633B16F7"/>
    <w:rsid w:val="63490658"/>
    <w:rsid w:val="63511D57"/>
    <w:rsid w:val="63DC07E4"/>
    <w:rsid w:val="64EF55BE"/>
    <w:rsid w:val="654B3E73"/>
    <w:rsid w:val="66770C98"/>
    <w:rsid w:val="66E8749F"/>
    <w:rsid w:val="66FB71D3"/>
    <w:rsid w:val="67B75AB6"/>
    <w:rsid w:val="67CE48E7"/>
    <w:rsid w:val="67EB7B05"/>
    <w:rsid w:val="69990F25"/>
    <w:rsid w:val="69AA3132"/>
    <w:rsid w:val="6AAF6C52"/>
    <w:rsid w:val="6ABC136F"/>
    <w:rsid w:val="6BC4672D"/>
    <w:rsid w:val="6C9A0286"/>
    <w:rsid w:val="6D350F65"/>
    <w:rsid w:val="6D3A5127"/>
    <w:rsid w:val="6D6E5E25"/>
    <w:rsid w:val="6DC72505"/>
    <w:rsid w:val="6DF64B98"/>
    <w:rsid w:val="6E4753F3"/>
    <w:rsid w:val="6F9E37FA"/>
    <w:rsid w:val="70333E81"/>
    <w:rsid w:val="70812E3F"/>
    <w:rsid w:val="710E21F8"/>
    <w:rsid w:val="71CA25C3"/>
    <w:rsid w:val="72BF37AA"/>
    <w:rsid w:val="72FA6ED8"/>
    <w:rsid w:val="738F5872"/>
    <w:rsid w:val="73BC23E0"/>
    <w:rsid w:val="73C51294"/>
    <w:rsid w:val="744D3038"/>
    <w:rsid w:val="74602D6B"/>
    <w:rsid w:val="74FC5D6E"/>
    <w:rsid w:val="76C770D1"/>
    <w:rsid w:val="77F55EC0"/>
    <w:rsid w:val="785B21C7"/>
    <w:rsid w:val="78B10039"/>
    <w:rsid w:val="791A3E30"/>
    <w:rsid w:val="797A7744"/>
    <w:rsid w:val="79DF0BD6"/>
    <w:rsid w:val="7AC82028"/>
    <w:rsid w:val="7CC459B3"/>
    <w:rsid w:val="7E0E1A8A"/>
    <w:rsid w:val="7E417769"/>
    <w:rsid w:val="7F0D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20"/>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3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Plain Text"/>
    <w:basedOn w:val="1"/>
    <w:link w:val="31"/>
    <w:qFormat/>
    <w:uiPriority w:val="0"/>
    <w:rPr>
      <w:rFonts w:ascii="宋体" w:hAnsi="Courier New"/>
      <w:szCs w:val="20"/>
    </w:rPr>
  </w:style>
  <w:style w:type="paragraph" w:styleId="8">
    <w:name w:val="Balloon Text"/>
    <w:basedOn w:val="1"/>
    <w:link w:val="25"/>
    <w:semiHidden/>
    <w:unhideWhenUsed/>
    <w:qFormat/>
    <w:uiPriority w:val="99"/>
    <w:rPr>
      <w:sz w:val="18"/>
      <w:szCs w:val="18"/>
    </w:rPr>
  </w:style>
  <w:style w:type="paragraph" w:styleId="9">
    <w:name w:val="footer"/>
    <w:basedOn w:val="1"/>
    <w:link w:val="27"/>
    <w:unhideWhenUsed/>
    <w:qFormat/>
    <w:uiPriority w:val="99"/>
    <w:pPr>
      <w:tabs>
        <w:tab w:val="center" w:pos="4153"/>
        <w:tab w:val="right" w:pos="8306"/>
      </w:tabs>
      <w:snapToGrid w:val="0"/>
      <w:jc w:val="left"/>
    </w:pPr>
    <w:rPr>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5"/>
    <w:next w:val="5"/>
    <w:link w:val="24"/>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page number"/>
    <w:basedOn w:val="15"/>
    <w:qFormat/>
    <w:uiPriority w:val="0"/>
  </w:style>
  <w:style w:type="character" w:styleId="18">
    <w:name w:val="Emphasis"/>
    <w:basedOn w:val="15"/>
    <w:qFormat/>
    <w:uiPriority w:val="20"/>
    <w:rPr>
      <w:i/>
    </w:rPr>
  </w:style>
  <w:style w:type="character" w:styleId="19">
    <w:name w:val="annotation reference"/>
    <w:basedOn w:val="15"/>
    <w:semiHidden/>
    <w:unhideWhenUsed/>
    <w:qFormat/>
    <w:uiPriority w:val="99"/>
    <w:rPr>
      <w:sz w:val="21"/>
      <w:szCs w:val="21"/>
    </w:rPr>
  </w:style>
  <w:style w:type="character" w:customStyle="1" w:styleId="20">
    <w:name w:val="标题 2 字符"/>
    <w:basedOn w:val="15"/>
    <w:link w:val="3"/>
    <w:qFormat/>
    <w:uiPriority w:val="99"/>
    <w:rPr>
      <w:rFonts w:ascii="Cambria" w:hAnsi="Cambria" w:eastAsia="宋体" w:cs="Times New Roman"/>
      <w:b/>
      <w:bCs/>
      <w:sz w:val="32"/>
      <w:szCs w:val="32"/>
    </w:rPr>
  </w:style>
  <w:style w:type="character" w:customStyle="1" w:styleId="21">
    <w:name w:val="标题 1 字符"/>
    <w:basedOn w:val="15"/>
    <w:link w:val="2"/>
    <w:qFormat/>
    <w:uiPriority w:val="0"/>
    <w:rPr>
      <w:rFonts w:ascii="Times New Roman" w:hAnsi="Times New Roman" w:eastAsia="华文行楷" w:cs="Times New Roman"/>
      <w:kern w:val="44"/>
      <w:sz w:val="44"/>
      <w:szCs w:val="20"/>
    </w:rPr>
  </w:style>
  <w:style w:type="paragraph" w:customStyle="1" w:styleId="22">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3">
    <w:name w:val="批注文字 字符"/>
    <w:basedOn w:val="15"/>
    <w:link w:val="5"/>
    <w:semiHidden/>
    <w:qFormat/>
    <w:uiPriority w:val="99"/>
    <w:rPr>
      <w:rFonts w:ascii="Times New Roman" w:hAnsi="Times New Roman" w:eastAsia="宋体" w:cs="Times New Roman"/>
      <w:szCs w:val="24"/>
    </w:rPr>
  </w:style>
  <w:style w:type="character" w:customStyle="1" w:styleId="24">
    <w:name w:val="批注主题 字符"/>
    <w:basedOn w:val="23"/>
    <w:link w:val="12"/>
    <w:semiHidden/>
    <w:qFormat/>
    <w:uiPriority w:val="99"/>
    <w:rPr>
      <w:rFonts w:ascii="Times New Roman" w:hAnsi="Times New Roman" w:eastAsia="宋体" w:cs="Times New Roman"/>
      <w:b/>
      <w:bCs/>
      <w:szCs w:val="24"/>
    </w:rPr>
  </w:style>
  <w:style w:type="character" w:customStyle="1" w:styleId="25">
    <w:name w:val="批注框文本 字符"/>
    <w:basedOn w:val="15"/>
    <w:link w:val="8"/>
    <w:semiHidden/>
    <w:qFormat/>
    <w:uiPriority w:val="99"/>
    <w:rPr>
      <w:rFonts w:ascii="Times New Roman" w:hAnsi="Times New Roman" w:eastAsia="宋体" w:cs="Times New Roman"/>
      <w:sz w:val="18"/>
      <w:szCs w:val="18"/>
    </w:rPr>
  </w:style>
  <w:style w:type="character" w:customStyle="1" w:styleId="26">
    <w:name w:val="页眉 字符"/>
    <w:basedOn w:val="15"/>
    <w:link w:val="10"/>
    <w:qFormat/>
    <w:uiPriority w:val="99"/>
    <w:rPr>
      <w:rFonts w:ascii="Times New Roman" w:hAnsi="Times New Roman" w:eastAsia="宋体" w:cs="Times New Roman"/>
      <w:sz w:val="18"/>
      <w:szCs w:val="18"/>
    </w:rPr>
  </w:style>
  <w:style w:type="character" w:customStyle="1" w:styleId="27">
    <w:name w:val="页脚 字符"/>
    <w:basedOn w:val="15"/>
    <w:link w:val="9"/>
    <w:qFormat/>
    <w:uiPriority w:val="99"/>
    <w:rPr>
      <w:rFonts w:ascii="Times New Roman" w:hAnsi="Times New Roman" w:eastAsia="宋体" w:cs="Times New Roman"/>
      <w:sz w:val="18"/>
      <w:szCs w:val="18"/>
    </w:rPr>
  </w:style>
  <w:style w:type="paragraph" w:customStyle="1" w:styleId="28">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9">
    <w:name w:val="List Paragraph"/>
    <w:basedOn w:val="1"/>
    <w:qFormat/>
    <w:uiPriority w:val="99"/>
    <w:pPr>
      <w:ind w:firstLine="420" w:firstLineChars="200"/>
    </w:pPr>
  </w:style>
  <w:style w:type="character" w:customStyle="1" w:styleId="30">
    <w:name w:val="标题 4 字符"/>
    <w:basedOn w:val="15"/>
    <w:link w:val="4"/>
    <w:semiHidden/>
    <w:qFormat/>
    <w:uiPriority w:val="9"/>
    <w:rPr>
      <w:rFonts w:asciiTheme="majorHAnsi" w:hAnsiTheme="majorHAnsi" w:eastAsiaTheme="majorEastAsia" w:cstheme="majorBidi"/>
      <w:b/>
      <w:bCs/>
      <w:kern w:val="2"/>
      <w:sz w:val="28"/>
      <w:szCs w:val="28"/>
    </w:rPr>
  </w:style>
  <w:style w:type="character" w:customStyle="1" w:styleId="31">
    <w:name w:val="纯文本 字符"/>
    <w:basedOn w:val="15"/>
    <w:link w:val="7"/>
    <w:qFormat/>
    <w:uiPriority w:val="0"/>
    <w:rPr>
      <w:rFonts w:ascii="宋体" w:hAnsi="Courier New"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8</Pages>
  <Words>5494</Words>
  <Characters>5980</Characters>
  <Lines>354</Lines>
  <Paragraphs>369</Paragraphs>
  <TotalTime>338</TotalTime>
  <ScaleCrop>false</ScaleCrop>
  <LinksUpToDate>false</LinksUpToDate>
  <CharactersWithSpaces>6000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2025-07-04T03:22:02Z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8D016F32F13E48D0AC00B761661FF965_12</vt:lpwstr>
  </property>
</Properties>
</file>