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AA72B">
      <w:pPr>
        <w:spacing w:line="360" w:lineRule="auto"/>
        <w:jc w:val="center"/>
        <w:rPr>
          <w:rFonts w:eastAsia="黑体"/>
          <w:b w:val="0"/>
          <w:bCs w:val="0"/>
          <w:sz w:val="36"/>
          <w:szCs w:val="36"/>
        </w:rPr>
      </w:pPr>
      <w:r>
        <w:rPr>
          <w:rFonts w:hint="eastAsia" w:eastAsia="黑体" w:cs="黑体"/>
          <w:b w:val="0"/>
          <w:bCs w:val="0"/>
          <w:sz w:val="36"/>
          <w:szCs w:val="36"/>
          <w:u w:val="single"/>
        </w:rPr>
        <w:t>经济法学</w:t>
      </w:r>
      <w:r>
        <w:rPr>
          <w:rFonts w:hint="eastAsia" w:eastAsia="黑体" w:cs="黑体"/>
          <w:b w:val="0"/>
          <w:bCs w:val="0"/>
          <w:sz w:val="36"/>
          <w:szCs w:val="36"/>
        </w:rPr>
        <w:t>专业学术学位硕士研究生培养方案</w:t>
      </w:r>
    </w:p>
    <w:p w14:paraId="4FDB7238">
      <w:pPr>
        <w:spacing w:line="360" w:lineRule="auto"/>
        <w:jc w:val="center"/>
        <w:rPr>
          <w:rFonts w:eastAsia="黑体"/>
          <w:b w:val="0"/>
          <w:bCs w:val="0"/>
          <w:sz w:val="28"/>
          <w:szCs w:val="28"/>
        </w:rPr>
      </w:pPr>
      <w:r>
        <w:rPr>
          <w:rFonts w:hint="eastAsia" w:eastAsia="黑体" w:cs="黑体"/>
          <w:b w:val="0"/>
          <w:bCs w:val="0"/>
          <w:sz w:val="28"/>
          <w:szCs w:val="28"/>
        </w:rPr>
        <w:t>（法学院</w:t>
      </w:r>
      <w:r>
        <w:rPr>
          <w:rFonts w:eastAsia="黑体"/>
          <w:b w:val="0"/>
          <w:bCs w:val="0"/>
          <w:sz w:val="28"/>
          <w:szCs w:val="28"/>
        </w:rPr>
        <w:t>)</w:t>
      </w:r>
    </w:p>
    <w:p w14:paraId="27AE23EB">
      <w:pPr>
        <w:spacing w:line="360" w:lineRule="auto"/>
        <w:ind w:firstLine="560" w:firstLineChars="200"/>
        <w:rPr>
          <w:rFonts w:eastAsia="黑体"/>
          <w:b w:val="0"/>
          <w:bCs w:val="0"/>
          <w:sz w:val="28"/>
          <w:szCs w:val="28"/>
        </w:rPr>
      </w:pPr>
      <w:r>
        <w:rPr>
          <w:rFonts w:hint="eastAsia" w:eastAsia="黑体" w:cs="黑体"/>
          <w:b w:val="0"/>
          <w:bCs w:val="0"/>
          <w:sz w:val="28"/>
          <w:szCs w:val="28"/>
        </w:rPr>
        <w:t>一、专业名称、代码</w:t>
      </w:r>
    </w:p>
    <w:p w14:paraId="3E5B1977">
      <w:pPr>
        <w:widowControl/>
        <w:spacing w:line="360" w:lineRule="auto"/>
        <w:ind w:firstLine="960" w:firstLineChars="400"/>
        <w:jc w:val="left"/>
        <w:rPr>
          <w:color w:val="222222"/>
          <w:kern w:val="0"/>
          <w:sz w:val="18"/>
          <w:szCs w:val="18"/>
        </w:rPr>
      </w:pPr>
      <w:r>
        <w:rPr>
          <w:rFonts w:hint="eastAsia" w:cs="宋体"/>
          <w:color w:val="222222"/>
          <w:kern w:val="0"/>
          <w:sz w:val="24"/>
          <w:szCs w:val="24"/>
        </w:rPr>
        <w:t>专业名称：经济法学</w:t>
      </w:r>
    </w:p>
    <w:p w14:paraId="653CD3C1">
      <w:pPr>
        <w:widowControl/>
        <w:spacing w:line="360" w:lineRule="auto"/>
        <w:ind w:firstLine="960" w:firstLineChars="400"/>
        <w:jc w:val="left"/>
        <w:rPr>
          <w:color w:val="222222"/>
          <w:kern w:val="0"/>
          <w:sz w:val="24"/>
          <w:szCs w:val="24"/>
        </w:rPr>
      </w:pPr>
      <w:r>
        <w:rPr>
          <w:rFonts w:hint="eastAsia" w:cs="宋体"/>
          <w:color w:val="222222"/>
          <w:kern w:val="0"/>
          <w:sz w:val="24"/>
          <w:szCs w:val="24"/>
        </w:rPr>
        <w:t>专业代码：</w:t>
      </w:r>
      <w:r>
        <w:rPr>
          <w:color w:val="222222"/>
          <w:kern w:val="0"/>
          <w:sz w:val="24"/>
          <w:szCs w:val="24"/>
        </w:rPr>
        <w:t>030107</w:t>
      </w:r>
    </w:p>
    <w:p w14:paraId="372C7135">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 w:val="0"/>
          <w:bCs w:val="0"/>
          <w:i/>
          <w:iCs/>
          <w:color w:val="FF0000"/>
          <w:sz w:val="28"/>
          <w:szCs w:val="28"/>
        </w:rPr>
      </w:pPr>
      <w:r>
        <w:rPr>
          <w:rFonts w:hint="eastAsia" w:eastAsia="黑体" w:cs="黑体"/>
          <w:b w:val="0"/>
          <w:bCs w:val="0"/>
          <w:sz w:val="28"/>
          <w:szCs w:val="28"/>
        </w:rPr>
        <w:t>二、</w:t>
      </w:r>
      <w:r>
        <w:rPr>
          <w:rFonts w:hint="eastAsia" w:eastAsia="黑体" w:cs="黑体"/>
          <w:b w:val="0"/>
          <w:bCs w:val="0"/>
          <w:color w:val="000000"/>
          <w:sz w:val="28"/>
          <w:szCs w:val="28"/>
        </w:rPr>
        <w:t>专业简介</w:t>
      </w:r>
    </w:p>
    <w:p w14:paraId="287DC094">
      <w:pPr>
        <w:pStyle w:val="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Times New Roman"/>
          <w:sz w:val="24"/>
          <w:szCs w:val="24"/>
          <w:lang w:val="en-US"/>
        </w:rPr>
      </w:pPr>
      <w:r>
        <w:rPr>
          <w:rFonts w:hint="eastAsia" w:ascii="宋体" w:hAnsi="宋体" w:eastAsia="宋体" w:cs="宋体"/>
          <w:sz w:val="24"/>
          <w:szCs w:val="24"/>
          <w:lang w:val="en-US"/>
        </w:rPr>
        <w:t>河北大学法学学科肇始于</w:t>
      </w:r>
      <w:r>
        <w:rPr>
          <w:rFonts w:ascii="宋体" w:hAnsi="宋体" w:eastAsia="宋体" w:cs="宋体"/>
          <w:sz w:val="24"/>
          <w:szCs w:val="24"/>
          <w:lang w:val="en-US"/>
        </w:rPr>
        <w:t>1939</w:t>
      </w:r>
      <w:r>
        <w:rPr>
          <w:rFonts w:hint="eastAsia" w:ascii="宋体" w:hAnsi="宋体" w:eastAsia="宋体" w:cs="宋体"/>
          <w:sz w:val="24"/>
          <w:szCs w:val="24"/>
          <w:lang w:val="en-US"/>
        </w:rPr>
        <w:t>年，重新创建于</w:t>
      </w:r>
      <w:r>
        <w:rPr>
          <w:rFonts w:ascii="宋体" w:hAnsi="宋体" w:eastAsia="宋体" w:cs="宋体"/>
          <w:sz w:val="24"/>
          <w:szCs w:val="24"/>
          <w:lang w:val="en-US"/>
        </w:rPr>
        <w:t>1980</w:t>
      </w:r>
      <w:r>
        <w:rPr>
          <w:rFonts w:hint="eastAsia" w:ascii="宋体" w:hAnsi="宋体" w:eastAsia="宋体" w:cs="宋体"/>
          <w:sz w:val="24"/>
          <w:szCs w:val="24"/>
          <w:lang w:val="en-US"/>
        </w:rPr>
        <w:t>年，是在法学本科教育实践基础上逐步发展起来的，拥有优秀师资团队、坚实专业基础、较强科研实力和较大发展潜力的法学一级学科，系学校部省合建“燕赵文化学科群”配合学科、河北大学重点建设的国内一流学科。本学科的研究生教育起始于</w:t>
      </w:r>
      <w:r>
        <w:rPr>
          <w:rFonts w:ascii="宋体" w:hAnsi="宋体" w:eastAsia="宋体" w:cs="宋体"/>
          <w:sz w:val="24"/>
          <w:szCs w:val="24"/>
          <w:lang w:val="en-US"/>
        </w:rPr>
        <w:t>2000</w:t>
      </w:r>
      <w:r>
        <w:rPr>
          <w:rFonts w:hint="eastAsia" w:ascii="宋体" w:hAnsi="宋体" w:eastAsia="宋体" w:cs="宋体"/>
          <w:sz w:val="24"/>
          <w:szCs w:val="24"/>
          <w:lang w:val="en-US"/>
        </w:rPr>
        <w:t>年获批诉讼法学二级学科硕士学位授权点，</w:t>
      </w:r>
      <w:r>
        <w:rPr>
          <w:rFonts w:ascii="宋体" w:hAnsi="宋体" w:eastAsia="宋体" w:cs="宋体"/>
          <w:sz w:val="24"/>
          <w:szCs w:val="24"/>
          <w:lang w:val="en-US"/>
        </w:rPr>
        <w:t>2003</w:t>
      </w:r>
      <w:r>
        <w:rPr>
          <w:rFonts w:hint="eastAsia" w:ascii="宋体" w:hAnsi="宋体" w:eastAsia="宋体" w:cs="宋体"/>
          <w:sz w:val="24"/>
          <w:szCs w:val="24"/>
          <w:lang w:val="en-US"/>
        </w:rPr>
        <w:t>年获批宪法学与行政法学、民商法学二级学科硕士学位授权点，</w:t>
      </w:r>
      <w:r>
        <w:rPr>
          <w:rFonts w:ascii="宋体" w:hAnsi="宋体" w:eastAsia="宋体" w:cs="宋体"/>
          <w:sz w:val="24"/>
          <w:szCs w:val="24"/>
          <w:lang w:val="en-US"/>
        </w:rPr>
        <w:t>2004</w:t>
      </w:r>
      <w:r>
        <w:rPr>
          <w:rFonts w:hint="eastAsia" w:ascii="宋体" w:hAnsi="宋体" w:eastAsia="宋体" w:cs="宋体"/>
          <w:sz w:val="24"/>
          <w:szCs w:val="24"/>
          <w:lang w:val="en-US"/>
        </w:rPr>
        <w:t>年获批法律硕士专业学位授权点，</w:t>
      </w:r>
      <w:r>
        <w:rPr>
          <w:rFonts w:ascii="宋体" w:hAnsi="宋体" w:eastAsia="宋体" w:cs="宋体"/>
          <w:sz w:val="24"/>
          <w:szCs w:val="24"/>
          <w:lang w:val="en-US"/>
        </w:rPr>
        <w:t>2005</w:t>
      </w:r>
      <w:r>
        <w:rPr>
          <w:rFonts w:hint="eastAsia" w:ascii="宋体" w:hAnsi="宋体" w:eastAsia="宋体" w:cs="宋体"/>
          <w:sz w:val="24"/>
          <w:szCs w:val="24"/>
          <w:lang w:val="en-US"/>
        </w:rPr>
        <w:t>年获批法学理论、刑法学和经济法学二级学科硕士学位授权点，</w:t>
      </w:r>
      <w:r>
        <w:rPr>
          <w:rFonts w:ascii="宋体" w:hAnsi="宋体" w:eastAsia="宋体" w:cs="宋体"/>
          <w:sz w:val="24"/>
          <w:szCs w:val="24"/>
          <w:lang w:val="en-US"/>
        </w:rPr>
        <w:t>2010</w:t>
      </w:r>
      <w:r>
        <w:rPr>
          <w:rFonts w:hint="eastAsia" w:ascii="宋体" w:hAnsi="宋体" w:eastAsia="宋体" w:cs="宋体"/>
          <w:sz w:val="24"/>
          <w:szCs w:val="24"/>
          <w:lang w:val="en-US"/>
        </w:rPr>
        <w:t>年获批法学一级学科硕士学位授权点，</w:t>
      </w:r>
      <w:r>
        <w:rPr>
          <w:rFonts w:ascii="宋体" w:hAnsi="宋体" w:eastAsia="宋体" w:cs="宋体"/>
          <w:sz w:val="24"/>
          <w:szCs w:val="24"/>
          <w:lang w:val="en-US"/>
        </w:rPr>
        <w:t>2018</w:t>
      </w:r>
      <w:r>
        <w:rPr>
          <w:rFonts w:hint="eastAsia" w:ascii="宋体" w:hAnsi="宋体" w:eastAsia="宋体" w:cs="宋体"/>
          <w:sz w:val="24"/>
          <w:szCs w:val="24"/>
          <w:lang w:val="en-US"/>
        </w:rPr>
        <w:t>年经国务院学位委员会第三十四次会议审议批准增列为法学一级学科博士学位授权点，优化了河北大学学科布局，填补了河北省法学一级学科博士学位授权点建设的空白。</w:t>
      </w:r>
      <w:r>
        <w:rPr>
          <w:rFonts w:ascii="宋体" w:hAnsi="宋体" w:eastAsia="宋体" w:cs="宋体"/>
          <w:sz w:val="24"/>
          <w:szCs w:val="24"/>
          <w:lang w:val="en-US"/>
        </w:rPr>
        <w:t>2019</w:t>
      </w:r>
      <w:r>
        <w:rPr>
          <w:rFonts w:hint="eastAsia" w:ascii="宋体" w:hAnsi="宋体" w:eastAsia="宋体" w:cs="宋体"/>
          <w:sz w:val="24"/>
          <w:szCs w:val="24"/>
          <w:lang w:val="en-US"/>
        </w:rPr>
        <w:t>年，被批准设立法学一级学科博士后科研流动站。近年来，本学科服务京津冀协同发展、雄安新区建设、冬奥会等重大国家战略、区域经济社会发展和法治河北建设，聚焦京津冀区域生态环境治理、区域刑事法治与环境犯罪治理、冬奥会法治保障、公益诉讼等方面问题研究，形成稳定研究方向和鲜明研究特色，产出了一批高质量研究成果。</w:t>
      </w:r>
    </w:p>
    <w:p w14:paraId="5BECD922">
      <w:pPr>
        <w:pStyle w:val="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Times New Roman"/>
          <w:sz w:val="24"/>
          <w:szCs w:val="24"/>
          <w:lang w:val="en-US"/>
        </w:rPr>
      </w:pPr>
      <w:r>
        <w:rPr>
          <w:rFonts w:hint="eastAsia" w:ascii="宋体" w:hAnsi="宋体" w:eastAsia="宋体" w:cs="宋体"/>
          <w:sz w:val="24"/>
          <w:szCs w:val="24"/>
          <w:lang w:val="en-US"/>
        </w:rPr>
        <w:t>经济法学专业</w:t>
      </w:r>
      <w:r>
        <w:rPr>
          <w:rFonts w:hint="eastAsia" w:ascii="宋体" w:hAnsi="宋体" w:eastAsia="宋体" w:cs="宋体"/>
          <w:color w:val="000000" w:themeColor="text1"/>
          <w:sz w:val="24"/>
          <w:lang w:val="en-US"/>
        </w:rPr>
        <w:t>是法学一级学科下设的重要二级学科，</w:t>
      </w:r>
      <w:r>
        <w:rPr>
          <w:rFonts w:hint="eastAsia" w:ascii="宋体" w:hAnsi="宋体" w:eastAsia="宋体" w:cs="宋体"/>
          <w:color w:val="000000" w:themeColor="text1"/>
          <w:sz w:val="24"/>
          <w:lang w:val="en-US" w:eastAsia="zh-CN"/>
        </w:rPr>
        <w:t>该专业</w:t>
      </w:r>
      <w:r>
        <w:rPr>
          <w:rFonts w:hint="eastAsia" w:ascii="宋体" w:hAnsi="宋体" w:eastAsia="宋体" w:cs="宋体"/>
          <w:sz w:val="24"/>
          <w:szCs w:val="24"/>
          <w:lang w:val="en-US"/>
        </w:rPr>
        <w:t>致力于经济法基本原理、市场规制法和宏观调控法等领域的研究，形成有区域生态环境法治建设等研究特色，强调经济法理论与实务结合，始终紧跟经济法理论发展前沿，关注经济立法、执法、司法和守法中的疑难问题，为拓展经济法理论研究、完善经济法律体系、推动经济法治实践提供智力支撑。</w:t>
      </w:r>
    </w:p>
    <w:p w14:paraId="1528E3A8">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 w:val="0"/>
          <w:bCs w:val="0"/>
          <w:color w:val="000000"/>
          <w:sz w:val="28"/>
          <w:szCs w:val="28"/>
        </w:rPr>
      </w:pPr>
      <w:r>
        <w:rPr>
          <w:rFonts w:hint="eastAsia" w:eastAsia="黑体" w:cs="黑体"/>
          <w:b w:val="0"/>
          <w:bCs w:val="0"/>
          <w:color w:val="000000"/>
          <w:sz w:val="28"/>
          <w:szCs w:val="28"/>
        </w:rPr>
        <w:t>三、研究方向</w:t>
      </w:r>
    </w:p>
    <w:p w14:paraId="1FD44F4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szCs w:val="24"/>
        </w:rPr>
      </w:pPr>
      <w:r>
        <w:rPr>
          <w:rFonts w:hint="eastAsia" w:ascii="宋体" w:hAnsi="宋体" w:cs="宋体"/>
          <w:sz w:val="24"/>
          <w:szCs w:val="24"/>
        </w:rPr>
        <w:t>经济法专业设置五个研究方向：</w:t>
      </w:r>
    </w:p>
    <w:p w14:paraId="775D55B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szCs w:val="24"/>
        </w:rPr>
      </w:pPr>
      <w:r>
        <w:rPr>
          <w:rFonts w:hint="eastAsia" w:ascii="宋体" w:hAnsi="宋体" w:cs="宋体"/>
          <w:sz w:val="24"/>
          <w:szCs w:val="24"/>
        </w:rPr>
        <w:t>（一）企业与公司法。研究内容包括企业社会责任、公司治理结构、公司法人人格否认制度、公司资本制度、董事义务、类别股、关联交易、公司并购与分立、企业重整、企业破产、投资者的权利与义务等。</w:t>
      </w:r>
    </w:p>
    <w:p w14:paraId="506E06E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szCs w:val="24"/>
        </w:rPr>
      </w:pPr>
      <w:r>
        <w:rPr>
          <w:rFonts w:hint="eastAsia" w:ascii="宋体" w:hAnsi="宋体" w:cs="宋体"/>
          <w:sz w:val="24"/>
          <w:szCs w:val="24"/>
        </w:rPr>
        <w:t>（二）竞争法。研究内容包括竞争立法模式、自然垄断、公平竞争审查、轴辐协议、滥用市场支配地位行为的认定、经营者集中的救济与抗辩、反垄断法的实施、反垄断执法、反垄断法的域外适用、反不正当竞争法的调整机制等。</w:t>
      </w:r>
    </w:p>
    <w:p w14:paraId="1D77A7B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color w:val="000000"/>
          <w:sz w:val="24"/>
          <w:szCs w:val="24"/>
        </w:rPr>
      </w:pPr>
      <w:r>
        <w:rPr>
          <w:rFonts w:hint="eastAsia" w:ascii="宋体" w:hAnsi="宋体" w:cs="宋体"/>
          <w:color w:val="000000"/>
          <w:sz w:val="24"/>
          <w:szCs w:val="24"/>
        </w:rPr>
        <w:t>（三）金融法。研究内容包括金融法的制定与实施、金融法的基本原则、金融监管体制、金融混业经营、金融信托、金融租赁、汽车金融、私募基金、平准基金、金融科技、金融稳定的法治保障、金融消费者的权益保护等。</w:t>
      </w:r>
    </w:p>
    <w:p w14:paraId="63D4F48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szCs w:val="24"/>
        </w:rPr>
      </w:pPr>
      <w:r>
        <w:rPr>
          <w:rFonts w:hint="eastAsia" w:ascii="宋体" w:hAnsi="宋体" w:cs="宋体"/>
          <w:sz w:val="24"/>
          <w:szCs w:val="24"/>
        </w:rPr>
        <w:t>（四）财政税收法。</w:t>
      </w:r>
      <w:r>
        <w:rPr>
          <w:rFonts w:hint="eastAsia" w:ascii="宋体" w:hAnsi="宋体" w:cs="宋体"/>
          <w:color w:val="000000"/>
          <w:sz w:val="24"/>
          <w:szCs w:val="24"/>
        </w:rPr>
        <w:t>研究内容包括</w:t>
      </w:r>
      <w:r>
        <w:rPr>
          <w:rFonts w:hint="eastAsia" w:ascii="宋体" w:hAnsi="宋体" w:cs="宋体"/>
          <w:sz w:val="24"/>
          <w:szCs w:val="24"/>
        </w:rPr>
        <w:t>财政法的基本原则、财政法的功能、税收法定、量能课税、政府采购、财政转移支付、地方政府债务治理、纳税人权利保护、税收征管、税收优惠、反避税、所得税法律制度等。</w:t>
      </w:r>
    </w:p>
    <w:p w14:paraId="785B2E6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szCs w:val="24"/>
        </w:rPr>
      </w:pPr>
      <w:r>
        <w:rPr>
          <w:rFonts w:hint="eastAsia" w:ascii="宋体" w:cs="宋体"/>
          <w:sz w:val="24"/>
          <w:szCs w:val="24"/>
        </w:rPr>
        <w:t>（五）环境资源法。</w:t>
      </w:r>
      <w:r>
        <w:rPr>
          <w:rFonts w:hint="eastAsia" w:ascii="宋体" w:hAnsi="宋体" w:cs="宋体"/>
          <w:color w:val="000000"/>
          <w:sz w:val="24"/>
          <w:szCs w:val="24"/>
        </w:rPr>
        <w:t>研究内容包括生态环境法典的编纂与实施、</w:t>
      </w:r>
      <w:r>
        <w:rPr>
          <w:rFonts w:hint="eastAsia" w:ascii="宋体" w:cs="宋体"/>
          <w:sz w:val="24"/>
          <w:szCs w:val="24"/>
        </w:rPr>
        <w:t>环境资源法的基本原则、环境权的基本理论、区域生态环境保护、自然资源权属与有偿使用、国家公园、限期治理、环境应急、环境责任、环境资源纠纷、生物多样性保护等。</w:t>
      </w:r>
    </w:p>
    <w:p w14:paraId="4953F541">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 w:val="0"/>
          <w:bCs w:val="0"/>
          <w:sz w:val="28"/>
          <w:szCs w:val="28"/>
        </w:rPr>
      </w:pPr>
      <w:r>
        <w:rPr>
          <w:rFonts w:hint="eastAsia" w:eastAsia="黑体" w:cs="黑体"/>
          <w:b w:val="0"/>
          <w:bCs w:val="0"/>
          <w:sz w:val="28"/>
          <w:szCs w:val="28"/>
        </w:rPr>
        <w:t>四、学制及学习年限</w:t>
      </w:r>
    </w:p>
    <w:p w14:paraId="4C04A0F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i/>
          <w:iCs/>
          <w:color w:val="FF0000"/>
          <w:sz w:val="24"/>
          <w:szCs w:val="24"/>
        </w:rPr>
      </w:pPr>
      <w:r>
        <w:rPr>
          <w:rFonts w:hint="eastAsia" w:cs="宋体"/>
          <w:color w:val="000000"/>
          <w:sz w:val="24"/>
          <w:szCs w:val="24"/>
        </w:rPr>
        <w:t>本专业学制为</w:t>
      </w:r>
      <w:r>
        <w:rPr>
          <w:color w:val="000000"/>
          <w:sz w:val="24"/>
          <w:szCs w:val="24"/>
        </w:rPr>
        <w:t>3</w:t>
      </w:r>
      <w:r>
        <w:rPr>
          <w:rFonts w:hint="eastAsia" w:cs="宋体"/>
          <w:color w:val="000000"/>
          <w:sz w:val="24"/>
          <w:szCs w:val="24"/>
        </w:rPr>
        <w:t>年，在校最长学习年限（含休学）不超过</w:t>
      </w:r>
      <w:r>
        <w:rPr>
          <w:color w:val="000000"/>
          <w:sz w:val="24"/>
          <w:szCs w:val="24"/>
        </w:rPr>
        <w:t>6</w:t>
      </w:r>
      <w:r>
        <w:rPr>
          <w:rFonts w:hint="eastAsia" w:cs="宋体"/>
          <w:color w:val="000000"/>
          <w:sz w:val="24"/>
          <w:szCs w:val="24"/>
        </w:rPr>
        <w:t>年。</w:t>
      </w:r>
    </w:p>
    <w:p w14:paraId="1ABB1B9E">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 w:val="0"/>
          <w:bCs w:val="0"/>
          <w:sz w:val="28"/>
          <w:szCs w:val="28"/>
        </w:rPr>
      </w:pPr>
      <w:r>
        <w:rPr>
          <w:rFonts w:hint="eastAsia" w:eastAsia="黑体" w:cs="黑体"/>
          <w:b w:val="0"/>
          <w:bCs w:val="0"/>
          <w:sz w:val="28"/>
          <w:szCs w:val="28"/>
        </w:rPr>
        <w:t>五、培养目标</w:t>
      </w:r>
    </w:p>
    <w:p w14:paraId="5D0334C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szCs w:val="24"/>
        </w:rPr>
      </w:pPr>
      <w:r>
        <w:rPr>
          <w:rFonts w:ascii="宋体" w:hAnsi="宋体" w:cs="宋体"/>
          <w:sz w:val="24"/>
          <w:szCs w:val="24"/>
        </w:rPr>
        <w:t xml:space="preserve">1. </w:t>
      </w:r>
      <w:r>
        <w:rPr>
          <w:rFonts w:hint="eastAsia" w:ascii="宋体" w:hAnsi="宋体" w:cs="宋体"/>
          <w:sz w:val="24"/>
          <w:szCs w:val="24"/>
        </w:rPr>
        <w:t>掌握中国特色社会主义理论体系和习近平法治思想</w:t>
      </w:r>
      <w:r>
        <w:rPr>
          <w:rFonts w:ascii="宋体" w:cs="宋体"/>
          <w:sz w:val="24"/>
          <w:szCs w:val="24"/>
        </w:rPr>
        <w:t>,</w:t>
      </w:r>
      <w:r>
        <w:rPr>
          <w:rFonts w:hint="eastAsia" w:ascii="宋体" w:hAnsi="宋体" w:cs="宋体"/>
          <w:sz w:val="24"/>
          <w:szCs w:val="24"/>
        </w:rPr>
        <w:t>树立正确的中国特色社会主义核心价值观，具有坚定的理想信念，高尚的道德情操，优良的学术作风，高度的社会责任感。</w:t>
      </w:r>
    </w:p>
    <w:p w14:paraId="47C3231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szCs w:val="24"/>
        </w:rPr>
      </w:pPr>
      <w:r>
        <w:rPr>
          <w:rFonts w:ascii="宋体" w:hAnsi="宋体" w:cs="宋体"/>
          <w:sz w:val="24"/>
          <w:szCs w:val="24"/>
        </w:rPr>
        <w:t xml:space="preserve">2. </w:t>
      </w:r>
      <w:r>
        <w:rPr>
          <w:rFonts w:hint="eastAsia" w:ascii="宋体" w:hAnsi="宋体" w:cs="宋体"/>
          <w:sz w:val="24"/>
          <w:szCs w:val="24"/>
        </w:rPr>
        <w:t>掌握坚实的法学基础理论和系统的法律专门知识，具有良好的法学思维能力、学术创新能力和法律实践能力，具备良好法律职业道德和身心素质，服务于法治中国和法治河北建设特别是京津冀协同发展、雄安新区建设的复合型高素质法治人才。</w:t>
      </w:r>
    </w:p>
    <w:p w14:paraId="63AA9A8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szCs w:val="24"/>
        </w:rPr>
      </w:pPr>
      <w:r>
        <w:rPr>
          <w:rFonts w:ascii="宋体" w:hAnsi="宋体" w:cs="宋体"/>
          <w:sz w:val="24"/>
          <w:szCs w:val="24"/>
        </w:rPr>
        <w:t xml:space="preserve">3. </w:t>
      </w:r>
      <w:r>
        <w:rPr>
          <w:rFonts w:hint="eastAsia" w:ascii="宋体" w:hAnsi="宋体" w:cs="宋体"/>
          <w:sz w:val="24"/>
          <w:szCs w:val="24"/>
        </w:rPr>
        <w:t>至少掌握一门外国语，能熟练阅读本专业的外文资料，具有撰写学术论文和进行国际学术交流的能力。</w:t>
      </w:r>
    </w:p>
    <w:p w14:paraId="7E21304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szCs w:val="24"/>
        </w:rPr>
      </w:pPr>
      <w:r>
        <w:rPr>
          <w:rFonts w:ascii="宋体" w:hAnsi="宋体" w:cs="宋体"/>
          <w:sz w:val="24"/>
          <w:szCs w:val="24"/>
        </w:rPr>
        <w:t xml:space="preserve">4. </w:t>
      </w:r>
      <w:r>
        <w:rPr>
          <w:rFonts w:hint="eastAsia" w:ascii="宋体" w:hAnsi="宋体" w:cs="宋体"/>
          <w:sz w:val="24"/>
          <w:szCs w:val="24"/>
        </w:rPr>
        <w:t>具有良好的团队意识和团队合作精神。</w:t>
      </w:r>
    </w:p>
    <w:p w14:paraId="55DE0E1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sz w:val="24"/>
          <w:szCs w:val="24"/>
        </w:rPr>
      </w:pPr>
      <w:r>
        <w:rPr>
          <w:rFonts w:ascii="宋体" w:hAnsi="宋体" w:cs="宋体"/>
          <w:sz w:val="24"/>
          <w:szCs w:val="24"/>
        </w:rPr>
        <w:t xml:space="preserve">5. </w:t>
      </w:r>
      <w:r>
        <w:rPr>
          <w:rFonts w:hint="eastAsia" w:ascii="宋体" w:hAnsi="宋体" w:cs="宋体"/>
          <w:sz w:val="24"/>
          <w:szCs w:val="24"/>
        </w:rPr>
        <w:t>具有健康的身体和良好的心理素质。</w:t>
      </w:r>
    </w:p>
    <w:p w14:paraId="174EEEB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b/>
          <w:bCs/>
          <w:sz w:val="24"/>
          <w:szCs w:val="24"/>
        </w:rPr>
      </w:pPr>
      <w:r>
        <w:rPr>
          <w:rFonts w:ascii="宋体" w:hAnsi="宋体" w:cs="宋体"/>
          <w:sz w:val="24"/>
          <w:szCs w:val="24"/>
        </w:rPr>
        <w:t xml:space="preserve">6. </w:t>
      </w:r>
      <w:r>
        <w:rPr>
          <w:rFonts w:hint="eastAsia" w:ascii="宋体" w:hAnsi="宋体" w:cs="宋体"/>
          <w:sz w:val="24"/>
          <w:szCs w:val="24"/>
        </w:rPr>
        <w:t>培养德智体美劳全面发展的社会主义事业接班人。</w:t>
      </w:r>
    </w:p>
    <w:p w14:paraId="0E6EE68B">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sz w:val="28"/>
          <w:szCs w:val="28"/>
        </w:rPr>
      </w:pPr>
      <w:r>
        <w:rPr>
          <w:rFonts w:hint="eastAsia" w:eastAsia="黑体" w:cs="黑体"/>
          <w:sz w:val="28"/>
          <w:szCs w:val="28"/>
        </w:rPr>
        <w:t>六、培养方式</w:t>
      </w:r>
    </w:p>
    <w:p w14:paraId="7214B8C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w:t>
      </w:r>
      <w:r>
        <w:rPr>
          <w:rFonts w:hint="eastAsia" w:ascii="宋体" w:hAnsi="宋体" w:cs="宋体"/>
          <w:sz w:val="24"/>
          <w:szCs w:val="24"/>
        </w:rPr>
        <w:t>硕士研究生培养实行导师具体负责与集体培养相结合，充分发挥学科综合优势和学术群体作用。其中，硕士生导师负责对硕士研究生的思想政治教育、学术训练和学位论文撰写等方面的具体指导工作，导师组对硕士研究生的人才培养方案制定和实施、学位论文质量监控等负有组织和监督职责。</w:t>
      </w:r>
    </w:p>
    <w:p w14:paraId="2E8A728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2.硕士研究生采用以学生为中心、以问题为导向、以任务为驱动的研究型教学方式，充分发挥硕士研究生在课程学习中的主动性和自觉性。</w:t>
      </w:r>
    </w:p>
    <w:p w14:paraId="261FBF5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rPr>
        <w:t>3.硕士研究生在学期间应加强学术训练。学院鼓励硕士研究生进行高水平的科学研究，发表高水平的科研成果，并为硕士研究生参加境内外的学术交流活动提供支持。</w:t>
      </w:r>
    </w:p>
    <w:p w14:paraId="3C5B31BE">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sz w:val="28"/>
          <w:szCs w:val="28"/>
        </w:rPr>
      </w:pPr>
      <w:r>
        <w:rPr>
          <w:rFonts w:hint="eastAsia" w:eastAsia="黑体" w:cs="黑体"/>
          <w:sz w:val="28"/>
          <w:szCs w:val="28"/>
        </w:rPr>
        <w:t>七、中期筛选</w:t>
      </w:r>
    </w:p>
    <w:p w14:paraId="7185FD4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bookmarkStart w:id="0" w:name="_Toc59002625"/>
      <w:r>
        <w:rPr>
          <w:rFonts w:hint="eastAsia" w:cs="宋体"/>
          <w:sz w:val="24"/>
          <w:szCs w:val="24"/>
        </w:rPr>
        <w:t>在完成培养方案规定的课程学习、考核成绩合格、获得规定的学分后，</w:t>
      </w:r>
      <w:bookmarkEnd w:id="0"/>
      <w:r>
        <w:rPr>
          <w:rFonts w:hint="eastAsia" w:cs="宋体"/>
          <w:sz w:val="24"/>
          <w:szCs w:val="24"/>
        </w:rPr>
        <w:t>按照《河北大学研究生中期筛选管理办法》（校政字〔</w:t>
      </w:r>
      <w:r>
        <w:rPr>
          <w:sz w:val="24"/>
          <w:szCs w:val="24"/>
        </w:rPr>
        <w:t>2021</w:t>
      </w:r>
      <w:r>
        <w:rPr>
          <w:rFonts w:hint="eastAsia" w:cs="宋体"/>
          <w:sz w:val="24"/>
          <w:szCs w:val="24"/>
        </w:rPr>
        <w:t>〕</w:t>
      </w:r>
      <w:r>
        <w:rPr>
          <w:sz w:val="24"/>
          <w:szCs w:val="24"/>
        </w:rPr>
        <w:t>15</w:t>
      </w:r>
      <w:r>
        <w:rPr>
          <w:rFonts w:hint="eastAsia" w:cs="宋体"/>
          <w:sz w:val="24"/>
          <w:szCs w:val="24"/>
        </w:rPr>
        <w:t>号）的相关规定，组织开展中期筛选工作。</w:t>
      </w:r>
    </w:p>
    <w:p w14:paraId="793E35ED">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sz w:val="28"/>
          <w:szCs w:val="28"/>
        </w:rPr>
      </w:pPr>
      <w:r>
        <w:rPr>
          <w:rFonts w:hint="eastAsia" w:eastAsia="黑体" w:cs="黑体"/>
          <w:sz w:val="28"/>
          <w:szCs w:val="28"/>
        </w:rPr>
        <w:t>八、学位（毕业）论文</w:t>
      </w:r>
    </w:p>
    <w:p w14:paraId="230F181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sz w:val="24"/>
          <w:szCs w:val="24"/>
        </w:rPr>
      </w:pPr>
      <w:r>
        <w:rPr>
          <w:color w:val="222222"/>
          <w:kern w:val="0"/>
          <w:sz w:val="24"/>
          <w:szCs w:val="24"/>
        </w:rPr>
        <w:t>1.</w:t>
      </w:r>
      <w:r>
        <w:rPr>
          <w:rFonts w:hint="eastAsia" w:cs="宋体"/>
          <w:color w:val="222222"/>
          <w:kern w:val="0"/>
          <w:sz w:val="24"/>
          <w:szCs w:val="24"/>
        </w:rPr>
        <w:t>总体要求：</w:t>
      </w:r>
      <w:r>
        <w:rPr>
          <w:rFonts w:hint="eastAsia" w:cs="宋体"/>
          <w:color w:val="000000"/>
          <w:kern w:val="0"/>
          <w:sz w:val="24"/>
          <w:szCs w:val="24"/>
        </w:rPr>
        <w:t>按照《河北大学关于开展</w:t>
      </w:r>
      <w:r>
        <w:rPr>
          <w:color w:val="000000"/>
          <w:kern w:val="0"/>
          <w:sz w:val="24"/>
          <w:szCs w:val="24"/>
        </w:rPr>
        <w:t>2025</w:t>
      </w:r>
      <w:r>
        <w:rPr>
          <w:rFonts w:hint="eastAsia" w:cs="宋体"/>
          <w:color w:val="000000"/>
          <w:kern w:val="0"/>
          <w:sz w:val="24"/>
          <w:szCs w:val="24"/>
        </w:rPr>
        <w:t>版研究生培养方案修订工作的指导意见》（校政字〔2025〕*号）规定，硕士研究生论文开题与答辩时间间隔原则上不少于</w:t>
      </w:r>
      <w:r>
        <w:rPr>
          <w:color w:val="000000"/>
          <w:kern w:val="0"/>
          <w:sz w:val="24"/>
          <w:szCs w:val="24"/>
        </w:rPr>
        <w:t>12</w:t>
      </w:r>
      <w:r>
        <w:rPr>
          <w:rFonts w:hint="eastAsia" w:cs="宋体"/>
          <w:color w:val="000000"/>
          <w:kern w:val="0"/>
          <w:sz w:val="24"/>
          <w:szCs w:val="24"/>
        </w:rPr>
        <w:t>个月。</w:t>
      </w:r>
      <w:r>
        <w:rPr>
          <w:rFonts w:hint="eastAsia" w:ascii="宋体" w:hAnsi="宋体" w:cs="宋体"/>
          <w:sz w:val="24"/>
          <w:szCs w:val="24"/>
        </w:rPr>
        <w:t>法学硕士研究生必须在导师指导下独立完成学位（毕业）论文，应严格遵守学术规范与学术标准，论文字数应不低于</w:t>
      </w:r>
      <w:r>
        <w:rPr>
          <w:rFonts w:ascii="宋体" w:hAnsi="宋体" w:cs="宋体"/>
          <w:sz w:val="24"/>
          <w:szCs w:val="24"/>
        </w:rPr>
        <w:t>3</w:t>
      </w:r>
      <w:r>
        <w:rPr>
          <w:rFonts w:hint="eastAsia" w:ascii="宋体" w:hAnsi="宋体" w:cs="宋体"/>
          <w:sz w:val="24"/>
          <w:szCs w:val="24"/>
        </w:rPr>
        <w:t>万字。学位论文选题限于本专业范围以内，在七个研究方向内选定题目，学位（毕业）论文应表明作者较好地掌握了本学科的基础理论、专门知识和基本技能，选题的内容要紧密结合国内外法学理论发展和研究的实际状况，研究和解决实践和理论方面的重要问题或突出问题。鼓励硕士研究生参与科学研究，取得创新性成果。</w:t>
      </w:r>
    </w:p>
    <w:p w14:paraId="0811701C">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sz w:val="24"/>
          <w:szCs w:val="24"/>
        </w:rPr>
      </w:pPr>
      <w:r>
        <w:rPr>
          <w:color w:val="222222"/>
          <w:kern w:val="0"/>
          <w:sz w:val="24"/>
          <w:szCs w:val="24"/>
        </w:rPr>
        <w:t>2.</w:t>
      </w:r>
      <w:r>
        <w:rPr>
          <w:rFonts w:hint="eastAsia" w:cs="宋体"/>
          <w:color w:val="222222"/>
          <w:kern w:val="0"/>
          <w:sz w:val="24"/>
          <w:szCs w:val="24"/>
        </w:rPr>
        <w:t>开题：</w:t>
      </w:r>
      <w:r>
        <w:rPr>
          <w:rFonts w:hint="eastAsia" w:ascii="宋体" w:hAnsi="宋体" w:cs="宋体"/>
          <w:sz w:val="24"/>
          <w:szCs w:val="24"/>
        </w:rPr>
        <w:t>开题是研究生培养过程中开展学位（毕业）论文工作的首要环节，法学硕士研究生应充分阅读国内外相关文献，撰写开题报告。开题报告应包含文献综述、论文选题依据、研究方案、预期目标与成果、工作计划等关键问题。</w:t>
      </w:r>
    </w:p>
    <w:p w14:paraId="7ABBB46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sz w:val="24"/>
          <w:szCs w:val="24"/>
        </w:rPr>
      </w:pPr>
      <w:r>
        <w:rPr>
          <w:rFonts w:hint="eastAsia" w:ascii="宋体" w:hAnsi="宋体" w:cs="宋体"/>
          <w:sz w:val="24"/>
          <w:szCs w:val="24"/>
        </w:rPr>
        <w:t>法学硕士学位（毕业）论文的选题应密切结合学科发展、经济社会发展的需要，原则上在入学后第</w:t>
      </w:r>
      <w:r>
        <w:rPr>
          <w:rFonts w:ascii="宋体" w:hAnsi="宋体" w:cs="宋体"/>
          <w:sz w:val="24"/>
          <w:szCs w:val="24"/>
        </w:rPr>
        <w:t>3</w:t>
      </w:r>
      <w:r>
        <w:rPr>
          <w:rFonts w:hint="eastAsia" w:ascii="宋体" w:hAnsi="宋体" w:cs="宋体"/>
          <w:sz w:val="24"/>
          <w:szCs w:val="24"/>
        </w:rPr>
        <w:t>学期（最迟不超过第</w:t>
      </w:r>
      <w:r>
        <w:rPr>
          <w:rFonts w:ascii="宋体" w:hAnsi="宋体" w:cs="宋体"/>
          <w:sz w:val="24"/>
          <w:szCs w:val="24"/>
        </w:rPr>
        <w:t>4</w:t>
      </w:r>
      <w:r>
        <w:rPr>
          <w:rFonts w:hint="eastAsia" w:ascii="宋体" w:hAnsi="宋体" w:cs="宋体"/>
          <w:sz w:val="24"/>
          <w:szCs w:val="24"/>
        </w:rPr>
        <w:t>学期）完成开题。开题由</w:t>
      </w:r>
      <w:r>
        <w:rPr>
          <w:rFonts w:ascii="宋体" w:hAnsi="宋体" w:cs="宋体"/>
          <w:sz w:val="24"/>
          <w:szCs w:val="24"/>
        </w:rPr>
        <w:t>3-5</w:t>
      </w:r>
      <w:r>
        <w:rPr>
          <w:rFonts w:hint="eastAsia" w:ascii="宋体" w:hAnsi="宋体" w:cs="宋体"/>
          <w:sz w:val="24"/>
          <w:szCs w:val="24"/>
        </w:rPr>
        <w:t>名具有高级专业技术职务人员参加，以学术报告的方式进行。</w:t>
      </w:r>
    </w:p>
    <w:p w14:paraId="7B8F896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sz w:val="24"/>
          <w:szCs w:val="24"/>
        </w:rPr>
      </w:pPr>
      <w:r>
        <w:rPr>
          <w:color w:val="222222"/>
          <w:kern w:val="0"/>
          <w:sz w:val="24"/>
          <w:szCs w:val="24"/>
        </w:rPr>
        <w:t>3.</w:t>
      </w:r>
      <w:r>
        <w:rPr>
          <w:rFonts w:hint="eastAsia" w:cs="宋体"/>
          <w:color w:val="222222"/>
          <w:kern w:val="0"/>
          <w:sz w:val="24"/>
          <w:szCs w:val="24"/>
        </w:rPr>
        <w:t>中期进展报告：</w:t>
      </w:r>
      <w:r>
        <w:rPr>
          <w:rFonts w:hint="eastAsia" w:ascii="宋体" w:hAnsi="宋体" w:cs="宋体"/>
          <w:sz w:val="24"/>
          <w:szCs w:val="24"/>
        </w:rPr>
        <w:t>中期进展报告是检查法学硕士研究生个人综合能力及学位论文进展、指导研究生把握学位（毕业）论文方向、提高学位（毕业）论文质量的必要环节。中期进展报告原则上应在入学后第</w:t>
      </w:r>
      <w:r>
        <w:rPr>
          <w:rFonts w:ascii="宋体" w:hAnsi="宋体" w:cs="宋体"/>
          <w:sz w:val="24"/>
          <w:szCs w:val="24"/>
        </w:rPr>
        <w:t>5</w:t>
      </w:r>
      <w:r>
        <w:rPr>
          <w:rFonts w:hint="eastAsia" w:ascii="宋体" w:hAnsi="宋体" w:cs="宋体"/>
          <w:sz w:val="24"/>
          <w:szCs w:val="24"/>
        </w:rPr>
        <w:t>学期进行；各导师组自行制定中期考核办法并组织考核。</w:t>
      </w:r>
    </w:p>
    <w:p w14:paraId="6E9DF66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sz w:val="24"/>
          <w:szCs w:val="24"/>
        </w:rPr>
      </w:pPr>
      <w:r>
        <w:rPr>
          <w:color w:val="222222"/>
          <w:kern w:val="0"/>
          <w:sz w:val="24"/>
          <w:szCs w:val="24"/>
        </w:rPr>
        <w:t>4.</w:t>
      </w:r>
      <w:r>
        <w:rPr>
          <w:rFonts w:hint="eastAsia" w:cs="宋体"/>
          <w:color w:val="222222"/>
          <w:kern w:val="0"/>
          <w:sz w:val="24"/>
          <w:szCs w:val="24"/>
        </w:rPr>
        <w:t>学位申请：</w:t>
      </w:r>
      <w:r>
        <w:rPr>
          <w:rFonts w:hint="eastAsia" w:ascii="宋体" w:hAnsi="宋体" w:cs="宋体"/>
          <w:sz w:val="24"/>
          <w:szCs w:val="24"/>
        </w:rPr>
        <w:t>达到学位授予条件的申请人，经导师同意后，应于答辩前三个月，向法学院学位评定分委员会提出学位申请，提交学位申请材料。</w:t>
      </w:r>
    </w:p>
    <w:p w14:paraId="4C45DC0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sz w:val="24"/>
          <w:szCs w:val="24"/>
        </w:rPr>
      </w:pPr>
      <w:r>
        <w:rPr>
          <w:color w:val="222222"/>
          <w:kern w:val="0"/>
          <w:sz w:val="24"/>
          <w:szCs w:val="24"/>
        </w:rPr>
        <w:t>5.</w:t>
      </w:r>
      <w:r>
        <w:rPr>
          <w:rFonts w:hint="eastAsia" w:cs="宋体"/>
          <w:color w:val="222222"/>
          <w:kern w:val="0"/>
          <w:sz w:val="24"/>
          <w:szCs w:val="24"/>
        </w:rPr>
        <w:t>预答辩：</w:t>
      </w:r>
      <w:r>
        <w:rPr>
          <w:rFonts w:hint="eastAsia" w:ascii="宋体" w:hAnsi="宋体" w:cs="宋体"/>
          <w:sz w:val="24"/>
          <w:szCs w:val="24"/>
        </w:rPr>
        <w:t>学位申请人须进行学位论文预答辩，由各导师组对论文初稿进行全面、细致、充分的预审。预答辩通过者，方可进入学位论文评阅、学位论文答辩等环节。学位（毕业）论文预答辩应在正式答辩前</w:t>
      </w:r>
      <w:r>
        <w:rPr>
          <w:rFonts w:ascii="宋体" w:hAnsi="宋体" w:cs="宋体"/>
          <w:sz w:val="24"/>
          <w:szCs w:val="24"/>
        </w:rPr>
        <w:t>3</w:t>
      </w:r>
      <w:r>
        <w:rPr>
          <w:rFonts w:hint="eastAsia" w:ascii="宋体" w:hAnsi="宋体" w:cs="宋体"/>
          <w:sz w:val="24"/>
          <w:szCs w:val="24"/>
        </w:rPr>
        <w:t>个月进行。</w:t>
      </w:r>
    </w:p>
    <w:p w14:paraId="2CA71D6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color w:val="222222"/>
          <w:kern w:val="0"/>
          <w:sz w:val="24"/>
          <w:szCs w:val="24"/>
        </w:rPr>
      </w:pPr>
      <w:r>
        <w:rPr>
          <w:color w:val="222222"/>
          <w:kern w:val="0"/>
          <w:sz w:val="24"/>
          <w:szCs w:val="24"/>
        </w:rPr>
        <w:t>6.</w:t>
      </w:r>
      <w:r>
        <w:rPr>
          <w:rFonts w:hint="eastAsia" w:cs="宋体"/>
          <w:color w:val="222222"/>
          <w:kern w:val="0"/>
          <w:sz w:val="24"/>
          <w:szCs w:val="24"/>
        </w:rPr>
        <w:t>论文评阅：</w:t>
      </w:r>
      <w:r>
        <w:rPr>
          <w:rFonts w:hint="eastAsia" w:ascii="宋体" w:hAnsi="宋体" w:cs="宋体"/>
          <w:sz w:val="24"/>
          <w:szCs w:val="24"/>
        </w:rPr>
        <w:t>学位（毕业）论文在获得导师组认可，经法学院形式审查合格，并通过预答辩，方可提出进入评阅程序的申请。论文评阅在正式答辩前</w:t>
      </w:r>
      <w:r>
        <w:rPr>
          <w:rFonts w:ascii="宋体" w:hAnsi="宋体" w:cs="宋体"/>
          <w:sz w:val="24"/>
          <w:szCs w:val="24"/>
        </w:rPr>
        <w:t>40</w:t>
      </w:r>
      <w:r>
        <w:rPr>
          <w:rFonts w:hint="eastAsia" w:ascii="宋体" w:hAnsi="宋体" w:cs="宋体"/>
          <w:sz w:val="24"/>
          <w:szCs w:val="24"/>
        </w:rPr>
        <w:t>天由研究生提出，由法学院依据相关规定进行匿名评审。</w:t>
      </w:r>
      <w:r>
        <w:rPr>
          <w:rFonts w:hint="eastAsia" w:cs="宋体"/>
          <w:color w:val="222222"/>
          <w:kern w:val="0"/>
          <w:sz w:val="24"/>
          <w:szCs w:val="24"/>
        </w:rPr>
        <w:t>评阅结果及异议处理按照《河北大学研究生学位论文或者实践成果评审管理办法》（校政字〔</w:t>
      </w:r>
      <w:r>
        <w:rPr>
          <w:color w:val="222222"/>
          <w:kern w:val="0"/>
          <w:sz w:val="24"/>
          <w:szCs w:val="24"/>
        </w:rPr>
        <w:t>2025</w:t>
      </w:r>
      <w:r>
        <w:rPr>
          <w:rFonts w:hint="eastAsia" w:cs="宋体"/>
          <w:color w:val="222222"/>
          <w:kern w:val="0"/>
          <w:sz w:val="24"/>
          <w:szCs w:val="24"/>
        </w:rPr>
        <w:t>〕</w:t>
      </w:r>
      <w:r>
        <w:rPr>
          <w:color w:val="222222"/>
          <w:kern w:val="0"/>
          <w:sz w:val="24"/>
          <w:szCs w:val="24"/>
        </w:rPr>
        <w:t>8</w:t>
      </w:r>
      <w:r>
        <w:rPr>
          <w:rFonts w:hint="eastAsia" w:cs="宋体"/>
          <w:color w:val="222222"/>
          <w:kern w:val="0"/>
          <w:sz w:val="24"/>
          <w:szCs w:val="24"/>
        </w:rPr>
        <w:t>号）执行。</w:t>
      </w:r>
    </w:p>
    <w:p w14:paraId="2A61E30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i/>
          <w:iCs/>
          <w:color w:val="FF0000"/>
          <w:sz w:val="24"/>
          <w:szCs w:val="24"/>
        </w:rPr>
      </w:pPr>
      <w:r>
        <w:rPr>
          <w:color w:val="222222"/>
          <w:kern w:val="0"/>
          <w:sz w:val="24"/>
          <w:szCs w:val="24"/>
        </w:rPr>
        <w:t>7.</w:t>
      </w:r>
      <w:r>
        <w:rPr>
          <w:rFonts w:hint="eastAsia" w:cs="宋体"/>
          <w:color w:val="222222"/>
          <w:kern w:val="0"/>
          <w:sz w:val="24"/>
          <w:szCs w:val="24"/>
        </w:rPr>
        <w:t>答辩：学位（毕业）论文答辩按照《河北大学博士、硕士学位授予工作实施细则》（校政字〔</w:t>
      </w:r>
      <w:r>
        <w:rPr>
          <w:color w:val="222222"/>
          <w:kern w:val="0"/>
          <w:sz w:val="24"/>
          <w:szCs w:val="24"/>
        </w:rPr>
        <w:t>2025</w:t>
      </w:r>
      <w:r>
        <w:rPr>
          <w:rFonts w:hint="eastAsia" w:cs="宋体"/>
          <w:color w:val="222222"/>
          <w:kern w:val="0"/>
          <w:sz w:val="24"/>
          <w:szCs w:val="24"/>
        </w:rPr>
        <w:t>〕</w:t>
      </w:r>
      <w:r>
        <w:rPr>
          <w:color w:val="222222"/>
          <w:kern w:val="0"/>
          <w:sz w:val="24"/>
          <w:szCs w:val="24"/>
        </w:rPr>
        <w:t>7</w:t>
      </w:r>
      <w:r>
        <w:rPr>
          <w:rFonts w:hint="eastAsia" w:cs="宋体"/>
          <w:color w:val="222222"/>
          <w:kern w:val="0"/>
          <w:sz w:val="24"/>
          <w:szCs w:val="24"/>
        </w:rPr>
        <w:t>号）执行。</w:t>
      </w:r>
    </w:p>
    <w:p w14:paraId="673A9ED3">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sz w:val="28"/>
          <w:szCs w:val="28"/>
        </w:rPr>
      </w:pPr>
      <w:r>
        <w:rPr>
          <w:rFonts w:hint="eastAsia" w:eastAsia="黑体" w:cs="黑体"/>
          <w:sz w:val="28"/>
          <w:szCs w:val="28"/>
        </w:rPr>
        <w:t>九、毕业条件</w:t>
      </w:r>
    </w:p>
    <w:p w14:paraId="7BB8770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 xml:space="preserve">1. </w:t>
      </w:r>
      <w:r>
        <w:rPr>
          <w:rFonts w:hint="eastAsia" w:cs="宋体"/>
          <w:sz w:val="24"/>
          <w:szCs w:val="24"/>
        </w:rPr>
        <w:t>课程学习。研究生在规定修业年限内完成培养方案规定的课程学习，考核成绩合格，获得规定的学分。</w:t>
      </w:r>
    </w:p>
    <w:p w14:paraId="7613E16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color w:val="000000"/>
          <w:sz w:val="24"/>
          <w:szCs w:val="24"/>
        </w:rPr>
      </w:pPr>
      <w:r>
        <w:rPr>
          <w:sz w:val="24"/>
          <w:szCs w:val="24"/>
        </w:rPr>
        <w:t xml:space="preserve">2. </w:t>
      </w:r>
      <w:r>
        <w:rPr>
          <w:rFonts w:hint="eastAsia" w:cs="宋体"/>
          <w:sz w:val="24"/>
          <w:szCs w:val="24"/>
        </w:rPr>
        <w:t>学术活动。研究生</w:t>
      </w:r>
      <w:r>
        <w:rPr>
          <w:rFonts w:hint="eastAsia" w:cs="宋体"/>
          <w:color w:val="000000"/>
          <w:sz w:val="24"/>
          <w:szCs w:val="24"/>
        </w:rPr>
        <w:t>在读期间参加不少于</w:t>
      </w:r>
      <w:r>
        <w:rPr>
          <w:color w:val="000000"/>
          <w:sz w:val="24"/>
          <w:szCs w:val="24"/>
        </w:rPr>
        <w:t>10</w:t>
      </w:r>
      <w:r>
        <w:rPr>
          <w:rFonts w:hint="eastAsia" w:cs="宋体"/>
          <w:color w:val="000000"/>
          <w:sz w:val="24"/>
          <w:szCs w:val="24"/>
        </w:rPr>
        <w:t>次学术活动，并撰写学术报告小结；以主讲人或宣讲人身份，参加在校内外举行的学术报告或学术讲座不少于</w:t>
      </w:r>
      <w:r>
        <w:rPr>
          <w:color w:val="000000"/>
          <w:sz w:val="24"/>
          <w:szCs w:val="24"/>
        </w:rPr>
        <w:t>1</w:t>
      </w:r>
      <w:r>
        <w:rPr>
          <w:rFonts w:hint="eastAsia" w:cs="宋体"/>
          <w:color w:val="000000"/>
          <w:sz w:val="24"/>
          <w:szCs w:val="24"/>
        </w:rPr>
        <w:t>次。</w:t>
      </w:r>
    </w:p>
    <w:p w14:paraId="51AF121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color w:val="000000"/>
          <w:sz w:val="24"/>
          <w:szCs w:val="24"/>
        </w:rPr>
        <w:t xml:space="preserve">3. </w:t>
      </w:r>
      <w:r>
        <w:rPr>
          <w:rFonts w:hint="eastAsia" w:cs="宋体"/>
          <w:color w:val="000000"/>
          <w:sz w:val="24"/>
          <w:szCs w:val="24"/>
        </w:rPr>
        <w:t>符合提前毕业条件的研究生，可按照学校相关规定</w:t>
      </w:r>
      <w:r>
        <w:rPr>
          <w:rFonts w:hint="eastAsia" w:cs="宋体"/>
          <w:sz w:val="24"/>
          <w:szCs w:val="24"/>
        </w:rPr>
        <w:t>申请</w:t>
      </w:r>
      <w:r>
        <w:rPr>
          <w:rFonts w:hint="eastAsia" w:cs="宋体"/>
          <w:color w:val="000000"/>
          <w:sz w:val="24"/>
          <w:szCs w:val="24"/>
        </w:rPr>
        <w:t>提前毕业。</w:t>
      </w:r>
    </w:p>
    <w:p w14:paraId="45A0068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 xml:space="preserve">4. </w:t>
      </w:r>
      <w:r>
        <w:rPr>
          <w:rFonts w:hint="eastAsia" w:cs="宋体"/>
          <w:sz w:val="24"/>
          <w:szCs w:val="24"/>
        </w:rPr>
        <w:t>论文答辩。学位（毕业）论文经专家评审合格、通过学位（毕业）答辩，符合毕业资格审查后，准予毕业。</w:t>
      </w:r>
    </w:p>
    <w:p w14:paraId="2855EF5F">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i/>
          <w:iCs/>
          <w:color w:val="FF0000"/>
          <w:sz w:val="24"/>
          <w:szCs w:val="24"/>
        </w:rPr>
      </w:pPr>
      <w:r>
        <w:rPr>
          <w:rFonts w:hint="eastAsia" w:eastAsia="黑体" w:cs="黑体"/>
          <w:sz w:val="28"/>
          <w:szCs w:val="28"/>
        </w:rPr>
        <w:t>十、创新性成果</w:t>
      </w:r>
    </w:p>
    <w:p w14:paraId="3FAFA9F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 xml:space="preserve">1. </w:t>
      </w:r>
      <w:r>
        <w:rPr>
          <w:rFonts w:hint="eastAsia" w:cs="宋体"/>
          <w:sz w:val="24"/>
          <w:szCs w:val="24"/>
        </w:rPr>
        <w:t>鼓励硕士研究生参与科学研究，取得创新性成果。取得的创新性成果可为学术论文、专著、智库报告、科研项目、科研奖励等多种形式。</w:t>
      </w:r>
    </w:p>
    <w:p w14:paraId="3CAEE7B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cs="宋体"/>
          <w:sz w:val="24"/>
          <w:szCs w:val="24"/>
        </w:rPr>
        <w:t>鼓励研究生在省级报刊杂志、中文核心期刊或</w:t>
      </w:r>
      <w:r>
        <w:rPr>
          <w:sz w:val="24"/>
          <w:szCs w:val="24"/>
        </w:rPr>
        <w:t>CSSCI</w:t>
      </w:r>
      <w:r>
        <w:rPr>
          <w:rFonts w:hint="eastAsia" w:cs="宋体"/>
          <w:sz w:val="24"/>
          <w:szCs w:val="24"/>
        </w:rPr>
        <w:t>期刊扩展版及其以上报刊公开发表学术论文。</w:t>
      </w:r>
    </w:p>
    <w:p w14:paraId="1BE28E1A">
      <w:pPr>
        <w:keepNext w:val="0"/>
        <w:keepLines w:val="0"/>
        <w:pageBreakBefore w:val="0"/>
        <w:numPr>
          <w:ilvl w:val="0"/>
          <w:numId w:val="1"/>
        </w:numPr>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cs="宋体"/>
          <w:sz w:val="24"/>
          <w:szCs w:val="24"/>
        </w:rPr>
        <w:t>在</w:t>
      </w:r>
      <w:r>
        <w:rPr>
          <w:sz w:val="24"/>
          <w:szCs w:val="24"/>
        </w:rPr>
        <w:t>CSSCI</w:t>
      </w:r>
      <w:r>
        <w:rPr>
          <w:rFonts w:hint="eastAsia" w:cs="宋体"/>
          <w:sz w:val="24"/>
          <w:szCs w:val="24"/>
        </w:rPr>
        <w:t>来源期刊公开发表</w:t>
      </w:r>
      <w:r>
        <w:rPr>
          <w:sz w:val="24"/>
          <w:szCs w:val="24"/>
        </w:rPr>
        <w:t>1</w:t>
      </w:r>
      <w:r>
        <w:rPr>
          <w:rFonts w:hint="eastAsia" w:cs="宋体"/>
          <w:sz w:val="24"/>
          <w:szCs w:val="24"/>
        </w:rPr>
        <w:t>篇以上学术论文的，其学位论文可以按照学校规定不参加学院组织的学位论文双盲评审。</w:t>
      </w:r>
    </w:p>
    <w:p w14:paraId="148A92F6">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sz w:val="28"/>
          <w:szCs w:val="28"/>
        </w:rPr>
      </w:pPr>
      <w:r>
        <w:rPr>
          <w:rFonts w:hint="eastAsia" w:eastAsia="黑体" w:cs="黑体"/>
          <w:sz w:val="28"/>
          <w:szCs w:val="28"/>
        </w:rPr>
        <w:t>十一、学位授予</w:t>
      </w:r>
    </w:p>
    <w:p w14:paraId="440F45B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cs="宋体"/>
          <w:color w:val="000000"/>
          <w:sz w:val="24"/>
          <w:szCs w:val="24"/>
        </w:rPr>
        <w:t>研究生通过毕业资格审查，</w:t>
      </w:r>
      <w:r>
        <w:rPr>
          <w:rFonts w:hint="eastAsia" w:cs="宋体"/>
          <w:color w:val="222222"/>
          <w:kern w:val="0"/>
          <w:sz w:val="24"/>
          <w:szCs w:val="24"/>
        </w:rPr>
        <w:t>满</w:t>
      </w:r>
      <w:r>
        <w:rPr>
          <w:rFonts w:hint="eastAsia" w:cs="宋体"/>
          <w:sz w:val="24"/>
          <w:szCs w:val="24"/>
        </w:rPr>
        <w:t>足本学院制定的</w:t>
      </w:r>
      <w:r>
        <w:rPr>
          <w:rFonts w:hint="eastAsia" w:cs="宋体"/>
          <w:color w:val="222222"/>
          <w:kern w:val="0"/>
          <w:sz w:val="24"/>
          <w:szCs w:val="24"/>
        </w:rPr>
        <w:t>创新性成果要求，</w:t>
      </w:r>
      <w:r>
        <w:rPr>
          <w:rFonts w:hint="eastAsia" w:cs="宋体"/>
          <w:sz w:val="24"/>
          <w:szCs w:val="24"/>
        </w:rPr>
        <w:t>符合</w:t>
      </w:r>
      <w:r>
        <w:rPr>
          <w:rFonts w:hint="eastAsia" w:cs="宋体"/>
          <w:color w:val="222222"/>
          <w:kern w:val="0"/>
          <w:sz w:val="24"/>
          <w:szCs w:val="24"/>
        </w:rPr>
        <w:t>《河北大学博士、硕士学位授予工作实施细则》（校政字〔</w:t>
      </w:r>
      <w:r>
        <w:rPr>
          <w:color w:val="222222"/>
          <w:kern w:val="0"/>
          <w:sz w:val="24"/>
          <w:szCs w:val="24"/>
        </w:rPr>
        <w:t>2025</w:t>
      </w:r>
      <w:r>
        <w:rPr>
          <w:rFonts w:hint="eastAsia" w:cs="宋体"/>
          <w:color w:val="222222"/>
          <w:kern w:val="0"/>
          <w:sz w:val="24"/>
          <w:szCs w:val="24"/>
        </w:rPr>
        <w:t>〕</w:t>
      </w:r>
      <w:r>
        <w:rPr>
          <w:color w:val="222222"/>
          <w:kern w:val="0"/>
          <w:sz w:val="24"/>
          <w:szCs w:val="24"/>
        </w:rPr>
        <w:t>7</w:t>
      </w:r>
      <w:r>
        <w:rPr>
          <w:rFonts w:hint="eastAsia" w:cs="宋体"/>
          <w:color w:val="222222"/>
          <w:kern w:val="0"/>
          <w:sz w:val="24"/>
          <w:szCs w:val="24"/>
        </w:rPr>
        <w:t>号）</w:t>
      </w:r>
      <w:r>
        <w:rPr>
          <w:rFonts w:hint="eastAsia" w:cs="宋体"/>
          <w:sz w:val="24"/>
          <w:szCs w:val="24"/>
        </w:rPr>
        <w:t>的有关规定，达到学校学位授予标准，经学校学位评定委员会审议，授予硕士学位。</w:t>
      </w:r>
    </w:p>
    <w:p w14:paraId="5CD5BE7D">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sz w:val="28"/>
          <w:szCs w:val="28"/>
        </w:rPr>
      </w:pPr>
      <w:r>
        <w:rPr>
          <w:rFonts w:hint="eastAsia" w:eastAsia="黑体" w:cs="黑体"/>
          <w:sz w:val="28"/>
          <w:szCs w:val="28"/>
        </w:rPr>
        <w:t>十二、学分及课程设置</w:t>
      </w:r>
    </w:p>
    <w:p w14:paraId="1438C8B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cs="宋体"/>
          <w:sz w:val="24"/>
          <w:szCs w:val="24"/>
        </w:rPr>
        <w:t>本专业最低毕业学分为</w:t>
      </w:r>
      <w:r>
        <w:rPr>
          <w:sz w:val="24"/>
          <w:szCs w:val="24"/>
        </w:rPr>
        <w:t>28</w:t>
      </w:r>
      <w:r>
        <w:rPr>
          <w:rFonts w:hint="eastAsia" w:cs="宋体"/>
          <w:sz w:val="24"/>
          <w:szCs w:val="24"/>
        </w:rPr>
        <w:t>分，其中学位课</w:t>
      </w:r>
      <w:r>
        <w:rPr>
          <w:sz w:val="24"/>
          <w:szCs w:val="24"/>
        </w:rPr>
        <w:t>15</w:t>
      </w:r>
      <w:r>
        <w:rPr>
          <w:rFonts w:hint="eastAsia" w:cs="宋体"/>
          <w:sz w:val="24"/>
          <w:szCs w:val="24"/>
        </w:rPr>
        <w:t>学分，非学位课</w:t>
      </w:r>
      <w:r>
        <w:rPr>
          <w:sz w:val="24"/>
          <w:szCs w:val="24"/>
        </w:rPr>
        <w:t>12</w:t>
      </w:r>
      <w:r>
        <w:rPr>
          <w:rFonts w:hint="eastAsia" w:cs="宋体"/>
          <w:sz w:val="24"/>
          <w:szCs w:val="24"/>
        </w:rPr>
        <w:t>学分，必修环节</w:t>
      </w:r>
      <w:r>
        <w:rPr>
          <w:sz w:val="24"/>
          <w:szCs w:val="24"/>
        </w:rPr>
        <w:t>1</w:t>
      </w:r>
      <w:r>
        <w:rPr>
          <w:rFonts w:hint="eastAsia" w:cs="宋体"/>
          <w:sz w:val="24"/>
          <w:szCs w:val="24"/>
        </w:rPr>
        <w:t>学分。</w:t>
      </w:r>
    </w:p>
    <w:p w14:paraId="199F2C7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color w:val="000000"/>
          <w:sz w:val="24"/>
          <w:szCs w:val="24"/>
        </w:rPr>
      </w:pPr>
      <w:r>
        <w:rPr>
          <w:rFonts w:hint="eastAsia" w:cs="宋体"/>
          <w:color w:val="000000"/>
          <w:sz w:val="24"/>
          <w:szCs w:val="24"/>
        </w:rPr>
        <w:t>课程考试不设补考环节，考试成绩低于</w:t>
      </w:r>
      <w:r>
        <w:rPr>
          <w:color w:val="000000"/>
          <w:sz w:val="24"/>
          <w:szCs w:val="24"/>
        </w:rPr>
        <w:t>60</w:t>
      </w:r>
      <w:r>
        <w:rPr>
          <w:rFonts w:hint="eastAsia" w:cs="宋体"/>
          <w:color w:val="000000"/>
          <w:sz w:val="24"/>
          <w:szCs w:val="24"/>
        </w:rPr>
        <w:t>分的需重修。</w:t>
      </w:r>
    </w:p>
    <w:p w14:paraId="4326009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color w:val="000000"/>
          <w:sz w:val="24"/>
          <w:szCs w:val="24"/>
        </w:rPr>
      </w:pPr>
      <w:r>
        <w:rPr>
          <w:rFonts w:hint="eastAsia" w:cs="宋体"/>
          <w:color w:val="000000"/>
          <w:sz w:val="24"/>
          <w:szCs w:val="24"/>
        </w:rPr>
        <w:t>硕士生的课程考核按学校的有关规定执行，凡教学培养计划规定的研究生课程（包括必修课和选修课）都要进行考试或考查。课程考核方式包括考试和考查，可以采用笔试或论文等形式，但是学位课一般采用笔试的方式。无论采取何种考核方式，均应能真实反映学生对所学课程掌握的程度及运用知识的能力，成绩均按百分制成绩评定。</w:t>
      </w:r>
    </w:p>
    <w:p w14:paraId="2DC0BE8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b/>
          <w:bCs/>
          <w:sz w:val="24"/>
          <w:szCs w:val="24"/>
        </w:rPr>
      </w:pPr>
      <w:r>
        <w:rPr>
          <w:rFonts w:hint="eastAsia" w:cs="宋体"/>
          <w:b/>
          <w:bCs/>
          <w:sz w:val="24"/>
          <w:szCs w:val="24"/>
        </w:rPr>
        <w:t>经济法学专业学术学位硕士研究生课程及培养环节设置一览表</w:t>
      </w:r>
    </w:p>
    <w:tbl>
      <w:tblPr>
        <w:tblStyle w:val="12"/>
        <w:tblW w:w="9314"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028"/>
        <w:gridCol w:w="1504"/>
        <w:gridCol w:w="3238"/>
        <w:gridCol w:w="1081"/>
        <w:gridCol w:w="709"/>
        <w:gridCol w:w="709"/>
        <w:gridCol w:w="1045"/>
      </w:tblGrid>
      <w:tr w14:paraId="41E0259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2532" w:type="dxa"/>
            <w:gridSpan w:val="2"/>
            <w:tcBorders>
              <w:top w:val="single" w:color="auto" w:sz="12" w:space="0"/>
            </w:tcBorders>
            <w:vAlign w:val="center"/>
          </w:tcPr>
          <w:p w14:paraId="74FBA1D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rPr>
            </w:pPr>
            <w:r>
              <w:rPr>
                <w:rFonts w:hint="eastAsia" w:cs="宋体"/>
                <w:b/>
                <w:bCs/>
                <w:color w:val="auto"/>
              </w:rPr>
              <w:t>课程类别</w:t>
            </w:r>
          </w:p>
        </w:tc>
        <w:tc>
          <w:tcPr>
            <w:tcW w:w="3238" w:type="dxa"/>
            <w:tcBorders>
              <w:top w:val="single" w:color="auto" w:sz="12" w:space="0"/>
            </w:tcBorders>
            <w:vAlign w:val="center"/>
          </w:tcPr>
          <w:p w14:paraId="2ACEBC4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rPr>
            </w:pPr>
            <w:r>
              <w:rPr>
                <w:rFonts w:hint="eastAsia" w:cs="宋体"/>
                <w:b/>
                <w:bCs/>
                <w:color w:val="auto"/>
              </w:rPr>
              <w:t>课程说明</w:t>
            </w:r>
          </w:p>
        </w:tc>
        <w:tc>
          <w:tcPr>
            <w:tcW w:w="1081" w:type="dxa"/>
            <w:tcBorders>
              <w:top w:val="single" w:color="auto" w:sz="12" w:space="0"/>
            </w:tcBorders>
            <w:vAlign w:val="center"/>
          </w:tcPr>
          <w:p w14:paraId="176BCCF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rPr>
            </w:pPr>
            <w:r>
              <w:rPr>
                <w:rFonts w:hint="eastAsia" w:cs="宋体"/>
                <w:b/>
                <w:bCs/>
                <w:color w:val="auto"/>
              </w:rPr>
              <w:t>课程编号</w:t>
            </w:r>
          </w:p>
        </w:tc>
        <w:tc>
          <w:tcPr>
            <w:tcW w:w="709" w:type="dxa"/>
            <w:tcBorders>
              <w:top w:val="single" w:color="auto" w:sz="12" w:space="0"/>
            </w:tcBorders>
            <w:vAlign w:val="center"/>
          </w:tcPr>
          <w:p w14:paraId="3D89428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rPr>
            </w:pPr>
            <w:r>
              <w:rPr>
                <w:rFonts w:hint="eastAsia" w:cs="宋体"/>
                <w:b/>
                <w:bCs/>
                <w:color w:val="auto"/>
              </w:rPr>
              <w:t>学分</w:t>
            </w:r>
          </w:p>
        </w:tc>
        <w:tc>
          <w:tcPr>
            <w:tcW w:w="709" w:type="dxa"/>
            <w:tcBorders>
              <w:top w:val="single" w:color="auto" w:sz="12" w:space="0"/>
            </w:tcBorders>
            <w:vAlign w:val="center"/>
          </w:tcPr>
          <w:p w14:paraId="11F04D2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rPr>
            </w:pPr>
            <w:r>
              <w:rPr>
                <w:rFonts w:hint="eastAsia" w:cs="宋体"/>
                <w:b/>
                <w:bCs/>
                <w:color w:val="auto"/>
              </w:rPr>
              <w:t>学期</w:t>
            </w:r>
          </w:p>
        </w:tc>
        <w:tc>
          <w:tcPr>
            <w:tcW w:w="1045" w:type="dxa"/>
            <w:tcBorders>
              <w:top w:val="single" w:color="auto" w:sz="12" w:space="0"/>
            </w:tcBorders>
            <w:vAlign w:val="center"/>
          </w:tcPr>
          <w:p w14:paraId="6F3D102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rPr>
            </w:pPr>
            <w:r>
              <w:rPr>
                <w:rFonts w:hint="eastAsia" w:cs="宋体"/>
                <w:b/>
                <w:bCs/>
                <w:color w:val="auto"/>
              </w:rPr>
              <w:t>备注</w:t>
            </w:r>
          </w:p>
        </w:tc>
      </w:tr>
      <w:tr w14:paraId="0F01C58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50AE4E2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学</w:t>
            </w:r>
          </w:p>
          <w:p w14:paraId="0221E48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位</w:t>
            </w:r>
          </w:p>
          <w:p w14:paraId="309F535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课</w:t>
            </w:r>
          </w:p>
        </w:tc>
        <w:tc>
          <w:tcPr>
            <w:tcW w:w="1504" w:type="dxa"/>
            <w:vMerge w:val="restart"/>
            <w:vAlign w:val="center"/>
          </w:tcPr>
          <w:p w14:paraId="600A881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公共必修课</w:t>
            </w:r>
          </w:p>
          <w:p w14:paraId="500A17C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w:t>
            </w:r>
            <w:r>
              <w:rPr>
                <w:b/>
                <w:bCs/>
                <w:color w:val="auto"/>
                <w:sz w:val="18"/>
                <w:szCs w:val="18"/>
              </w:rPr>
              <w:t>4</w:t>
            </w:r>
            <w:r>
              <w:rPr>
                <w:rFonts w:hint="eastAsia" w:cs="宋体"/>
                <w:b/>
                <w:bCs/>
                <w:color w:val="auto"/>
                <w:sz w:val="18"/>
                <w:szCs w:val="18"/>
              </w:rPr>
              <w:t>学分）</w:t>
            </w:r>
          </w:p>
        </w:tc>
        <w:tc>
          <w:tcPr>
            <w:tcW w:w="3238" w:type="dxa"/>
            <w:vAlign w:val="center"/>
          </w:tcPr>
          <w:p w14:paraId="5C4EE4CF">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新时代中国特色社会主义理论与实践</w:t>
            </w:r>
          </w:p>
        </w:tc>
        <w:tc>
          <w:tcPr>
            <w:tcW w:w="1081" w:type="dxa"/>
            <w:vAlign w:val="center"/>
          </w:tcPr>
          <w:p w14:paraId="2E12EF0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TS0000001</w:t>
            </w:r>
          </w:p>
        </w:tc>
        <w:tc>
          <w:tcPr>
            <w:tcW w:w="709" w:type="dxa"/>
            <w:vAlign w:val="center"/>
          </w:tcPr>
          <w:p w14:paraId="17A61A9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709" w:type="dxa"/>
            <w:vAlign w:val="center"/>
          </w:tcPr>
          <w:p w14:paraId="224C78F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1045" w:type="dxa"/>
            <w:vAlign w:val="center"/>
          </w:tcPr>
          <w:p w14:paraId="2303272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s="宋体"/>
                <w:color w:val="auto"/>
                <w:sz w:val="18"/>
                <w:szCs w:val="18"/>
              </w:rPr>
              <w:t>考查</w:t>
            </w:r>
          </w:p>
        </w:tc>
      </w:tr>
      <w:tr w14:paraId="11674C4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5F49CA8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1504" w:type="dxa"/>
            <w:vMerge w:val="continue"/>
            <w:vAlign w:val="center"/>
          </w:tcPr>
          <w:p w14:paraId="3BECBE5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3238" w:type="dxa"/>
            <w:vAlign w:val="center"/>
          </w:tcPr>
          <w:p w14:paraId="2199C42D">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通用学术英语</w:t>
            </w:r>
          </w:p>
        </w:tc>
        <w:tc>
          <w:tcPr>
            <w:tcW w:w="1081" w:type="dxa"/>
            <w:vAlign w:val="center"/>
          </w:tcPr>
          <w:p w14:paraId="6BC669E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TS0000002</w:t>
            </w:r>
          </w:p>
        </w:tc>
        <w:tc>
          <w:tcPr>
            <w:tcW w:w="709" w:type="dxa"/>
            <w:vAlign w:val="center"/>
          </w:tcPr>
          <w:p w14:paraId="3304E66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709" w:type="dxa"/>
            <w:vAlign w:val="center"/>
          </w:tcPr>
          <w:p w14:paraId="415FA2E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1045" w:type="dxa"/>
            <w:vAlign w:val="center"/>
          </w:tcPr>
          <w:p w14:paraId="30E3D30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s="宋体"/>
                <w:color w:val="auto"/>
                <w:sz w:val="18"/>
                <w:szCs w:val="18"/>
              </w:rPr>
              <w:t>考查</w:t>
            </w:r>
          </w:p>
        </w:tc>
      </w:tr>
      <w:tr w14:paraId="6E74EAA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6104250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1504" w:type="dxa"/>
            <w:vMerge w:val="restart"/>
            <w:vAlign w:val="center"/>
          </w:tcPr>
          <w:p w14:paraId="7DFE950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学科基础课</w:t>
            </w:r>
          </w:p>
          <w:p w14:paraId="061E514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w:t>
            </w:r>
            <w:r>
              <w:rPr>
                <w:b/>
                <w:bCs/>
                <w:color w:val="auto"/>
                <w:sz w:val="18"/>
                <w:szCs w:val="18"/>
              </w:rPr>
              <w:t>8</w:t>
            </w:r>
            <w:r>
              <w:rPr>
                <w:rFonts w:hint="eastAsia" w:cs="宋体"/>
                <w:b/>
                <w:bCs/>
                <w:color w:val="auto"/>
                <w:sz w:val="18"/>
                <w:szCs w:val="18"/>
              </w:rPr>
              <w:t>学分）</w:t>
            </w:r>
          </w:p>
        </w:tc>
        <w:tc>
          <w:tcPr>
            <w:tcW w:w="3238" w:type="dxa"/>
            <w:vAlign w:val="center"/>
          </w:tcPr>
          <w:p w14:paraId="34B63EB8">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学术道德与论文写作</w:t>
            </w:r>
          </w:p>
        </w:tc>
        <w:tc>
          <w:tcPr>
            <w:tcW w:w="1081" w:type="dxa"/>
            <w:vAlign w:val="center"/>
          </w:tcPr>
          <w:p w14:paraId="7E5B209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XS0702001</w:t>
            </w:r>
          </w:p>
        </w:tc>
        <w:tc>
          <w:tcPr>
            <w:tcW w:w="709" w:type="dxa"/>
            <w:vAlign w:val="center"/>
          </w:tcPr>
          <w:p w14:paraId="70EEF7C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709" w:type="dxa"/>
            <w:vAlign w:val="center"/>
          </w:tcPr>
          <w:p w14:paraId="4C3D9A7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1045" w:type="dxa"/>
            <w:vAlign w:val="center"/>
          </w:tcPr>
          <w:p w14:paraId="7EB9FB4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s="宋体"/>
                <w:color w:val="auto"/>
                <w:sz w:val="18"/>
                <w:szCs w:val="18"/>
              </w:rPr>
              <w:t>考查</w:t>
            </w:r>
          </w:p>
        </w:tc>
      </w:tr>
      <w:tr w14:paraId="143D79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28AAFCF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1504" w:type="dxa"/>
            <w:vMerge w:val="continue"/>
            <w:vAlign w:val="center"/>
          </w:tcPr>
          <w:p w14:paraId="54FBCD1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3238" w:type="dxa"/>
            <w:vAlign w:val="center"/>
          </w:tcPr>
          <w:p w14:paraId="4BAB6346">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专业学术英语</w:t>
            </w:r>
          </w:p>
        </w:tc>
        <w:tc>
          <w:tcPr>
            <w:tcW w:w="1081" w:type="dxa"/>
            <w:vAlign w:val="center"/>
          </w:tcPr>
          <w:p w14:paraId="2E40345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XS0702002</w:t>
            </w:r>
          </w:p>
        </w:tc>
        <w:tc>
          <w:tcPr>
            <w:tcW w:w="709" w:type="dxa"/>
            <w:vAlign w:val="center"/>
          </w:tcPr>
          <w:p w14:paraId="4050D4D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709" w:type="dxa"/>
            <w:vAlign w:val="center"/>
          </w:tcPr>
          <w:p w14:paraId="24C84D1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1045" w:type="dxa"/>
            <w:vAlign w:val="center"/>
          </w:tcPr>
          <w:p w14:paraId="38D0404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s="宋体"/>
                <w:color w:val="auto"/>
                <w:sz w:val="18"/>
                <w:szCs w:val="18"/>
              </w:rPr>
              <w:t>考试</w:t>
            </w:r>
          </w:p>
        </w:tc>
      </w:tr>
      <w:tr w14:paraId="37F503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7F1009B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1504" w:type="dxa"/>
            <w:vMerge w:val="continue"/>
            <w:vAlign w:val="center"/>
          </w:tcPr>
          <w:p w14:paraId="7483680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3238" w:type="dxa"/>
            <w:vAlign w:val="center"/>
          </w:tcPr>
          <w:p w14:paraId="4F9A07B5">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法学前沿</w:t>
            </w:r>
          </w:p>
        </w:tc>
        <w:tc>
          <w:tcPr>
            <w:tcW w:w="1081" w:type="dxa"/>
            <w:vAlign w:val="center"/>
          </w:tcPr>
          <w:p w14:paraId="4F6FD0B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XS0702003</w:t>
            </w:r>
          </w:p>
        </w:tc>
        <w:tc>
          <w:tcPr>
            <w:tcW w:w="709" w:type="dxa"/>
            <w:vAlign w:val="center"/>
          </w:tcPr>
          <w:p w14:paraId="262F394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709" w:type="dxa"/>
            <w:vAlign w:val="center"/>
          </w:tcPr>
          <w:p w14:paraId="7CB8C4C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1045" w:type="dxa"/>
            <w:vAlign w:val="center"/>
          </w:tcPr>
          <w:p w14:paraId="09AEAF6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s="宋体"/>
                <w:color w:val="auto"/>
                <w:sz w:val="18"/>
                <w:szCs w:val="18"/>
              </w:rPr>
              <w:t>考查</w:t>
            </w:r>
          </w:p>
        </w:tc>
      </w:tr>
      <w:tr w14:paraId="4C45125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051F6FF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1504" w:type="dxa"/>
            <w:vMerge w:val="continue"/>
            <w:vAlign w:val="center"/>
          </w:tcPr>
          <w:p w14:paraId="6512206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3238" w:type="dxa"/>
            <w:vAlign w:val="center"/>
          </w:tcPr>
          <w:p w14:paraId="2B1578F5">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法学方法论</w:t>
            </w:r>
          </w:p>
        </w:tc>
        <w:tc>
          <w:tcPr>
            <w:tcW w:w="1081" w:type="dxa"/>
            <w:vAlign w:val="center"/>
          </w:tcPr>
          <w:p w14:paraId="56CF30E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highlight w:val="yellow"/>
              </w:rPr>
            </w:pPr>
            <w:r>
              <w:rPr>
                <w:color w:val="auto"/>
                <w:sz w:val="18"/>
                <w:szCs w:val="18"/>
              </w:rPr>
              <w:t>XS0702004</w:t>
            </w:r>
          </w:p>
        </w:tc>
        <w:tc>
          <w:tcPr>
            <w:tcW w:w="709" w:type="dxa"/>
            <w:vAlign w:val="center"/>
          </w:tcPr>
          <w:p w14:paraId="6AD0CE8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709" w:type="dxa"/>
            <w:vAlign w:val="center"/>
          </w:tcPr>
          <w:p w14:paraId="3730A8A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1045" w:type="dxa"/>
            <w:vAlign w:val="center"/>
          </w:tcPr>
          <w:p w14:paraId="33B3301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highlight w:val="yellow"/>
              </w:rPr>
            </w:pPr>
            <w:r>
              <w:rPr>
                <w:rFonts w:hint="eastAsia" w:cs="宋体"/>
                <w:color w:val="auto"/>
                <w:sz w:val="18"/>
                <w:szCs w:val="18"/>
              </w:rPr>
              <w:t>考查</w:t>
            </w:r>
          </w:p>
        </w:tc>
      </w:tr>
      <w:tr w14:paraId="04EF40B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71496F6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1504" w:type="dxa"/>
            <w:vMerge w:val="continue"/>
            <w:vAlign w:val="center"/>
          </w:tcPr>
          <w:p w14:paraId="241CA5E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3238" w:type="dxa"/>
            <w:vAlign w:val="center"/>
          </w:tcPr>
          <w:p w14:paraId="28F2424E">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法学原著导读</w:t>
            </w:r>
          </w:p>
        </w:tc>
        <w:tc>
          <w:tcPr>
            <w:tcW w:w="1081" w:type="dxa"/>
            <w:vAlign w:val="center"/>
          </w:tcPr>
          <w:p w14:paraId="6495C50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XS0702005</w:t>
            </w:r>
          </w:p>
        </w:tc>
        <w:tc>
          <w:tcPr>
            <w:tcW w:w="709" w:type="dxa"/>
            <w:vAlign w:val="center"/>
          </w:tcPr>
          <w:p w14:paraId="6FF1A12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709" w:type="dxa"/>
            <w:vAlign w:val="center"/>
          </w:tcPr>
          <w:p w14:paraId="3A51995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1045" w:type="dxa"/>
            <w:vAlign w:val="center"/>
          </w:tcPr>
          <w:p w14:paraId="06EDA24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s="宋体"/>
                <w:color w:val="auto"/>
                <w:sz w:val="18"/>
                <w:szCs w:val="18"/>
              </w:rPr>
              <w:t>考查</w:t>
            </w:r>
          </w:p>
        </w:tc>
      </w:tr>
      <w:tr w14:paraId="34934F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52AEA88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bookmarkStart w:id="1" w:name="_GoBack" w:colFirst="3" w:colLast="3"/>
          </w:p>
        </w:tc>
        <w:tc>
          <w:tcPr>
            <w:tcW w:w="1504" w:type="dxa"/>
            <w:vMerge w:val="restart"/>
            <w:vAlign w:val="center"/>
          </w:tcPr>
          <w:p w14:paraId="759990F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专业必修课</w:t>
            </w:r>
          </w:p>
          <w:p w14:paraId="1A5F80E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w:t>
            </w:r>
            <w:r>
              <w:rPr>
                <w:b/>
                <w:bCs/>
                <w:color w:val="auto"/>
                <w:sz w:val="18"/>
                <w:szCs w:val="18"/>
              </w:rPr>
              <w:t>3</w:t>
            </w:r>
            <w:r>
              <w:rPr>
                <w:rFonts w:hint="eastAsia" w:cs="宋体"/>
                <w:b/>
                <w:bCs/>
                <w:color w:val="auto"/>
                <w:sz w:val="18"/>
                <w:szCs w:val="18"/>
              </w:rPr>
              <w:t>学分）</w:t>
            </w:r>
          </w:p>
        </w:tc>
        <w:tc>
          <w:tcPr>
            <w:tcW w:w="3238" w:type="dxa"/>
            <w:vAlign w:val="center"/>
          </w:tcPr>
          <w:p w14:paraId="43A5B17A">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习近平法治思想专题</w:t>
            </w:r>
          </w:p>
        </w:tc>
        <w:tc>
          <w:tcPr>
            <w:tcW w:w="1081" w:type="dxa"/>
            <w:vAlign w:val="center"/>
          </w:tcPr>
          <w:p w14:paraId="63B85B7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XS07030</w:t>
            </w:r>
            <w:r>
              <w:rPr>
                <w:rFonts w:hint="eastAsia"/>
                <w:color w:val="auto"/>
                <w:sz w:val="18"/>
                <w:szCs w:val="18"/>
                <w:lang w:val="en-US" w:eastAsia="zh-CN"/>
              </w:rPr>
              <w:t>1</w:t>
            </w:r>
            <w:r>
              <w:rPr>
                <w:color w:val="auto"/>
                <w:sz w:val="18"/>
                <w:szCs w:val="18"/>
              </w:rPr>
              <w:t>1</w:t>
            </w:r>
          </w:p>
        </w:tc>
        <w:tc>
          <w:tcPr>
            <w:tcW w:w="709" w:type="dxa"/>
            <w:vAlign w:val="center"/>
          </w:tcPr>
          <w:p w14:paraId="6DF62AB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709" w:type="dxa"/>
            <w:vAlign w:val="center"/>
          </w:tcPr>
          <w:p w14:paraId="1786D00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1045" w:type="dxa"/>
            <w:vAlign w:val="center"/>
          </w:tcPr>
          <w:p w14:paraId="799D91E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s="宋体"/>
                <w:color w:val="auto"/>
                <w:sz w:val="18"/>
                <w:szCs w:val="18"/>
              </w:rPr>
              <w:t>考试</w:t>
            </w:r>
          </w:p>
        </w:tc>
      </w:tr>
      <w:tr w14:paraId="510DD47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73AEA43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1504" w:type="dxa"/>
            <w:vMerge w:val="continue"/>
            <w:vAlign w:val="center"/>
          </w:tcPr>
          <w:p w14:paraId="2B81B6E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3238" w:type="dxa"/>
            <w:vAlign w:val="center"/>
          </w:tcPr>
          <w:p w14:paraId="104E864E">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法理学</w:t>
            </w:r>
          </w:p>
        </w:tc>
        <w:tc>
          <w:tcPr>
            <w:tcW w:w="1081" w:type="dxa"/>
            <w:vAlign w:val="center"/>
          </w:tcPr>
          <w:p w14:paraId="7E647F8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XS07030</w:t>
            </w:r>
            <w:r>
              <w:rPr>
                <w:rFonts w:hint="eastAsia"/>
                <w:color w:val="auto"/>
                <w:sz w:val="18"/>
                <w:szCs w:val="18"/>
                <w:lang w:val="en-US" w:eastAsia="zh-CN"/>
              </w:rPr>
              <w:t>1</w:t>
            </w:r>
            <w:r>
              <w:rPr>
                <w:color w:val="auto"/>
                <w:sz w:val="18"/>
                <w:szCs w:val="18"/>
              </w:rPr>
              <w:t>2</w:t>
            </w:r>
          </w:p>
        </w:tc>
        <w:tc>
          <w:tcPr>
            <w:tcW w:w="709" w:type="dxa"/>
            <w:vAlign w:val="center"/>
          </w:tcPr>
          <w:p w14:paraId="7AFBE30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709" w:type="dxa"/>
            <w:vAlign w:val="center"/>
          </w:tcPr>
          <w:p w14:paraId="567CBDB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1045" w:type="dxa"/>
            <w:vAlign w:val="center"/>
          </w:tcPr>
          <w:p w14:paraId="52102DA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s="宋体"/>
                <w:color w:val="auto"/>
                <w:sz w:val="18"/>
                <w:szCs w:val="18"/>
              </w:rPr>
              <w:t>考试</w:t>
            </w:r>
          </w:p>
        </w:tc>
      </w:tr>
      <w:tr w14:paraId="11210D4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277D867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非学位课</w:t>
            </w:r>
          </w:p>
        </w:tc>
        <w:tc>
          <w:tcPr>
            <w:tcW w:w="1504" w:type="dxa"/>
            <w:vMerge w:val="restart"/>
            <w:vAlign w:val="center"/>
          </w:tcPr>
          <w:p w14:paraId="591B12A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公共通识课</w:t>
            </w:r>
          </w:p>
          <w:p w14:paraId="3087D2F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w:t>
            </w:r>
            <w:r>
              <w:rPr>
                <w:b/>
                <w:bCs/>
                <w:color w:val="auto"/>
                <w:sz w:val="18"/>
                <w:szCs w:val="18"/>
              </w:rPr>
              <w:t>2</w:t>
            </w:r>
            <w:r>
              <w:rPr>
                <w:rFonts w:hint="eastAsia" w:cs="宋体"/>
                <w:b/>
                <w:bCs/>
                <w:color w:val="auto"/>
                <w:sz w:val="18"/>
                <w:szCs w:val="18"/>
              </w:rPr>
              <w:t>学分）</w:t>
            </w:r>
          </w:p>
        </w:tc>
        <w:tc>
          <w:tcPr>
            <w:tcW w:w="3238" w:type="dxa"/>
            <w:vAlign w:val="center"/>
          </w:tcPr>
          <w:p w14:paraId="2E22C89F">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《习近平谈治国理政》研读</w:t>
            </w:r>
          </w:p>
        </w:tc>
        <w:tc>
          <w:tcPr>
            <w:tcW w:w="1081" w:type="dxa"/>
            <w:vAlign w:val="center"/>
          </w:tcPr>
          <w:p w14:paraId="6AE3211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TT0000101</w:t>
            </w:r>
          </w:p>
        </w:tc>
        <w:tc>
          <w:tcPr>
            <w:tcW w:w="709" w:type="dxa"/>
            <w:vAlign w:val="center"/>
          </w:tcPr>
          <w:p w14:paraId="12580B9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709" w:type="dxa"/>
            <w:vAlign w:val="center"/>
          </w:tcPr>
          <w:p w14:paraId="577AD75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1045" w:type="dxa"/>
            <w:vAlign w:val="center"/>
          </w:tcPr>
          <w:p w14:paraId="40907D4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s="宋体"/>
                <w:color w:val="auto"/>
                <w:sz w:val="18"/>
                <w:szCs w:val="18"/>
              </w:rPr>
              <w:t>考查</w:t>
            </w:r>
          </w:p>
        </w:tc>
      </w:tr>
      <w:tr w14:paraId="18B47D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34BFE58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1504" w:type="dxa"/>
            <w:vMerge w:val="continue"/>
            <w:vAlign w:val="center"/>
          </w:tcPr>
          <w:p w14:paraId="3C49076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3238" w:type="dxa"/>
            <w:vAlign w:val="center"/>
          </w:tcPr>
          <w:p w14:paraId="375DC8A6">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马克思主义与社会科学方法论</w:t>
            </w:r>
          </w:p>
        </w:tc>
        <w:tc>
          <w:tcPr>
            <w:tcW w:w="1081" w:type="dxa"/>
            <w:vAlign w:val="center"/>
          </w:tcPr>
          <w:p w14:paraId="3A78A67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TS0000101</w:t>
            </w:r>
          </w:p>
        </w:tc>
        <w:tc>
          <w:tcPr>
            <w:tcW w:w="709" w:type="dxa"/>
            <w:vAlign w:val="center"/>
          </w:tcPr>
          <w:p w14:paraId="3335E42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709" w:type="dxa"/>
            <w:vAlign w:val="center"/>
          </w:tcPr>
          <w:p w14:paraId="7641E57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1045" w:type="dxa"/>
            <w:vAlign w:val="center"/>
          </w:tcPr>
          <w:p w14:paraId="6E53440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s="宋体"/>
                <w:color w:val="auto"/>
                <w:sz w:val="18"/>
                <w:szCs w:val="18"/>
              </w:rPr>
              <w:t>考查</w:t>
            </w:r>
          </w:p>
        </w:tc>
      </w:tr>
      <w:tr w14:paraId="02D9A2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1366596B">
            <w:pPr>
              <w:keepNext w:val="0"/>
              <w:keepLines w:val="0"/>
              <w:pageBreakBefore w:val="0"/>
              <w:widowControl w:val="0"/>
              <w:kinsoku/>
              <w:wordWrap/>
              <w:overflowPunct/>
              <w:topLinePunct w:val="0"/>
              <w:autoSpaceDE/>
              <w:autoSpaceDN/>
              <w:bidi w:val="0"/>
              <w:adjustRightInd/>
              <w:snapToGrid/>
              <w:spacing w:line="290" w:lineRule="exact"/>
              <w:textAlignment w:val="auto"/>
              <w:rPr>
                <w:b/>
                <w:bCs/>
                <w:color w:val="auto"/>
                <w:sz w:val="18"/>
                <w:szCs w:val="18"/>
              </w:rPr>
            </w:pPr>
          </w:p>
        </w:tc>
        <w:tc>
          <w:tcPr>
            <w:tcW w:w="1504" w:type="dxa"/>
            <w:vMerge w:val="restart"/>
            <w:vAlign w:val="center"/>
          </w:tcPr>
          <w:p w14:paraId="5AEB1BE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lang w:eastAsia="zh-CN"/>
              </w:rPr>
              <w:t>专业</w:t>
            </w:r>
            <w:r>
              <w:rPr>
                <w:rFonts w:hint="eastAsia" w:cs="宋体"/>
                <w:b/>
                <w:bCs/>
                <w:color w:val="auto"/>
                <w:sz w:val="18"/>
                <w:szCs w:val="18"/>
              </w:rPr>
              <w:t>选修课</w:t>
            </w:r>
          </w:p>
        </w:tc>
        <w:tc>
          <w:tcPr>
            <w:tcW w:w="3238" w:type="dxa"/>
            <w:vAlign w:val="center"/>
          </w:tcPr>
          <w:p w14:paraId="08E9A61E">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经济法原理</w:t>
            </w:r>
          </w:p>
        </w:tc>
        <w:tc>
          <w:tcPr>
            <w:tcW w:w="1081" w:type="dxa"/>
            <w:vAlign w:val="center"/>
          </w:tcPr>
          <w:p w14:paraId="4EA259F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XS07131</w:t>
            </w:r>
            <w:r>
              <w:rPr>
                <w:rFonts w:hint="eastAsia"/>
                <w:color w:val="auto"/>
                <w:sz w:val="18"/>
                <w:szCs w:val="18"/>
                <w:lang w:val="en-US" w:eastAsia="zh-CN"/>
              </w:rPr>
              <w:t>1</w:t>
            </w:r>
            <w:r>
              <w:rPr>
                <w:color w:val="auto"/>
                <w:sz w:val="18"/>
                <w:szCs w:val="18"/>
              </w:rPr>
              <w:t>1</w:t>
            </w:r>
          </w:p>
        </w:tc>
        <w:tc>
          <w:tcPr>
            <w:tcW w:w="709" w:type="dxa"/>
            <w:vAlign w:val="center"/>
          </w:tcPr>
          <w:p w14:paraId="6EB6540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709" w:type="dxa"/>
            <w:vAlign w:val="center"/>
          </w:tcPr>
          <w:p w14:paraId="60C6D3F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1045" w:type="dxa"/>
            <w:vMerge w:val="restart"/>
            <w:vAlign w:val="center"/>
          </w:tcPr>
          <w:p w14:paraId="2A19333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s="宋体"/>
                <w:color w:val="auto"/>
                <w:sz w:val="18"/>
                <w:szCs w:val="18"/>
              </w:rPr>
              <w:t>本方向研究生至少选修</w:t>
            </w:r>
          </w:p>
          <w:p w14:paraId="440BCD1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iCs/>
                <w:color w:val="auto"/>
                <w:sz w:val="15"/>
                <w:szCs w:val="15"/>
                <w:highlight w:val="yellow"/>
              </w:rPr>
            </w:pPr>
            <w:r>
              <w:rPr>
                <w:color w:val="auto"/>
                <w:sz w:val="18"/>
                <w:szCs w:val="18"/>
              </w:rPr>
              <w:t>10</w:t>
            </w:r>
            <w:r>
              <w:rPr>
                <w:rFonts w:hint="eastAsia" w:cs="宋体"/>
                <w:color w:val="auto"/>
                <w:sz w:val="18"/>
                <w:szCs w:val="18"/>
              </w:rPr>
              <w:t>学分</w:t>
            </w:r>
          </w:p>
        </w:tc>
      </w:tr>
      <w:tr w14:paraId="515F64F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3DBC11BD">
            <w:pPr>
              <w:keepNext w:val="0"/>
              <w:keepLines w:val="0"/>
              <w:pageBreakBefore w:val="0"/>
              <w:widowControl w:val="0"/>
              <w:kinsoku/>
              <w:wordWrap/>
              <w:overflowPunct/>
              <w:topLinePunct w:val="0"/>
              <w:autoSpaceDE/>
              <w:autoSpaceDN/>
              <w:bidi w:val="0"/>
              <w:adjustRightInd/>
              <w:snapToGrid/>
              <w:spacing w:line="290" w:lineRule="exact"/>
              <w:textAlignment w:val="auto"/>
              <w:rPr>
                <w:b/>
                <w:bCs/>
                <w:color w:val="auto"/>
                <w:sz w:val="18"/>
                <w:szCs w:val="18"/>
              </w:rPr>
            </w:pPr>
          </w:p>
        </w:tc>
        <w:tc>
          <w:tcPr>
            <w:tcW w:w="1504" w:type="dxa"/>
            <w:vMerge w:val="continue"/>
            <w:vAlign w:val="center"/>
          </w:tcPr>
          <w:p w14:paraId="380E6E8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3238" w:type="dxa"/>
            <w:vAlign w:val="center"/>
          </w:tcPr>
          <w:p w14:paraId="00B0F539">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金融法专题</w:t>
            </w:r>
          </w:p>
        </w:tc>
        <w:tc>
          <w:tcPr>
            <w:tcW w:w="1081" w:type="dxa"/>
            <w:vAlign w:val="center"/>
          </w:tcPr>
          <w:p w14:paraId="13173C3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XS07131</w:t>
            </w:r>
            <w:r>
              <w:rPr>
                <w:rFonts w:hint="eastAsia"/>
                <w:color w:val="auto"/>
                <w:sz w:val="18"/>
                <w:szCs w:val="18"/>
                <w:lang w:val="en-US" w:eastAsia="zh-CN"/>
              </w:rPr>
              <w:t>1</w:t>
            </w:r>
            <w:r>
              <w:rPr>
                <w:color w:val="auto"/>
                <w:sz w:val="18"/>
                <w:szCs w:val="18"/>
              </w:rPr>
              <w:t>2</w:t>
            </w:r>
          </w:p>
        </w:tc>
        <w:tc>
          <w:tcPr>
            <w:tcW w:w="709" w:type="dxa"/>
            <w:vAlign w:val="center"/>
          </w:tcPr>
          <w:p w14:paraId="3A57F53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709" w:type="dxa"/>
            <w:vAlign w:val="center"/>
          </w:tcPr>
          <w:p w14:paraId="2A6E346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1045" w:type="dxa"/>
            <w:vMerge w:val="continue"/>
            <w:vAlign w:val="center"/>
          </w:tcPr>
          <w:p w14:paraId="169155B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1C58BB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1750D331">
            <w:pPr>
              <w:keepNext w:val="0"/>
              <w:keepLines w:val="0"/>
              <w:pageBreakBefore w:val="0"/>
              <w:widowControl w:val="0"/>
              <w:kinsoku/>
              <w:wordWrap/>
              <w:overflowPunct/>
              <w:topLinePunct w:val="0"/>
              <w:autoSpaceDE/>
              <w:autoSpaceDN/>
              <w:bidi w:val="0"/>
              <w:adjustRightInd/>
              <w:snapToGrid/>
              <w:spacing w:line="290" w:lineRule="exact"/>
              <w:textAlignment w:val="auto"/>
              <w:rPr>
                <w:b/>
                <w:bCs/>
                <w:color w:val="auto"/>
                <w:sz w:val="18"/>
                <w:szCs w:val="18"/>
              </w:rPr>
            </w:pPr>
          </w:p>
        </w:tc>
        <w:tc>
          <w:tcPr>
            <w:tcW w:w="1504" w:type="dxa"/>
            <w:vMerge w:val="continue"/>
            <w:vAlign w:val="center"/>
          </w:tcPr>
          <w:p w14:paraId="423CC02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3238" w:type="dxa"/>
            <w:vAlign w:val="center"/>
          </w:tcPr>
          <w:p w14:paraId="674ED068">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竞争法专题</w:t>
            </w:r>
          </w:p>
        </w:tc>
        <w:tc>
          <w:tcPr>
            <w:tcW w:w="1081" w:type="dxa"/>
            <w:vAlign w:val="center"/>
          </w:tcPr>
          <w:p w14:paraId="1F5509C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XS07131</w:t>
            </w:r>
            <w:r>
              <w:rPr>
                <w:rFonts w:hint="eastAsia"/>
                <w:color w:val="auto"/>
                <w:sz w:val="18"/>
                <w:szCs w:val="18"/>
                <w:lang w:val="en-US" w:eastAsia="zh-CN"/>
              </w:rPr>
              <w:t>1</w:t>
            </w:r>
            <w:r>
              <w:rPr>
                <w:color w:val="auto"/>
                <w:sz w:val="18"/>
                <w:szCs w:val="18"/>
              </w:rPr>
              <w:t>3</w:t>
            </w:r>
          </w:p>
        </w:tc>
        <w:tc>
          <w:tcPr>
            <w:tcW w:w="709" w:type="dxa"/>
            <w:vAlign w:val="center"/>
          </w:tcPr>
          <w:p w14:paraId="4FF4D81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709" w:type="dxa"/>
            <w:vAlign w:val="center"/>
          </w:tcPr>
          <w:p w14:paraId="1ED5BCB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1045" w:type="dxa"/>
            <w:vMerge w:val="continue"/>
            <w:vAlign w:val="center"/>
          </w:tcPr>
          <w:p w14:paraId="75D225F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74E5007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358168B6">
            <w:pPr>
              <w:keepNext w:val="0"/>
              <w:keepLines w:val="0"/>
              <w:pageBreakBefore w:val="0"/>
              <w:widowControl w:val="0"/>
              <w:kinsoku/>
              <w:wordWrap/>
              <w:overflowPunct/>
              <w:topLinePunct w:val="0"/>
              <w:autoSpaceDE/>
              <w:autoSpaceDN/>
              <w:bidi w:val="0"/>
              <w:adjustRightInd/>
              <w:snapToGrid/>
              <w:spacing w:line="290" w:lineRule="exact"/>
              <w:textAlignment w:val="auto"/>
              <w:rPr>
                <w:b/>
                <w:bCs/>
                <w:color w:val="auto"/>
                <w:sz w:val="18"/>
                <w:szCs w:val="18"/>
              </w:rPr>
            </w:pPr>
          </w:p>
        </w:tc>
        <w:tc>
          <w:tcPr>
            <w:tcW w:w="1504" w:type="dxa"/>
            <w:vMerge w:val="continue"/>
          </w:tcPr>
          <w:p w14:paraId="7A0578E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3238" w:type="dxa"/>
            <w:vAlign w:val="center"/>
          </w:tcPr>
          <w:p w14:paraId="7552CDD9">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企业与公司法专题</w:t>
            </w:r>
          </w:p>
        </w:tc>
        <w:tc>
          <w:tcPr>
            <w:tcW w:w="1081" w:type="dxa"/>
            <w:vAlign w:val="center"/>
          </w:tcPr>
          <w:p w14:paraId="1887678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XS07131</w:t>
            </w:r>
            <w:r>
              <w:rPr>
                <w:rFonts w:hint="eastAsia"/>
                <w:color w:val="auto"/>
                <w:sz w:val="18"/>
                <w:szCs w:val="18"/>
                <w:lang w:val="en-US" w:eastAsia="zh-CN"/>
              </w:rPr>
              <w:t>1</w:t>
            </w:r>
            <w:r>
              <w:rPr>
                <w:color w:val="auto"/>
                <w:sz w:val="18"/>
                <w:szCs w:val="18"/>
              </w:rPr>
              <w:t>4</w:t>
            </w:r>
          </w:p>
        </w:tc>
        <w:tc>
          <w:tcPr>
            <w:tcW w:w="709" w:type="dxa"/>
            <w:vAlign w:val="center"/>
          </w:tcPr>
          <w:p w14:paraId="603D191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709" w:type="dxa"/>
            <w:vAlign w:val="center"/>
          </w:tcPr>
          <w:p w14:paraId="2D71D33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1045" w:type="dxa"/>
            <w:vMerge w:val="continue"/>
            <w:vAlign w:val="center"/>
          </w:tcPr>
          <w:p w14:paraId="5A6C841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iCs/>
                <w:color w:val="auto"/>
                <w:sz w:val="15"/>
                <w:szCs w:val="15"/>
                <w:highlight w:val="yellow"/>
              </w:rPr>
            </w:pPr>
          </w:p>
        </w:tc>
      </w:tr>
      <w:tr w14:paraId="37E511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638F147C">
            <w:pPr>
              <w:keepNext w:val="0"/>
              <w:keepLines w:val="0"/>
              <w:pageBreakBefore w:val="0"/>
              <w:widowControl w:val="0"/>
              <w:kinsoku/>
              <w:wordWrap/>
              <w:overflowPunct/>
              <w:topLinePunct w:val="0"/>
              <w:autoSpaceDE/>
              <w:autoSpaceDN/>
              <w:bidi w:val="0"/>
              <w:adjustRightInd/>
              <w:snapToGrid/>
              <w:spacing w:line="290" w:lineRule="exact"/>
              <w:textAlignment w:val="auto"/>
              <w:rPr>
                <w:b/>
                <w:bCs/>
                <w:color w:val="auto"/>
                <w:sz w:val="18"/>
                <w:szCs w:val="18"/>
              </w:rPr>
            </w:pPr>
          </w:p>
        </w:tc>
        <w:tc>
          <w:tcPr>
            <w:tcW w:w="1504" w:type="dxa"/>
            <w:vMerge w:val="continue"/>
          </w:tcPr>
          <w:p w14:paraId="7AE4B6A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3238" w:type="dxa"/>
            <w:vAlign w:val="center"/>
          </w:tcPr>
          <w:p w14:paraId="6783D7EC">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财税法专题</w:t>
            </w:r>
          </w:p>
        </w:tc>
        <w:tc>
          <w:tcPr>
            <w:tcW w:w="1081" w:type="dxa"/>
            <w:vAlign w:val="center"/>
          </w:tcPr>
          <w:p w14:paraId="5137917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XS07131</w:t>
            </w:r>
            <w:r>
              <w:rPr>
                <w:rFonts w:hint="eastAsia"/>
                <w:color w:val="auto"/>
                <w:sz w:val="18"/>
                <w:szCs w:val="18"/>
                <w:lang w:val="en-US" w:eastAsia="zh-CN"/>
              </w:rPr>
              <w:t>1</w:t>
            </w:r>
            <w:r>
              <w:rPr>
                <w:color w:val="auto"/>
                <w:sz w:val="18"/>
                <w:szCs w:val="18"/>
              </w:rPr>
              <w:t>5</w:t>
            </w:r>
          </w:p>
        </w:tc>
        <w:tc>
          <w:tcPr>
            <w:tcW w:w="709" w:type="dxa"/>
            <w:vAlign w:val="center"/>
          </w:tcPr>
          <w:p w14:paraId="4CCD26C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709" w:type="dxa"/>
            <w:vAlign w:val="center"/>
          </w:tcPr>
          <w:p w14:paraId="182501B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3</w:t>
            </w:r>
          </w:p>
        </w:tc>
        <w:tc>
          <w:tcPr>
            <w:tcW w:w="1045" w:type="dxa"/>
            <w:vMerge w:val="continue"/>
            <w:vAlign w:val="center"/>
          </w:tcPr>
          <w:p w14:paraId="7E48077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iCs/>
                <w:color w:val="auto"/>
                <w:sz w:val="15"/>
                <w:szCs w:val="15"/>
                <w:highlight w:val="yellow"/>
              </w:rPr>
            </w:pPr>
          </w:p>
        </w:tc>
      </w:tr>
      <w:tr w14:paraId="32BBC8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65729429">
            <w:pPr>
              <w:keepNext w:val="0"/>
              <w:keepLines w:val="0"/>
              <w:pageBreakBefore w:val="0"/>
              <w:widowControl w:val="0"/>
              <w:kinsoku/>
              <w:wordWrap/>
              <w:overflowPunct/>
              <w:topLinePunct w:val="0"/>
              <w:autoSpaceDE/>
              <w:autoSpaceDN/>
              <w:bidi w:val="0"/>
              <w:adjustRightInd/>
              <w:snapToGrid/>
              <w:spacing w:line="290" w:lineRule="exact"/>
              <w:textAlignment w:val="auto"/>
              <w:rPr>
                <w:b/>
                <w:bCs/>
                <w:color w:val="auto"/>
                <w:sz w:val="18"/>
                <w:szCs w:val="18"/>
              </w:rPr>
            </w:pPr>
          </w:p>
        </w:tc>
        <w:tc>
          <w:tcPr>
            <w:tcW w:w="1504" w:type="dxa"/>
            <w:vMerge w:val="continue"/>
          </w:tcPr>
          <w:p w14:paraId="646B9BD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3238" w:type="dxa"/>
            <w:vAlign w:val="center"/>
          </w:tcPr>
          <w:p w14:paraId="405A8DF8">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环境资源法专题</w:t>
            </w:r>
          </w:p>
        </w:tc>
        <w:tc>
          <w:tcPr>
            <w:tcW w:w="1081" w:type="dxa"/>
            <w:vAlign w:val="center"/>
          </w:tcPr>
          <w:p w14:paraId="7A1194A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XS07131</w:t>
            </w:r>
            <w:r>
              <w:rPr>
                <w:rFonts w:hint="eastAsia"/>
                <w:color w:val="auto"/>
                <w:sz w:val="18"/>
                <w:szCs w:val="18"/>
                <w:lang w:val="en-US" w:eastAsia="zh-CN"/>
              </w:rPr>
              <w:t>1</w:t>
            </w:r>
            <w:r>
              <w:rPr>
                <w:color w:val="auto"/>
                <w:sz w:val="18"/>
                <w:szCs w:val="18"/>
              </w:rPr>
              <w:t>6</w:t>
            </w:r>
          </w:p>
        </w:tc>
        <w:tc>
          <w:tcPr>
            <w:tcW w:w="709" w:type="dxa"/>
            <w:vAlign w:val="center"/>
          </w:tcPr>
          <w:p w14:paraId="3FB519A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709" w:type="dxa"/>
            <w:vAlign w:val="center"/>
          </w:tcPr>
          <w:p w14:paraId="52343AB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3</w:t>
            </w:r>
          </w:p>
        </w:tc>
        <w:tc>
          <w:tcPr>
            <w:tcW w:w="1045" w:type="dxa"/>
            <w:vMerge w:val="continue"/>
            <w:vAlign w:val="center"/>
          </w:tcPr>
          <w:p w14:paraId="2BDC504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iCs/>
                <w:color w:val="auto"/>
                <w:sz w:val="15"/>
                <w:szCs w:val="15"/>
                <w:highlight w:val="yellow"/>
              </w:rPr>
            </w:pPr>
          </w:p>
        </w:tc>
      </w:tr>
      <w:bookmarkEnd w:id="1"/>
      <w:tr w14:paraId="6E3558C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552DDB3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必</w:t>
            </w:r>
          </w:p>
          <w:p w14:paraId="4816A92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修</w:t>
            </w:r>
          </w:p>
          <w:p w14:paraId="68AC288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环</w:t>
            </w:r>
          </w:p>
          <w:p w14:paraId="6066158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节</w:t>
            </w:r>
          </w:p>
        </w:tc>
        <w:tc>
          <w:tcPr>
            <w:tcW w:w="1504" w:type="dxa"/>
            <w:vMerge w:val="restart"/>
            <w:vAlign w:val="center"/>
          </w:tcPr>
          <w:p w14:paraId="1EFA535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素质拓展</w:t>
            </w:r>
          </w:p>
        </w:tc>
        <w:tc>
          <w:tcPr>
            <w:tcW w:w="3238" w:type="dxa"/>
            <w:vAlign w:val="center"/>
          </w:tcPr>
          <w:p w14:paraId="057DBFB4">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入学教育</w:t>
            </w:r>
          </w:p>
        </w:tc>
        <w:tc>
          <w:tcPr>
            <w:tcW w:w="1081" w:type="dxa"/>
            <w:vAlign w:val="center"/>
          </w:tcPr>
          <w:p w14:paraId="0706D1D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70F8B1B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102E943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1045" w:type="dxa"/>
            <w:vMerge w:val="restart"/>
            <w:vAlign w:val="center"/>
          </w:tcPr>
          <w:p w14:paraId="75C85E5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iCs/>
                <w:color w:val="auto"/>
                <w:sz w:val="18"/>
                <w:szCs w:val="18"/>
              </w:rPr>
            </w:pPr>
          </w:p>
        </w:tc>
      </w:tr>
      <w:tr w14:paraId="61D3CD4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07B57D6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1504" w:type="dxa"/>
            <w:vMerge w:val="continue"/>
            <w:vAlign w:val="center"/>
          </w:tcPr>
          <w:p w14:paraId="42F1A82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3238" w:type="dxa"/>
            <w:vAlign w:val="center"/>
          </w:tcPr>
          <w:p w14:paraId="1B190046">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学术活动</w:t>
            </w:r>
          </w:p>
        </w:tc>
        <w:tc>
          <w:tcPr>
            <w:tcW w:w="1081" w:type="dxa"/>
            <w:vAlign w:val="center"/>
          </w:tcPr>
          <w:p w14:paraId="46CE6D1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5765FD0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709" w:type="dxa"/>
            <w:vAlign w:val="center"/>
          </w:tcPr>
          <w:p w14:paraId="41C3A31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1-5</w:t>
            </w:r>
          </w:p>
        </w:tc>
        <w:tc>
          <w:tcPr>
            <w:tcW w:w="1045" w:type="dxa"/>
            <w:vMerge w:val="continue"/>
            <w:vAlign w:val="center"/>
          </w:tcPr>
          <w:p w14:paraId="3BF48CF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3D5F4A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31548A86">
            <w:pPr>
              <w:keepNext w:val="0"/>
              <w:keepLines w:val="0"/>
              <w:pageBreakBefore w:val="0"/>
              <w:widowControl w:val="0"/>
              <w:kinsoku/>
              <w:wordWrap/>
              <w:overflowPunct/>
              <w:topLinePunct w:val="0"/>
              <w:autoSpaceDE/>
              <w:autoSpaceDN/>
              <w:bidi w:val="0"/>
              <w:adjustRightInd/>
              <w:snapToGrid/>
              <w:spacing w:line="290" w:lineRule="exact"/>
              <w:textAlignment w:val="auto"/>
              <w:rPr>
                <w:b/>
                <w:bCs/>
                <w:color w:val="auto"/>
                <w:sz w:val="18"/>
                <w:szCs w:val="18"/>
              </w:rPr>
            </w:pPr>
          </w:p>
        </w:tc>
        <w:tc>
          <w:tcPr>
            <w:tcW w:w="1504" w:type="dxa"/>
            <w:vMerge w:val="restart"/>
            <w:vAlign w:val="center"/>
          </w:tcPr>
          <w:p w14:paraId="445DDAC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r>
              <w:rPr>
                <w:rFonts w:hint="eastAsia" w:cs="宋体"/>
                <w:b/>
                <w:bCs/>
                <w:color w:val="auto"/>
                <w:sz w:val="18"/>
                <w:szCs w:val="18"/>
              </w:rPr>
              <w:t>学术训练</w:t>
            </w:r>
          </w:p>
        </w:tc>
        <w:tc>
          <w:tcPr>
            <w:tcW w:w="3238" w:type="dxa"/>
            <w:vAlign w:val="center"/>
          </w:tcPr>
          <w:p w14:paraId="0898CA69">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中期筛选</w:t>
            </w:r>
          </w:p>
        </w:tc>
        <w:tc>
          <w:tcPr>
            <w:tcW w:w="1081" w:type="dxa"/>
            <w:vAlign w:val="center"/>
          </w:tcPr>
          <w:p w14:paraId="6B45907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2577CA4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6CC2315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eastAsia="宋体"/>
                <w:color w:val="auto"/>
                <w:sz w:val="18"/>
                <w:szCs w:val="18"/>
                <w:lang w:eastAsia="zh-CN"/>
              </w:rPr>
            </w:pPr>
            <w:r>
              <w:rPr>
                <w:rFonts w:hint="eastAsia"/>
                <w:color w:val="auto"/>
                <w:sz w:val="18"/>
                <w:szCs w:val="18"/>
                <w:lang w:val="en-US" w:eastAsia="zh-CN"/>
              </w:rPr>
              <w:t>4</w:t>
            </w:r>
          </w:p>
        </w:tc>
        <w:tc>
          <w:tcPr>
            <w:tcW w:w="1045" w:type="dxa"/>
            <w:vMerge w:val="restart"/>
            <w:vAlign w:val="center"/>
          </w:tcPr>
          <w:p w14:paraId="607C2C3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s="宋体"/>
                <w:color w:val="auto"/>
                <w:sz w:val="18"/>
                <w:szCs w:val="18"/>
              </w:rPr>
              <w:t>过程管理</w:t>
            </w:r>
          </w:p>
          <w:p w14:paraId="3B4863D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s="宋体"/>
                <w:color w:val="auto"/>
                <w:sz w:val="18"/>
                <w:szCs w:val="18"/>
              </w:rPr>
              <w:t>无学分</w:t>
            </w:r>
          </w:p>
        </w:tc>
      </w:tr>
      <w:tr w14:paraId="616ACF6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61670A90">
            <w:pPr>
              <w:keepNext w:val="0"/>
              <w:keepLines w:val="0"/>
              <w:pageBreakBefore w:val="0"/>
              <w:widowControl w:val="0"/>
              <w:kinsoku/>
              <w:wordWrap/>
              <w:overflowPunct/>
              <w:topLinePunct w:val="0"/>
              <w:autoSpaceDE/>
              <w:autoSpaceDN/>
              <w:bidi w:val="0"/>
              <w:adjustRightInd/>
              <w:snapToGrid/>
              <w:spacing w:line="290" w:lineRule="exact"/>
              <w:textAlignment w:val="auto"/>
              <w:rPr>
                <w:b/>
                <w:bCs/>
                <w:color w:val="auto"/>
                <w:sz w:val="18"/>
                <w:szCs w:val="18"/>
              </w:rPr>
            </w:pPr>
          </w:p>
        </w:tc>
        <w:tc>
          <w:tcPr>
            <w:tcW w:w="1504" w:type="dxa"/>
            <w:vMerge w:val="continue"/>
            <w:vAlign w:val="center"/>
          </w:tcPr>
          <w:p w14:paraId="62A31E9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3238" w:type="dxa"/>
            <w:vAlign w:val="center"/>
          </w:tcPr>
          <w:p w14:paraId="4953D3DC">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论文开题</w:t>
            </w:r>
          </w:p>
        </w:tc>
        <w:tc>
          <w:tcPr>
            <w:tcW w:w="1081" w:type="dxa"/>
            <w:vAlign w:val="center"/>
          </w:tcPr>
          <w:p w14:paraId="304E9E1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2238E13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3F1BC45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4</w:t>
            </w:r>
          </w:p>
        </w:tc>
        <w:tc>
          <w:tcPr>
            <w:tcW w:w="1045" w:type="dxa"/>
            <w:vMerge w:val="continue"/>
            <w:vAlign w:val="center"/>
          </w:tcPr>
          <w:p w14:paraId="518B6F8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02E14D5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2454A76F">
            <w:pPr>
              <w:keepNext w:val="0"/>
              <w:keepLines w:val="0"/>
              <w:pageBreakBefore w:val="0"/>
              <w:widowControl w:val="0"/>
              <w:kinsoku/>
              <w:wordWrap/>
              <w:overflowPunct/>
              <w:topLinePunct w:val="0"/>
              <w:autoSpaceDE/>
              <w:autoSpaceDN/>
              <w:bidi w:val="0"/>
              <w:adjustRightInd/>
              <w:snapToGrid/>
              <w:spacing w:line="290" w:lineRule="exact"/>
              <w:textAlignment w:val="auto"/>
              <w:rPr>
                <w:b/>
                <w:bCs/>
                <w:color w:val="auto"/>
                <w:sz w:val="18"/>
                <w:szCs w:val="18"/>
              </w:rPr>
            </w:pPr>
          </w:p>
        </w:tc>
        <w:tc>
          <w:tcPr>
            <w:tcW w:w="1504" w:type="dxa"/>
            <w:vMerge w:val="continue"/>
            <w:vAlign w:val="center"/>
          </w:tcPr>
          <w:p w14:paraId="6769124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3238" w:type="dxa"/>
            <w:vAlign w:val="center"/>
          </w:tcPr>
          <w:p w14:paraId="715989EB">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论文中期进展报告</w:t>
            </w:r>
          </w:p>
        </w:tc>
        <w:tc>
          <w:tcPr>
            <w:tcW w:w="1081" w:type="dxa"/>
            <w:vAlign w:val="center"/>
          </w:tcPr>
          <w:p w14:paraId="428C756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7B56150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2200E02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4</w:t>
            </w:r>
          </w:p>
        </w:tc>
        <w:tc>
          <w:tcPr>
            <w:tcW w:w="1045" w:type="dxa"/>
            <w:vMerge w:val="continue"/>
            <w:vAlign w:val="center"/>
          </w:tcPr>
          <w:p w14:paraId="61C02A4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4C7B856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2391A58F">
            <w:pPr>
              <w:keepNext w:val="0"/>
              <w:keepLines w:val="0"/>
              <w:pageBreakBefore w:val="0"/>
              <w:widowControl w:val="0"/>
              <w:kinsoku/>
              <w:wordWrap/>
              <w:overflowPunct/>
              <w:topLinePunct w:val="0"/>
              <w:autoSpaceDE/>
              <w:autoSpaceDN/>
              <w:bidi w:val="0"/>
              <w:adjustRightInd/>
              <w:snapToGrid/>
              <w:spacing w:line="290" w:lineRule="exact"/>
              <w:textAlignment w:val="auto"/>
              <w:rPr>
                <w:b/>
                <w:bCs/>
                <w:color w:val="auto"/>
                <w:sz w:val="18"/>
                <w:szCs w:val="18"/>
              </w:rPr>
            </w:pPr>
          </w:p>
        </w:tc>
        <w:tc>
          <w:tcPr>
            <w:tcW w:w="1504" w:type="dxa"/>
            <w:vMerge w:val="continue"/>
            <w:vAlign w:val="center"/>
          </w:tcPr>
          <w:p w14:paraId="08F2478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bCs/>
                <w:color w:val="auto"/>
                <w:sz w:val="18"/>
                <w:szCs w:val="18"/>
              </w:rPr>
            </w:pPr>
          </w:p>
        </w:tc>
        <w:tc>
          <w:tcPr>
            <w:tcW w:w="3238" w:type="dxa"/>
            <w:vAlign w:val="center"/>
          </w:tcPr>
          <w:p w14:paraId="1858BC59">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论文预答辩</w:t>
            </w:r>
          </w:p>
        </w:tc>
        <w:tc>
          <w:tcPr>
            <w:tcW w:w="1081" w:type="dxa"/>
            <w:vAlign w:val="center"/>
          </w:tcPr>
          <w:p w14:paraId="2FF4A8F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28F8B28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32646A3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6</w:t>
            </w:r>
          </w:p>
        </w:tc>
        <w:tc>
          <w:tcPr>
            <w:tcW w:w="1045" w:type="dxa"/>
            <w:vMerge w:val="continue"/>
          </w:tcPr>
          <w:p w14:paraId="526E159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7B83A72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49D57A5D">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p>
        </w:tc>
        <w:tc>
          <w:tcPr>
            <w:tcW w:w="1504" w:type="dxa"/>
            <w:vMerge w:val="continue"/>
          </w:tcPr>
          <w:p w14:paraId="60DABAA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3238" w:type="dxa"/>
            <w:vAlign w:val="center"/>
          </w:tcPr>
          <w:p w14:paraId="07C5221C">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论文评审</w:t>
            </w:r>
          </w:p>
        </w:tc>
        <w:tc>
          <w:tcPr>
            <w:tcW w:w="1081" w:type="dxa"/>
            <w:vAlign w:val="center"/>
          </w:tcPr>
          <w:p w14:paraId="6DA0562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2B54531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3B66BD6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6</w:t>
            </w:r>
          </w:p>
        </w:tc>
        <w:tc>
          <w:tcPr>
            <w:tcW w:w="1045" w:type="dxa"/>
            <w:vMerge w:val="continue"/>
          </w:tcPr>
          <w:p w14:paraId="160BB6D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7EA06C0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Borders>
              <w:bottom w:val="single" w:color="auto" w:sz="12" w:space="0"/>
            </w:tcBorders>
          </w:tcPr>
          <w:p w14:paraId="45A60893">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p>
        </w:tc>
        <w:tc>
          <w:tcPr>
            <w:tcW w:w="1504" w:type="dxa"/>
            <w:vMerge w:val="continue"/>
            <w:tcBorders>
              <w:bottom w:val="single" w:color="auto" w:sz="12" w:space="0"/>
            </w:tcBorders>
          </w:tcPr>
          <w:p w14:paraId="1C014B5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3238" w:type="dxa"/>
            <w:tcBorders>
              <w:bottom w:val="single" w:color="auto" w:sz="12" w:space="0"/>
            </w:tcBorders>
            <w:vAlign w:val="center"/>
          </w:tcPr>
          <w:p w14:paraId="136E723F">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s="宋体"/>
                <w:color w:val="auto"/>
                <w:sz w:val="18"/>
                <w:szCs w:val="18"/>
              </w:rPr>
              <w:t>论文答辩</w:t>
            </w:r>
          </w:p>
        </w:tc>
        <w:tc>
          <w:tcPr>
            <w:tcW w:w="1081" w:type="dxa"/>
            <w:tcBorders>
              <w:bottom w:val="single" w:color="auto" w:sz="12" w:space="0"/>
            </w:tcBorders>
            <w:vAlign w:val="center"/>
          </w:tcPr>
          <w:p w14:paraId="6F8BA6F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tcBorders>
              <w:bottom w:val="single" w:color="auto" w:sz="12" w:space="0"/>
            </w:tcBorders>
            <w:vAlign w:val="center"/>
          </w:tcPr>
          <w:p w14:paraId="1A23EC3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tcBorders>
              <w:bottom w:val="single" w:color="auto" w:sz="12" w:space="0"/>
            </w:tcBorders>
            <w:vAlign w:val="center"/>
          </w:tcPr>
          <w:p w14:paraId="174F84A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6</w:t>
            </w:r>
          </w:p>
        </w:tc>
        <w:tc>
          <w:tcPr>
            <w:tcW w:w="1045" w:type="dxa"/>
            <w:vMerge w:val="continue"/>
            <w:tcBorders>
              <w:bottom w:val="single" w:color="auto" w:sz="12" w:space="0"/>
            </w:tcBorders>
          </w:tcPr>
          <w:p w14:paraId="1DDB12C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bl>
    <w:p w14:paraId="5E066EE9">
      <w:pPr>
        <w:spacing w:line="360" w:lineRule="auto"/>
        <w:ind w:firstLine="560" w:firstLineChars="200"/>
        <w:rPr>
          <w:rFonts w:eastAsia="黑体"/>
          <w:sz w:val="28"/>
          <w:szCs w:val="28"/>
        </w:rPr>
      </w:pPr>
      <w:r>
        <w:rPr>
          <w:rFonts w:hint="eastAsia" w:eastAsia="黑体" w:cs="黑体"/>
          <w:sz w:val="28"/>
          <w:szCs w:val="28"/>
        </w:rPr>
        <w:t>十三、其他需要说明事项</w:t>
      </w:r>
    </w:p>
    <w:p w14:paraId="6F647304">
      <w:pPr>
        <w:spacing w:line="360" w:lineRule="auto"/>
        <w:ind w:firstLine="480" w:firstLineChars="200"/>
        <w:rPr>
          <w:sz w:val="24"/>
          <w:szCs w:val="24"/>
        </w:rPr>
      </w:pPr>
      <w:r>
        <w:rPr>
          <w:sz w:val="24"/>
          <w:szCs w:val="24"/>
        </w:rPr>
        <w:t>1</w:t>
      </w:r>
      <w:r>
        <w:rPr>
          <w:rFonts w:hint="eastAsia" w:cs="宋体"/>
          <w:sz w:val="24"/>
          <w:szCs w:val="24"/>
        </w:rPr>
        <w:t>、学位课为一级学科下所有专业方向的必修课程。必修环节为研究生培养过程中必须完成的培养活动。</w:t>
      </w:r>
    </w:p>
    <w:p w14:paraId="448B2458">
      <w:pPr>
        <w:spacing w:line="360" w:lineRule="auto"/>
        <w:ind w:firstLine="480" w:firstLineChars="200"/>
        <w:rPr>
          <w:sz w:val="24"/>
          <w:szCs w:val="24"/>
        </w:rPr>
      </w:pPr>
      <w:r>
        <w:rPr>
          <w:sz w:val="24"/>
          <w:szCs w:val="24"/>
        </w:rPr>
        <w:t>2</w:t>
      </w:r>
      <w:r>
        <w:rPr>
          <w:rFonts w:hint="eastAsia" w:cs="宋体"/>
          <w:sz w:val="24"/>
          <w:szCs w:val="24"/>
        </w:rPr>
        <w:t>、公共必修课中的外语课程按入学时的外国语考试科目修读相关语种。</w:t>
      </w:r>
    </w:p>
    <w:p w14:paraId="0B2CFEDD">
      <w:pPr>
        <w:spacing w:line="360" w:lineRule="auto"/>
        <w:ind w:firstLine="480" w:firstLineChars="200"/>
        <w:rPr>
          <w:sz w:val="24"/>
          <w:szCs w:val="24"/>
        </w:rPr>
      </w:pPr>
      <w:r>
        <w:rPr>
          <w:sz w:val="24"/>
          <w:szCs w:val="24"/>
        </w:rPr>
        <w:t>3</w:t>
      </w:r>
      <w:r>
        <w:rPr>
          <w:rFonts w:hint="eastAsia" w:cs="宋体"/>
          <w:sz w:val="24"/>
          <w:szCs w:val="24"/>
        </w:rPr>
        <w:t>、公共通识课程中的通修为必选课程。</w:t>
      </w:r>
    </w:p>
    <w:p w14:paraId="1141D38E">
      <w:pPr>
        <w:spacing w:line="360" w:lineRule="auto"/>
        <w:ind w:firstLine="480" w:firstLineChars="200"/>
        <w:rPr>
          <w:sz w:val="24"/>
          <w:szCs w:val="24"/>
        </w:rPr>
      </w:pPr>
      <w:r>
        <w:rPr>
          <w:sz w:val="24"/>
          <w:szCs w:val="24"/>
        </w:rPr>
        <w:t>4</w:t>
      </w:r>
      <w:r>
        <w:rPr>
          <w:rFonts w:hint="eastAsia" w:cs="宋体"/>
          <w:sz w:val="24"/>
          <w:szCs w:val="24"/>
        </w:rPr>
        <w:t>、按专业方向设置的非学位课方向课应至少按录取专业所对应的方向完成其中一个方向的修读要求。</w:t>
      </w:r>
    </w:p>
    <w:p w14:paraId="18EF74EE">
      <w:pPr>
        <w:spacing w:line="360" w:lineRule="auto"/>
        <w:ind w:firstLine="480" w:firstLineChars="200"/>
        <w:rPr>
          <w:sz w:val="24"/>
          <w:szCs w:val="24"/>
        </w:rPr>
      </w:pPr>
      <w:r>
        <w:rPr>
          <w:sz w:val="24"/>
          <w:szCs w:val="24"/>
        </w:rPr>
        <w:t>5</w:t>
      </w:r>
      <w:r>
        <w:rPr>
          <w:rFonts w:hint="eastAsia" w:cs="宋体"/>
          <w:sz w:val="24"/>
          <w:szCs w:val="24"/>
        </w:rPr>
        <w:t>、毕业总学分：学位课</w:t>
      </w:r>
      <w:r>
        <w:rPr>
          <w:sz w:val="24"/>
          <w:szCs w:val="24"/>
        </w:rPr>
        <w:t>+</w:t>
      </w:r>
      <w:r>
        <w:rPr>
          <w:rFonts w:hint="eastAsia" w:cs="宋体"/>
          <w:sz w:val="24"/>
          <w:szCs w:val="24"/>
        </w:rPr>
        <w:t>非学位课</w:t>
      </w:r>
      <w:r>
        <w:rPr>
          <w:sz w:val="24"/>
          <w:szCs w:val="24"/>
        </w:rPr>
        <w:t>+</w:t>
      </w:r>
      <w:r>
        <w:rPr>
          <w:rFonts w:hint="eastAsia" w:cs="宋体"/>
          <w:sz w:val="24"/>
          <w:szCs w:val="24"/>
        </w:rPr>
        <w:t>必修环节。</w:t>
      </w:r>
    </w:p>
    <w:p w14:paraId="47400154">
      <w:pPr>
        <w:spacing w:line="360" w:lineRule="auto"/>
        <w:ind w:firstLine="480" w:firstLineChars="200"/>
        <w:rPr>
          <w:rFonts w:eastAsia="黑体"/>
          <w:sz w:val="24"/>
          <w:szCs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楷体">
    <w:panose1 w:val="02010609060101010101"/>
    <w:charset w:val="86"/>
    <w:family w:val="modern"/>
    <w:pitch w:val="default"/>
    <w:sig w:usb0="800002BF" w:usb1="38CF7CFA" w:usb2="00000016" w:usb3="00000000" w:csb0="00040001"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3AAA20"/>
    <w:multiLevelType w:val="singleLevel"/>
    <w:tmpl w:val="C83AAA2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97151"/>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16F"/>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82CD9"/>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1DCD"/>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2739"/>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177D"/>
    <w:rsid w:val="002636A1"/>
    <w:rsid w:val="0026401B"/>
    <w:rsid w:val="00265C89"/>
    <w:rsid w:val="00265F6A"/>
    <w:rsid w:val="002661C1"/>
    <w:rsid w:val="002666C6"/>
    <w:rsid w:val="00266F5D"/>
    <w:rsid w:val="00267515"/>
    <w:rsid w:val="00267BCE"/>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63B"/>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4CD0"/>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50"/>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3437"/>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5FF"/>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061"/>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C23"/>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604D"/>
    <w:rsid w:val="008070E1"/>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233C"/>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6EF"/>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99E"/>
    <w:rsid w:val="00A11C1D"/>
    <w:rsid w:val="00A134A8"/>
    <w:rsid w:val="00A134DF"/>
    <w:rsid w:val="00A13705"/>
    <w:rsid w:val="00A13D1E"/>
    <w:rsid w:val="00A15080"/>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C4A"/>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245C"/>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84"/>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727"/>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5E32"/>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4D4677"/>
    <w:rsid w:val="01885466"/>
    <w:rsid w:val="04310280"/>
    <w:rsid w:val="05545FD4"/>
    <w:rsid w:val="098053EB"/>
    <w:rsid w:val="09B36B5F"/>
    <w:rsid w:val="09C27ACD"/>
    <w:rsid w:val="09C33F12"/>
    <w:rsid w:val="0C1D0EEF"/>
    <w:rsid w:val="0C611ACF"/>
    <w:rsid w:val="0F5F0397"/>
    <w:rsid w:val="12687563"/>
    <w:rsid w:val="1468482E"/>
    <w:rsid w:val="15374954"/>
    <w:rsid w:val="182D7794"/>
    <w:rsid w:val="18DB5C7B"/>
    <w:rsid w:val="19587220"/>
    <w:rsid w:val="1BB70BD2"/>
    <w:rsid w:val="1CEA4336"/>
    <w:rsid w:val="1D513780"/>
    <w:rsid w:val="1E4306F5"/>
    <w:rsid w:val="1E515134"/>
    <w:rsid w:val="1EF7468E"/>
    <w:rsid w:val="1F4E0726"/>
    <w:rsid w:val="1FE96C05"/>
    <w:rsid w:val="268169ED"/>
    <w:rsid w:val="29995DFC"/>
    <w:rsid w:val="2AD90BA6"/>
    <w:rsid w:val="2CDF621C"/>
    <w:rsid w:val="2D1B36F8"/>
    <w:rsid w:val="2D8B527C"/>
    <w:rsid w:val="2E0028ED"/>
    <w:rsid w:val="31A9402D"/>
    <w:rsid w:val="3316226B"/>
    <w:rsid w:val="331C24AB"/>
    <w:rsid w:val="35066A3B"/>
    <w:rsid w:val="368C56C3"/>
    <w:rsid w:val="36E25286"/>
    <w:rsid w:val="374603E0"/>
    <w:rsid w:val="379A5EA8"/>
    <w:rsid w:val="3BC02F15"/>
    <w:rsid w:val="3E437C8C"/>
    <w:rsid w:val="402F14D9"/>
    <w:rsid w:val="4070701F"/>
    <w:rsid w:val="439160C5"/>
    <w:rsid w:val="43A63197"/>
    <w:rsid w:val="458C4B1B"/>
    <w:rsid w:val="45E10996"/>
    <w:rsid w:val="463D4C31"/>
    <w:rsid w:val="48496F13"/>
    <w:rsid w:val="48DD3FE1"/>
    <w:rsid w:val="49935F6C"/>
    <w:rsid w:val="4AEC7759"/>
    <w:rsid w:val="4AFF2FB8"/>
    <w:rsid w:val="4B011D44"/>
    <w:rsid w:val="4C997D3D"/>
    <w:rsid w:val="4E1458CD"/>
    <w:rsid w:val="50D457E8"/>
    <w:rsid w:val="510936E3"/>
    <w:rsid w:val="51BF68A5"/>
    <w:rsid w:val="5385202A"/>
    <w:rsid w:val="539B25ED"/>
    <w:rsid w:val="53B35B89"/>
    <w:rsid w:val="54CF02BE"/>
    <w:rsid w:val="576553EC"/>
    <w:rsid w:val="595C3799"/>
    <w:rsid w:val="599A10F5"/>
    <w:rsid w:val="5A924D04"/>
    <w:rsid w:val="5DA509A3"/>
    <w:rsid w:val="5E111EA6"/>
    <w:rsid w:val="5E343D6A"/>
    <w:rsid w:val="5EEC4682"/>
    <w:rsid w:val="5FC133DB"/>
    <w:rsid w:val="5FC666B6"/>
    <w:rsid w:val="606357F4"/>
    <w:rsid w:val="60D55390"/>
    <w:rsid w:val="61891CD7"/>
    <w:rsid w:val="64F733FB"/>
    <w:rsid w:val="65652A5B"/>
    <w:rsid w:val="66A053F6"/>
    <w:rsid w:val="671464E6"/>
    <w:rsid w:val="678F5E93"/>
    <w:rsid w:val="67DF6AF4"/>
    <w:rsid w:val="6850354E"/>
    <w:rsid w:val="69166546"/>
    <w:rsid w:val="6D0B038C"/>
    <w:rsid w:val="6D415B5B"/>
    <w:rsid w:val="6E280AB8"/>
    <w:rsid w:val="6E69536A"/>
    <w:rsid w:val="709A3F00"/>
    <w:rsid w:val="72AC1CC9"/>
    <w:rsid w:val="73FC5A68"/>
    <w:rsid w:val="75091655"/>
    <w:rsid w:val="75175D1D"/>
    <w:rsid w:val="755510E9"/>
    <w:rsid w:val="75A830C2"/>
    <w:rsid w:val="75B94E29"/>
    <w:rsid w:val="766A7ED1"/>
    <w:rsid w:val="76E41A31"/>
    <w:rsid w:val="77FC724F"/>
    <w:rsid w:val="78515A11"/>
    <w:rsid w:val="788A03B6"/>
    <w:rsid w:val="7961380D"/>
    <w:rsid w:val="79956DF2"/>
    <w:rsid w:val="7A9674E6"/>
    <w:rsid w:val="7B46512E"/>
    <w:rsid w:val="7B9003DA"/>
    <w:rsid w:val="7C372603"/>
    <w:rsid w:val="7FC70D8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7"/>
    <w:qFormat/>
    <w:uiPriority w:val="99"/>
    <w:pPr>
      <w:keepNext/>
      <w:keepLines/>
      <w:spacing w:before="340" w:after="330" w:line="578" w:lineRule="auto"/>
      <w:jc w:val="center"/>
      <w:outlineLvl w:val="0"/>
    </w:pPr>
    <w:rPr>
      <w:rFonts w:eastAsia="华文行楷"/>
      <w:kern w:val="44"/>
      <w:sz w:val="44"/>
      <w:szCs w:val="44"/>
    </w:rPr>
  </w:style>
  <w:style w:type="paragraph" w:styleId="3">
    <w:name w:val="heading 2"/>
    <w:basedOn w:val="1"/>
    <w:next w:val="1"/>
    <w:link w:val="18"/>
    <w:qFormat/>
    <w:uiPriority w:val="99"/>
    <w:pPr>
      <w:keepNext/>
      <w:keepLines/>
      <w:spacing w:line="360" w:lineRule="auto"/>
      <w:jc w:val="center"/>
      <w:outlineLvl w:val="1"/>
    </w:pPr>
    <w:rPr>
      <w:rFonts w:ascii="Cambria" w:hAnsi="Cambria" w:cs="Cambria"/>
      <w:b/>
      <w:bCs/>
      <w:sz w:val="32"/>
      <w:szCs w:val="32"/>
    </w:rPr>
  </w:style>
  <w:style w:type="paragraph" w:styleId="4">
    <w:name w:val="heading 4"/>
    <w:basedOn w:val="1"/>
    <w:next w:val="1"/>
    <w:link w:val="19"/>
    <w:qFormat/>
    <w:uiPriority w:val="99"/>
    <w:pPr>
      <w:keepNext/>
      <w:keepLines/>
      <w:spacing w:before="280" w:after="290" w:line="376" w:lineRule="auto"/>
      <w:outlineLvl w:val="3"/>
    </w:pPr>
    <w:rPr>
      <w:rFonts w:ascii="Cambria" w:hAnsi="Cambria" w:cs="Cambria"/>
      <w:b/>
      <w:bCs/>
      <w:sz w:val="28"/>
      <w:szCs w:val="28"/>
    </w:rPr>
  </w:style>
  <w:style w:type="character" w:default="1" w:styleId="14">
    <w:name w:val="Default Paragraph Font"/>
    <w:semiHidden/>
    <w:qFormat/>
    <w:uiPriority w:val="99"/>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semiHidden/>
    <w:qFormat/>
    <w:uiPriority w:val="99"/>
    <w:pPr>
      <w:jc w:val="left"/>
    </w:pPr>
  </w:style>
  <w:style w:type="paragraph" w:styleId="6">
    <w:name w:val="Body Text"/>
    <w:basedOn w:val="1"/>
    <w:link w:val="21"/>
    <w:qFormat/>
    <w:uiPriority w:val="99"/>
    <w:rPr>
      <w:rFonts w:ascii="楷体" w:hAnsi="楷体" w:eastAsia="楷体" w:cs="楷体"/>
      <w:lang w:val="zh-CN"/>
    </w:rPr>
  </w:style>
  <w:style w:type="paragraph" w:styleId="7">
    <w:name w:val="Balloon Text"/>
    <w:basedOn w:val="1"/>
    <w:link w:val="22"/>
    <w:semiHidden/>
    <w:qFormat/>
    <w:uiPriority w:val="99"/>
    <w:rPr>
      <w:sz w:val="18"/>
      <w:szCs w:val="18"/>
    </w:rPr>
  </w:style>
  <w:style w:type="paragraph" w:styleId="8">
    <w:name w:val="footer"/>
    <w:basedOn w:val="1"/>
    <w:link w:val="23"/>
    <w:qFormat/>
    <w:uiPriority w:val="99"/>
    <w:pPr>
      <w:tabs>
        <w:tab w:val="center" w:pos="4153"/>
        <w:tab w:val="right" w:pos="8306"/>
      </w:tabs>
      <w:snapToGrid w:val="0"/>
      <w:jc w:val="left"/>
    </w:pPr>
    <w:rPr>
      <w:sz w:val="18"/>
      <w:szCs w:val="18"/>
    </w:rPr>
  </w:style>
  <w:style w:type="paragraph" w:styleId="9">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paragraph" w:styleId="11">
    <w:name w:val="annotation subject"/>
    <w:basedOn w:val="5"/>
    <w:next w:val="5"/>
    <w:link w:val="25"/>
    <w:semiHidden/>
    <w:qFormat/>
    <w:uiPriority w:val="99"/>
    <w:rPr>
      <w:b/>
      <w:bCs/>
    </w:rPr>
  </w:style>
  <w:style w:type="table" w:styleId="13">
    <w:name w:val="Table Grid"/>
    <w:basedOn w:val="12"/>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99"/>
    <w:rPr>
      <w:b/>
      <w:bCs/>
    </w:rPr>
  </w:style>
  <w:style w:type="character" w:styleId="16">
    <w:name w:val="annotation reference"/>
    <w:basedOn w:val="14"/>
    <w:semiHidden/>
    <w:qFormat/>
    <w:uiPriority w:val="99"/>
    <w:rPr>
      <w:sz w:val="21"/>
      <w:szCs w:val="21"/>
    </w:rPr>
  </w:style>
  <w:style w:type="character" w:customStyle="1" w:styleId="17">
    <w:name w:val="Heading 1 Char"/>
    <w:basedOn w:val="14"/>
    <w:link w:val="2"/>
    <w:qFormat/>
    <w:locked/>
    <w:uiPriority w:val="99"/>
    <w:rPr>
      <w:rFonts w:ascii="Times New Roman" w:hAnsi="Times New Roman" w:eastAsia="华文行楷" w:cs="Times New Roman"/>
      <w:kern w:val="44"/>
      <w:sz w:val="20"/>
      <w:szCs w:val="20"/>
    </w:rPr>
  </w:style>
  <w:style w:type="character" w:customStyle="1" w:styleId="18">
    <w:name w:val="Heading 2 Char"/>
    <w:basedOn w:val="14"/>
    <w:link w:val="3"/>
    <w:qFormat/>
    <w:locked/>
    <w:uiPriority w:val="99"/>
    <w:rPr>
      <w:rFonts w:ascii="Cambria" w:hAnsi="Cambria" w:eastAsia="宋体" w:cs="Cambria"/>
      <w:b/>
      <w:bCs/>
      <w:sz w:val="32"/>
      <w:szCs w:val="32"/>
    </w:rPr>
  </w:style>
  <w:style w:type="character" w:customStyle="1" w:styleId="19">
    <w:name w:val="Heading 4 Char"/>
    <w:basedOn w:val="14"/>
    <w:link w:val="4"/>
    <w:semiHidden/>
    <w:qFormat/>
    <w:locked/>
    <w:uiPriority w:val="99"/>
    <w:rPr>
      <w:rFonts w:ascii="Cambria" w:hAnsi="Cambria" w:eastAsia="宋体" w:cs="Cambria"/>
      <w:b/>
      <w:bCs/>
      <w:kern w:val="2"/>
      <w:sz w:val="28"/>
      <w:szCs w:val="28"/>
    </w:rPr>
  </w:style>
  <w:style w:type="character" w:customStyle="1" w:styleId="20">
    <w:name w:val="Comment Text Char"/>
    <w:basedOn w:val="14"/>
    <w:link w:val="5"/>
    <w:semiHidden/>
    <w:qFormat/>
    <w:locked/>
    <w:uiPriority w:val="99"/>
    <w:rPr>
      <w:rFonts w:ascii="Times New Roman" w:hAnsi="Times New Roman" w:eastAsia="宋体" w:cs="Times New Roman"/>
      <w:sz w:val="24"/>
      <w:szCs w:val="24"/>
    </w:rPr>
  </w:style>
  <w:style w:type="character" w:customStyle="1" w:styleId="21">
    <w:name w:val="Body Text Char"/>
    <w:basedOn w:val="14"/>
    <w:link w:val="6"/>
    <w:semiHidden/>
    <w:qFormat/>
    <w:locked/>
    <w:uiPriority w:val="99"/>
    <w:rPr>
      <w:sz w:val="21"/>
      <w:szCs w:val="21"/>
    </w:rPr>
  </w:style>
  <w:style w:type="character" w:customStyle="1" w:styleId="22">
    <w:name w:val="Balloon Text Char"/>
    <w:basedOn w:val="14"/>
    <w:link w:val="7"/>
    <w:semiHidden/>
    <w:qFormat/>
    <w:locked/>
    <w:uiPriority w:val="99"/>
    <w:rPr>
      <w:rFonts w:ascii="Times New Roman" w:hAnsi="Times New Roman" w:eastAsia="宋体" w:cs="Times New Roman"/>
      <w:sz w:val="18"/>
      <w:szCs w:val="18"/>
    </w:rPr>
  </w:style>
  <w:style w:type="character" w:customStyle="1" w:styleId="23">
    <w:name w:val="Footer Char"/>
    <w:basedOn w:val="14"/>
    <w:link w:val="8"/>
    <w:qFormat/>
    <w:locked/>
    <w:uiPriority w:val="99"/>
    <w:rPr>
      <w:rFonts w:ascii="Times New Roman" w:hAnsi="Times New Roman" w:eastAsia="宋体" w:cs="Times New Roman"/>
      <w:sz w:val="18"/>
      <w:szCs w:val="18"/>
    </w:rPr>
  </w:style>
  <w:style w:type="character" w:customStyle="1" w:styleId="24">
    <w:name w:val="Header Char"/>
    <w:basedOn w:val="14"/>
    <w:link w:val="9"/>
    <w:qFormat/>
    <w:locked/>
    <w:uiPriority w:val="99"/>
    <w:rPr>
      <w:rFonts w:ascii="Times New Roman" w:hAnsi="Times New Roman" w:eastAsia="宋体" w:cs="Times New Roman"/>
      <w:sz w:val="18"/>
      <w:szCs w:val="18"/>
    </w:rPr>
  </w:style>
  <w:style w:type="character" w:customStyle="1" w:styleId="25">
    <w:name w:val="Comment Subject Char"/>
    <w:basedOn w:val="20"/>
    <w:link w:val="11"/>
    <w:semiHidden/>
    <w:qFormat/>
    <w:locked/>
    <w:uiPriority w:val="99"/>
    <w:rPr>
      <w:b/>
      <w:bCs/>
    </w:rPr>
  </w:style>
  <w:style w:type="paragraph" w:customStyle="1" w:styleId="26">
    <w:name w:val="Default"/>
    <w:qFormat/>
    <w:uiPriority w:val="99"/>
    <w:pPr>
      <w:autoSpaceDE w:val="0"/>
      <w:autoSpaceDN w:val="0"/>
      <w:adjustRightInd w:val="0"/>
    </w:pPr>
    <w:rPr>
      <w:rFonts w:ascii="Georgia" w:hAnsi="Georgia" w:eastAsia="宋体" w:cs="Georgia"/>
      <w:color w:val="000000"/>
      <w:kern w:val="0"/>
      <w:sz w:val="24"/>
      <w:szCs w:val="24"/>
      <w:lang w:val="en-US" w:eastAsia="zh-CN" w:bidi="ar-SA"/>
    </w:rPr>
  </w:style>
  <w:style w:type="paragraph" w:customStyle="1" w:styleId="27">
    <w:name w:val="vsbcontent_end"/>
    <w:basedOn w:val="1"/>
    <w:qFormat/>
    <w:uiPriority w:val="99"/>
    <w:pPr>
      <w:widowControl/>
      <w:spacing w:before="100" w:beforeAutospacing="1" w:after="100" w:afterAutospacing="1"/>
      <w:jc w:val="left"/>
    </w:pPr>
    <w:rPr>
      <w:rFonts w:ascii="宋体" w:hAnsi="宋体" w:cs="宋体"/>
      <w:kern w:val="0"/>
      <w:sz w:val="24"/>
      <w:szCs w:val="24"/>
    </w:rPr>
  </w:style>
  <w:style w:type="paragraph" w:styleId="2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yanjiushengyuan</Company>
  <Pages>6</Pages>
  <Words>4044</Words>
  <Characters>4272</Characters>
  <Lines>0</Lines>
  <Paragraphs>0</Paragraphs>
  <TotalTime>2</TotalTime>
  <ScaleCrop>false</ScaleCrop>
  <LinksUpToDate>false</LinksUpToDate>
  <CharactersWithSpaces>4283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卞雪梅</cp:lastModifiedBy>
  <cp:lastPrinted>2025-03-14T03:17:00Z</cp:lastPrinted>
  <dcterms:modified xsi:type="dcterms:W3CDTF">2025-07-09T08:54:35Z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eyJoZGlkIjoiOWY1Yjc4ZmVhZDFmY2I3YzYxOWRiYzk2YWRkOTc3YTQiLCJ1c2VySWQiOiI1MTUyNzkwNzYifQ==</vt:lpwstr>
  </property>
  <property fmtid="{D5CDD505-2E9C-101B-9397-08002B2CF9AE}" pid="4" name="ICV">
    <vt:lpwstr>9BBEBE536C07410F9858389B863993C6_12</vt:lpwstr>
  </property>
</Properties>
</file>