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288EA">
      <w:pPr>
        <w:ind w:left="321" w:leftChars="153" w:right="227"/>
        <w:jc w:val="center"/>
        <w:rPr>
          <w:rFonts w:eastAsia="黑体"/>
          <w:b/>
          <w:bCs/>
          <w:sz w:val="36"/>
          <w:szCs w:val="36"/>
        </w:rPr>
      </w:pPr>
      <w:r>
        <w:rPr>
          <w:rFonts w:hint="eastAsia" w:eastAsia="黑体"/>
          <w:b/>
          <w:bCs/>
          <w:sz w:val="36"/>
          <w:szCs w:val="36"/>
          <w:u w:val="single"/>
        </w:rPr>
        <w:t>外国</w:t>
      </w:r>
      <w:r>
        <w:rPr>
          <w:rFonts w:eastAsia="黑体"/>
          <w:b/>
          <w:bCs/>
          <w:sz w:val="36"/>
          <w:szCs w:val="36"/>
          <w:u w:val="single"/>
        </w:rPr>
        <w:t>哲学</w:t>
      </w:r>
      <w:r>
        <w:rPr>
          <w:rFonts w:eastAsia="黑体"/>
          <w:b/>
          <w:bCs/>
          <w:sz w:val="36"/>
          <w:szCs w:val="36"/>
        </w:rPr>
        <w:t>专业学术学位硕士研究生培养方案</w:t>
      </w:r>
    </w:p>
    <w:p w14:paraId="16CB6E20">
      <w:pPr>
        <w:ind w:left="321" w:leftChars="153" w:right="227"/>
        <w:jc w:val="center"/>
        <w:rPr>
          <w:rFonts w:eastAsia="黑体"/>
          <w:b/>
          <w:bCs/>
          <w:sz w:val="28"/>
          <w:szCs w:val="28"/>
        </w:rPr>
      </w:pPr>
      <w:r>
        <w:rPr>
          <w:rFonts w:eastAsia="黑体"/>
          <w:b/>
          <w:bCs/>
          <w:sz w:val="28"/>
          <w:szCs w:val="28"/>
        </w:rPr>
        <w:t>（哲学与社会学学院)</w:t>
      </w:r>
    </w:p>
    <w:p w14:paraId="113CA7AA">
      <w:pPr>
        <w:spacing w:line="360" w:lineRule="auto"/>
        <w:ind w:firstLine="560" w:firstLineChars="200"/>
        <w:rPr>
          <w:rFonts w:eastAsia="黑体"/>
          <w:bCs/>
          <w:sz w:val="28"/>
          <w:szCs w:val="28"/>
        </w:rPr>
      </w:pPr>
      <w:r>
        <w:rPr>
          <w:rFonts w:eastAsia="黑体"/>
          <w:bCs/>
          <w:sz w:val="28"/>
          <w:szCs w:val="28"/>
        </w:rPr>
        <w:t>一、专业名称、代码</w:t>
      </w:r>
    </w:p>
    <w:p w14:paraId="5EF8D037">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外国哲学</w:t>
      </w:r>
    </w:p>
    <w:p w14:paraId="0A58B54F">
      <w:pPr>
        <w:widowControl/>
        <w:spacing w:line="360" w:lineRule="auto"/>
        <w:ind w:firstLine="960" w:firstLineChars="400"/>
        <w:jc w:val="left"/>
        <w:rPr>
          <w:color w:val="222222"/>
          <w:kern w:val="0"/>
          <w:sz w:val="18"/>
          <w:szCs w:val="18"/>
        </w:rPr>
      </w:pPr>
      <w:r>
        <w:rPr>
          <w:color w:val="222222"/>
          <w:kern w:val="0"/>
          <w:sz w:val="24"/>
        </w:rPr>
        <w:t>专业代码：0101</w:t>
      </w:r>
      <w:r>
        <w:rPr>
          <w:rFonts w:hint="eastAsia"/>
          <w:color w:val="222222"/>
          <w:kern w:val="0"/>
          <w:sz w:val="24"/>
        </w:rPr>
        <w:t>03</w:t>
      </w:r>
    </w:p>
    <w:p w14:paraId="08305DB0">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046A1E0">
      <w:pPr>
        <w:spacing w:line="360" w:lineRule="auto"/>
        <w:ind w:firstLine="480" w:firstLineChars="200"/>
        <w:rPr>
          <w:rFonts w:hint="eastAsia" w:ascii="宋体" w:hAnsi="宋体" w:cs="宋体"/>
          <w:sz w:val="24"/>
        </w:rPr>
      </w:pPr>
      <w:r>
        <w:rPr>
          <w:rFonts w:hint="eastAsia" w:ascii="宋体" w:hAnsi="宋体" w:cs="宋体"/>
          <w:sz w:val="24"/>
        </w:rPr>
        <w:t>河北大学哲学学科是河北省唯一学科层次齐全的学科，是河北省哲学学科人才培养基地、人才聚集高地、科学研究基地。1955年设立哲学本科专业。外国哲学学科是河北大学近年来重点建设的哲学学科，2021年开始设立硕士学位授权点。外国哲学专业是哲学一级学科下设的重要二级学科，致力于研究西方哲学的经典文本、关键人物与核心问题，努力培养具备国际视野和批判性思维的哲学研究人才。目前本专业教师5人，以中青年教师为主，4人具有重点大学外国哲学专业博士学位，发展势头良好。专业依托国内知名学者并基于自身师资优势，设立语言哲学、心灵哲学与德国古典哲学三个研究方向。本专业已经与国内知名高校的哲学院系建立起稳固的分享与交流渠道。通过深入的经典研读、丰富的学术交流，学生可以奠定扎实的学术基础，胜任高校、科研机构或文化传播等领域的工作。</w:t>
      </w:r>
    </w:p>
    <w:p w14:paraId="48C2F733">
      <w:pPr>
        <w:spacing w:line="360" w:lineRule="auto"/>
        <w:ind w:firstLine="560" w:firstLineChars="200"/>
        <w:rPr>
          <w:rFonts w:eastAsia="黑体"/>
          <w:bCs/>
          <w:sz w:val="28"/>
          <w:szCs w:val="28"/>
        </w:rPr>
      </w:pPr>
      <w:r>
        <w:rPr>
          <w:rFonts w:eastAsia="黑体"/>
          <w:bCs/>
          <w:sz w:val="28"/>
          <w:szCs w:val="28"/>
        </w:rPr>
        <w:t>三、研究方向</w:t>
      </w:r>
    </w:p>
    <w:p w14:paraId="1551AC81">
      <w:pPr>
        <w:widowControl/>
        <w:spacing w:line="360" w:lineRule="auto"/>
        <w:ind w:firstLine="480" w:firstLineChars="200"/>
        <w:jc w:val="left"/>
        <w:rPr>
          <w:rFonts w:ascii="宋体" w:hAnsi="宋体" w:cs="宋体"/>
          <w:color w:val="FF0000"/>
          <w:sz w:val="24"/>
        </w:rPr>
      </w:pPr>
      <w:r>
        <w:rPr>
          <w:rFonts w:hint="eastAsia" w:ascii="宋体" w:hAnsi="宋体" w:cs="宋体"/>
          <w:sz w:val="24"/>
        </w:rPr>
        <w:t>外国哲学专业下设三个主要研究方向。</w:t>
      </w:r>
    </w:p>
    <w:p w14:paraId="795385D6">
      <w:pPr>
        <w:spacing w:line="360" w:lineRule="auto"/>
        <w:ind w:firstLine="480" w:firstLineChars="200"/>
        <w:rPr>
          <w:rFonts w:ascii="宋体" w:hAnsi="宋体" w:cs="宋体"/>
          <w:sz w:val="24"/>
          <w:u w:val="single"/>
        </w:rPr>
      </w:pPr>
      <w:r>
        <w:rPr>
          <w:rFonts w:hint="eastAsia" w:ascii="宋体" w:hAnsi="宋体" w:cs="宋体"/>
          <w:sz w:val="24"/>
        </w:rPr>
        <w:t>第一，语言哲学研究。语言哲学是外国哲学的重要分支，主要研究语言、意义、思维与世界的关系，其核心问题包括指称、意义、真理、理解及言语行为等。该方向以分析哲学传统为基础，关注弗雷格、维特根斯坦、罗素、奎因、克里普克、达米特、戴维森等哲学家的理论，探讨语言如何表征现实、意义如何被确定以及语言使用背后的规则。同时，语言哲学也涉及逻辑学、认知科学和语言学，分析隐喻、歧义和语言的社会维度等问题。</w:t>
      </w:r>
    </w:p>
    <w:p w14:paraId="14424CB2">
      <w:pPr>
        <w:spacing w:line="360" w:lineRule="auto"/>
        <w:ind w:firstLine="480" w:firstLineChars="200"/>
        <w:rPr>
          <w:rFonts w:ascii="宋体" w:hAnsi="宋体" w:cs="宋体"/>
          <w:sz w:val="24"/>
        </w:rPr>
      </w:pPr>
      <w:r>
        <w:rPr>
          <w:rFonts w:hint="eastAsia" w:ascii="宋体" w:hAnsi="宋体" w:cs="宋体"/>
          <w:sz w:val="24"/>
        </w:rPr>
        <w:t>第二，心灵哲学研究。心灵哲学作为外国哲学的核心领域之一，致力于探究心灵的形而上学本质及其与物质世界的关系。该研究方向系统考察各种经典理论范式，包括笛卡尔式二元论、物理主义，以及新兴的泛心论等，深入分析知觉、意向性、自由意志等基础性哲学难题。在当前，心灵哲学也积极与认知科学、神经科学及人工智能等前沿领域展开对话，深入研究与意识和智能相关的交叉问题以及机器是否可能具有“理解力”和“意识”等前沿议题。</w:t>
      </w:r>
    </w:p>
    <w:p w14:paraId="0145E6E4">
      <w:pPr>
        <w:spacing w:line="360" w:lineRule="auto"/>
        <w:ind w:firstLine="480" w:firstLineChars="200"/>
        <w:rPr>
          <w:rFonts w:eastAsiaTheme="minorEastAsia"/>
          <w:color w:val="000000" w:themeColor="text1"/>
          <w:sz w:val="24"/>
          <w14:textFill>
            <w14:solidFill>
              <w14:schemeClr w14:val="tx1"/>
            </w14:solidFill>
          </w14:textFill>
        </w:rPr>
      </w:pPr>
      <w:r>
        <w:rPr>
          <w:rFonts w:hint="eastAsia" w:ascii="宋体" w:hAnsi="宋体" w:cs="宋体"/>
          <w:sz w:val="24"/>
        </w:rPr>
        <w:t>第三，德国古典哲学研究。德国古典哲学以康德、费希特、谢林和黑格尔的经典著为研究核心，系统考察18世纪末至19世纪初德国哲学的思想体系与理论演进。该研究方向聚焦先验哲学、辩证法与观念论传统，深入探讨康德批判哲学引发的"哥白尼革命"，费希特知识学的自我设定原则，谢林的自然哲学学说，以及黑格尔精神现象学的辩证法体系。该研究方向不仅关注德国观念论内部的发展逻辑，也重视主体性、道德自律、历史理性等具有现实意义的哲学议题</w:t>
      </w:r>
      <w:r>
        <w:rPr>
          <w:rFonts w:hint="eastAsia" w:eastAsiaTheme="minorEastAsia"/>
          <w:color w:val="000000" w:themeColor="text1"/>
          <w:sz w:val="24"/>
          <w14:textFill>
            <w14:solidFill>
              <w14:schemeClr w14:val="tx1"/>
            </w14:solidFill>
          </w14:textFill>
        </w:rPr>
        <w:t>。</w:t>
      </w:r>
    </w:p>
    <w:p w14:paraId="044F797D">
      <w:pPr>
        <w:spacing w:line="360" w:lineRule="auto"/>
        <w:ind w:firstLine="560" w:firstLineChars="200"/>
        <w:rPr>
          <w:rFonts w:eastAsia="黑体"/>
          <w:bCs/>
          <w:sz w:val="28"/>
          <w:szCs w:val="28"/>
        </w:rPr>
      </w:pPr>
      <w:r>
        <w:rPr>
          <w:rFonts w:eastAsia="黑体"/>
          <w:bCs/>
          <w:sz w:val="28"/>
          <w:szCs w:val="28"/>
        </w:rPr>
        <w:t>四、学制及学习年限</w:t>
      </w:r>
    </w:p>
    <w:p w14:paraId="77F45918">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740ADFC2">
      <w:pPr>
        <w:spacing w:line="360" w:lineRule="auto"/>
        <w:ind w:firstLine="560" w:firstLineChars="200"/>
        <w:rPr>
          <w:rFonts w:eastAsia="黑体"/>
          <w:bCs/>
          <w:sz w:val="28"/>
          <w:szCs w:val="28"/>
        </w:rPr>
      </w:pPr>
      <w:r>
        <w:rPr>
          <w:rFonts w:eastAsia="黑体"/>
          <w:bCs/>
          <w:sz w:val="28"/>
          <w:szCs w:val="28"/>
        </w:rPr>
        <w:t>五、培养目标</w:t>
      </w:r>
    </w:p>
    <w:p w14:paraId="64F4FB46">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树立正确的中国特色社会主义核心价值观，具有坚定的理想信念，高尚的道德情操，优良的学术作风，高度的社会责任感。</w:t>
      </w:r>
    </w:p>
    <w:p w14:paraId="2558958E">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掌握</w:t>
      </w:r>
      <w:r>
        <w:rPr>
          <w:rFonts w:hint="eastAsia" w:eastAsiaTheme="minorEastAsia"/>
          <w:color w:val="000000" w:themeColor="text1"/>
          <w:sz w:val="24"/>
          <w14:textFill>
            <w14:solidFill>
              <w14:schemeClr w14:val="tx1"/>
            </w14:solidFill>
          </w14:textFill>
        </w:rPr>
        <w:t>外国哲学学科</w:t>
      </w:r>
      <w:r>
        <w:rPr>
          <w:rFonts w:eastAsiaTheme="minorEastAsia"/>
          <w:color w:val="000000" w:themeColor="text1"/>
          <w:sz w:val="24"/>
          <w14:textFill>
            <w14:solidFill>
              <w14:schemeClr w14:val="tx1"/>
            </w14:solidFill>
          </w14:textFill>
        </w:rPr>
        <w:t>坚实的基础理论和系统的专门知识，</w:t>
      </w:r>
      <w:r>
        <w:rPr>
          <w:rFonts w:hint="eastAsia" w:eastAsiaTheme="minorEastAsia"/>
          <w:color w:val="000000" w:themeColor="text1"/>
          <w:sz w:val="24"/>
          <w14:textFill>
            <w14:solidFill>
              <w14:schemeClr w14:val="tx1"/>
            </w14:solidFill>
          </w14:textFill>
        </w:rPr>
        <w:t>熟悉外国哲学学科的主要原典和基本资料</w:t>
      </w:r>
      <w:r>
        <w:rPr>
          <w:rFonts w:eastAsiaTheme="minorEastAsia"/>
          <w:color w:val="000000" w:themeColor="text1"/>
          <w:sz w:val="24"/>
          <w14:textFill>
            <w14:solidFill>
              <w14:schemeClr w14:val="tx1"/>
            </w14:solidFill>
          </w14:textFill>
        </w:rPr>
        <w:t>，熟悉本学科的前沿研究领域，具有独立从事科学研究和解决实际问题的能力。</w:t>
      </w:r>
    </w:p>
    <w:p w14:paraId="526E3C5B">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至少掌握一门外国语，能熟练阅读本专业的外文资料，具有撰写学术论文和进行国际学术交流的能力。</w:t>
      </w:r>
    </w:p>
    <w:p w14:paraId="6A0E4BBE">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具有良好的团队意识和团队合作精神。</w:t>
      </w:r>
    </w:p>
    <w:p w14:paraId="417CAC50">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具有健康的身体和良好的心理素质。</w:t>
      </w:r>
    </w:p>
    <w:p w14:paraId="7DDB666A">
      <w:pPr>
        <w:spacing w:line="360" w:lineRule="auto"/>
        <w:ind w:firstLine="480" w:firstLineChars="200"/>
        <w:rPr>
          <w:rFonts w:eastAsiaTheme="minorEastAsia"/>
          <w:i/>
          <w:color w:val="FF0000"/>
          <w:sz w:val="24"/>
        </w:rPr>
      </w:pPr>
      <w:r>
        <w:rPr>
          <w:rFonts w:hint="eastAsia" w:eastAsiaTheme="minorEastAsia"/>
          <w:color w:val="000000" w:themeColor="text1"/>
          <w:sz w:val="24"/>
          <w14:textFill>
            <w14:solidFill>
              <w14:schemeClr w14:val="tx1"/>
            </w14:solidFill>
          </w14:textFill>
        </w:rPr>
        <w:t>6. 培养德智体美劳全面发展的社会主义事业接班人。</w:t>
      </w:r>
    </w:p>
    <w:p w14:paraId="0153F810">
      <w:pPr>
        <w:spacing w:line="360" w:lineRule="auto"/>
        <w:ind w:firstLine="560" w:firstLineChars="200"/>
        <w:rPr>
          <w:rFonts w:eastAsia="黑体"/>
          <w:bCs/>
          <w:sz w:val="28"/>
          <w:szCs w:val="28"/>
        </w:rPr>
      </w:pPr>
      <w:r>
        <w:rPr>
          <w:rFonts w:eastAsia="黑体"/>
          <w:bCs/>
          <w:sz w:val="28"/>
          <w:szCs w:val="28"/>
        </w:rPr>
        <w:t>六、培养方式</w:t>
      </w:r>
    </w:p>
    <w:p w14:paraId="0306F439">
      <w:pPr>
        <w:spacing w:line="360" w:lineRule="auto"/>
        <w:ind w:firstLine="480" w:firstLineChars="200"/>
        <w:rPr>
          <w:rFonts w:eastAsiaTheme="minorEastAsia"/>
          <w:sz w:val="24"/>
        </w:rPr>
      </w:pPr>
      <w:r>
        <w:rPr>
          <w:rFonts w:hint="eastAsia" w:eastAsiaTheme="minorEastAsia"/>
          <w:sz w:val="24"/>
        </w:rPr>
        <w:t>全日制。以培养学生的学术研究能力和创新能力为核心，主要采取以下方式：</w:t>
      </w:r>
    </w:p>
    <w:p w14:paraId="3CD3EFBF">
      <w:pPr>
        <w:spacing w:line="360" w:lineRule="auto"/>
        <w:ind w:firstLine="480" w:firstLineChars="200"/>
        <w:rPr>
          <w:rFonts w:eastAsiaTheme="minorEastAsia"/>
          <w:sz w:val="24"/>
        </w:rPr>
      </w:pPr>
      <w:r>
        <w:rPr>
          <w:rFonts w:eastAsiaTheme="minorEastAsia"/>
          <w:sz w:val="24"/>
        </w:rPr>
        <w:t>1.</w:t>
      </w:r>
      <w:r>
        <w:rPr>
          <w:rFonts w:hint="eastAsia" w:eastAsiaTheme="minorEastAsia"/>
          <w:sz w:val="24"/>
        </w:rPr>
        <w:t>课程学习和经典研读相结合。通过课程学习构建学生系统的学科知识体系，通过经典研读培养学生对哲学传统的深入理解。教学方式强调文本细读与批判性讨论，其核心目标是夯实理论基础，塑造哲学思维范式。</w:t>
      </w:r>
    </w:p>
    <w:p w14:paraId="29A13F58">
      <w:pPr>
        <w:spacing w:line="360" w:lineRule="auto"/>
        <w:ind w:firstLine="480" w:firstLineChars="200"/>
        <w:rPr>
          <w:rFonts w:eastAsiaTheme="minorEastAsia"/>
          <w:sz w:val="24"/>
        </w:rPr>
      </w:pPr>
      <w:r>
        <w:rPr>
          <w:rFonts w:eastAsiaTheme="minorEastAsia"/>
          <w:sz w:val="24"/>
        </w:rPr>
        <w:t>2.</w:t>
      </w:r>
      <w:r>
        <w:rPr>
          <w:rFonts w:hint="eastAsia" w:eastAsiaTheme="minorEastAsia"/>
          <w:sz w:val="24"/>
        </w:rPr>
        <w:t>导师负责制与科研训练相结合。导师制作为学术能力孵化的核心机制，贯穿培养全程。通过科研训练不断培养学生的科研能力，其核心目标是实现学生科研能力的内化，推动学生从知识接受者向独立研究者过渡。</w:t>
      </w:r>
    </w:p>
    <w:p w14:paraId="3C41AD39">
      <w:pPr>
        <w:spacing w:line="360" w:lineRule="auto"/>
        <w:ind w:firstLine="560" w:firstLineChars="200"/>
        <w:rPr>
          <w:rFonts w:eastAsia="黑体"/>
          <w:bCs/>
          <w:sz w:val="28"/>
          <w:szCs w:val="28"/>
        </w:rPr>
      </w:pPr>
      <w:r>
        <w:rPr>
          <w:rFonts w:eastAsia="黑体"/>
          <w:bCs/>
          <w:sz w:val="28"/>
          <w:szCs w:val="28"/>
        </w:rPr>
        <w:t>七、中期筛选</w:t>
      </w:r>
    </w:p>
    <w:p w14:paraId="3E9F3B7C">
      <w:pPr>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7DB9E90C">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02E6BDE">
      <w:pPr>
        <w:widowControl/>
        <w:spacing w:line="360" w:lineRule="auto"/>
        <w:ind w:firstLine="480" w:firstLineChars="200"/>
        <w:jc w:val="left"/>
        <w:rPr>
          <w:color w:val="222222"/>
          <w:kern w:val="0"/>
          <w:sz w:val="24"/>
        </w:rPr>
      </w:pPr>
      <w:r>
        <w:rPr>
          <w:color w:val="222222"/>
          <w:kern w:val="0"/>
          <w:sz w:val="24"/>
        </w:rPr>
        <w:t>1.</w:t>
      </w:r>
      <w:r>
        <w:rPr>
          <w:rFonts w:hint="eastAsia"/>
          <w:color w:val="222222"/>
          <w:kern w:val="0"/>
          <w:sz w:val="24"/>
        </w:rPr>
        <w:t xml:space="preserve"> </w:t>
      </w:r>
      <w:r>
        <w:rPr>
          <w:color w:val="222222"/>
          <w:kern w:val="0"/>
          <w:sz w:val="24"/>
        </w:rPr>
        <w:t>总体要求：按照《河北大学关于开展2025版研究生培养方案修订工作的指导意见》（校政字〔2025〕9号）规定，硕士研究生论文开题与答辩时间间隔原则上不少于12个月。学位（毕业）论文应当表明作者具有独立从事学术研究工作的能力，鼓励硕士研究生参与科学研究，取得创新性成果。</w:t>
      </w:r>
    </w:p>
    <w:p w14:paraId="6FECFCE3">
      <w:pPr>
        <w:widowControl/>
        <w:spacing w:line="360" w:lineRule="auto"/>
        <w:ind w:firstLine="480" w:firstLineChars="200"/>
        <w:jc w:val="left"/>
        <w:rPr>
          <w:color w:val="222222"/>
          <w:kern w:val="0"/>
          <w:sz w:val="24"/>
        </w:rPr>
      </w:pPr>
      <w:r>
        <w:rPr>
          <w:color w:val="222222"/>
          <w:kern w:val="0"/>
          <w:sz w:val="24"/>
        </w:rPr>
        <w:t>2.</w:t>
      </w:r>
      <w:r>
        <w:rPr>
          <w:rFonts w:hint="eastAsia"/>
          <w:color w:val="222222"/>
          <w:kern w:val="0"/>
          <w:sz w:val="24"/>
        </w:rPr>
        <w:t xml:space="preserve"> </w:t>
      </w:r>
      <w:r>
        <w:rPr>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1AE771D">
      <w:pPr>
        <w:widowControl/>
        <w:spacing w:line="360" w:lineRule="auto"/>
        <w:ind w:firstLine="480" w:firstLineChars="200"/>
        <w:jc w:val="left"/>
        <w:rPr>
          <w:color w:val="222222"/>
          <w:kern w:val="0"/>
          <w:sz w:val="24"/>
        </w:rPr>
      </w:pPr>
      <w:r>
        <w:rPr>
          <w:color w:val="222222"/>
          <w:kern w:val="0"/>
          <w:sz w:val="24"/>
        </w:rPr>
        <w:t>原则上在入学后第3学期（最迟不超过第4学期）完成开题。开题由3-5名具有高级专业技术职务人员参加，以学术报告的方式进行。</w:t>
      </w:r>
    </w:p>
    <w:p w14:paraId="4D1C8E0B">
      <w:pPr>
        <w:widowControl/>
        <w:spacing w:line="360" w:lineRule="auto"/>
        <w:ind w:firstLine="480" w:firstLineChars="200"/>
        <w:jc w:val="left"/>
        <w:rPr>
          <w:color w:val="222222"/>
          <w:kern w:val="0"/>
          <w:sz w:val="24"/>
        </w:rPr>
      </w:pPr>
      <w:r>
        <w:rPr>
          <w:color w:val="222222"/>
          <w:kern w:val="0"/>
          <w:sz w:val="24"/>
        </w:rPr>
        <w:t>3.</w:t>
      </w:r>
      <w:r>
        <w:rPr>
          <w:rFonts w:hint="eastAsia"/>
          <w:color w:val="222222"/>
          <w:kern w:val="0"/>
          <w:sz w:val="24"/>
        </w:rPr>
        <w:t xml:space="preserve"> </w:t>
      </w:r>
      <w:r>
        <w:rPr>
          <w:color w:val="222222"/>
          <w:kern w:val="0"/>
          <w:sz w:val="24"/>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B82153C">
      <w:pPr>
        <w:widowControl/>
        <w:spacing w:line="360" w:lineRule="auto"/>
        <w:ind w:firstLine="480" w:firstLineChars="200"/>
        <w:jc w:val="left"/>
        <w:rPr>
          <w:color w:val="222222"/>
          <w:kern w:val="0"/>
          <w:sz w:val="24"/>
        </w:rPr>
      </w:pPr>
      <w:r>
        <w:rPr>
          <w:color w:val="222222"/>
          <w:kern w:val="0"/>
          <w:sz w:val="24"/>
        </w:rPr>
        <w:t>4.</w:t>
      </w:r>
      <w:r>
        <w:rPr>
          <w:rFonts w:hint="eastAsia"/>
          <w:color w:val="222222"/>
          <w:kern w:val="0"/>
          <w:sz w:val="24"/>
        </w:rPr>
        <w:t xml:space="preserve"> </w:t>
      </w:r>
      <w:r>
        <w:rPr>
          <w:color w:val="222222"/>
          <w:kern w:val="0"/>
          <w:sz w:val="24"/>
        </w:rPr>
        <w:t>学位申请：达到学位授予条件的申请人，经导师同意后，应于答辩前三个月，向所属学位评定分委员会提出学位申请，提交学位申请材料。</w:t>
      </w:r>
    </w:p>
    <w:p w14:paraId="28758573">
      <w:pPr>
        <w:widowControl/>
        <w:spacing w:line="360" w:lineRule="auto"/>
        <w:ind w:firstLine="480" w:firstLineChars="200"/>
        <w:jc w:val="left"/>
        <w:rPr>
          <w:color w:val="222222"/>
          <w:kern w:val="0"/>
          <w:sz w:val="24"/>
        </w:rPr>
      </w:pPr>
      <w:r>
        <w:rPr>
          <w:color w:val="222222"/>
          <w:kern w:val="0"/>
          <w:sz w:val="24"/>
        </w:rPr>
        <w:t>5.</w:t>
      </w:r>
      <w:r>
        <w:rPr>
          <w:rFonts w:hint="eastAsia"/>
          <w:color w:val="222222"/>
          <w:kern w:val="0"/>
          <w:sz w:val="24"/>
        </w:rPr>
        <w:t xml:space="preserve"> </w:t>
      </w:r>
      <w:r>
        <w:rPr>
          <w:color w:val="222222"/>
          <w:kern w:val="0"/>
          <w:sz w:val="24"/>
        </w:rPr>
        <w:t>预答辩：学位申请人须进行学位论文预答辩。预答辩通过者，方可进入学位论文评阅、学位论文答辩等环节。学位（毕业）论文预答辩在正式答辩前3个月进行。</w:t>
      </w:r>
    </w:p>
    <w:p w14:paraId="3F8D60C6">
      <w:pPr>
        <w:widowControl/>
        <w:spacing w:line="360" w:lineRule="auto"/>
        <w:ind w:firstLine="480" w:firstLineChars="200"/>
        <w:jc w:val="left"/>
        <w:rPr>
          <w:color w:val="222222"/>
          <w:kern w:val="0"/>
          <w:sz w:val="24"/>
        </w:rPr>
      </w:pPr>
      <w:r>
        <w:rPr>
          <w:color w:val="222222"/>
          <w:kern w:val="0"/>
          <w:sz w:val="24"/>
        </w:rPr>
        <w:t>6.</w:t>
      </w:r>
      <w:r>
        <w:rPr>
          <w:rFonts w:hint="eastAsia"/>
          <w:color w:val="222222"/>
          <w:kern w:val="0"/>
          <w:sz w:val="24"/>
        </w:rPr>
        <w:t xml:space="preserve"> </w:t>
      </w:r>
      <w:r>
        <w:rPr>
          <w:color w:val="222222"/>
          <w:kern w:val="0"/>
          <w:sz w:val="24"/>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DC65729">
      <w:pPr>
        <w:widowControl/>
        <w:spacing w:line="360" w:lineRule="auto"/>
        <w:ind w:firstLine="480" w:firstLineChars="200"/>
        <w:jc w:val="left"/>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《河北大学博士、硕士学位授予工作实施细则》（校政字〔2025〕7号）执行。</w:t>
      </w:r>
    </w:p>
    <w:p w14:paraId="2D0A817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7153CE0">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54CD08E8">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bCs/>
          <w:sz w:val="24"/>
        </w:rPr>
        <w:t>于10次</w:t>
      </w:r>
      <w:r>
        <w:rPr>
          <w:rFonts w:eastAsiaTheme="minorEastAsia"/>
          <w:color w:val="000000"/>
          <w:sz w:val="24"/>
        </w:rPr>
        <w:t>学术活动，并撰写学术报告小结；以主讲人或宣讲人身份，参加在校内外举行的学术报告或学术讲座不少于</w:t>
      </w:r>
      <w:r>
        <w:rPr>
          <w:rFonts w:eastAsiaTheme="minorEastAsia"/>
          <w:sz w:val="24"/>
        </w:rPr>
        <w:t>1</w:t>
      </w:r>
      <w:r>
        <w:rPr>
          <w:rFonts w:eastAsiaTheme="minorEastAsia"/>
          <w:color w:val="000000"/>
          <w:sz w:val="24"/>
        </w:rPr>
        <w:t>次。</w:t>
      </w:r>
    </w:p>
    <w:p w14:paraId="7BC5E1A0">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16DAA5D">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72D99B7">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5214A10">
      <w:pPr>
        <w:spacing w:line="360" w:lineRule="auto"/>
        <w:ind w:firstLine="480" w:firstLineChars="200"/>
        <w:rPr>
          <w:rFonts w:eastAsiaTheme="minorEastAsia"/>
          <w:color w:val="000000"/>
          <w:sz w:val="24"/>
        </w:rPr>
      </w:pPr>
      <w:r>
        <w:rPr>
          <w:rFonts w:eastAsiaTheme="minorEastAsia"/>
          <w:color w:val="000000"/>
          <w:sz w:val="24"/>
        </w:rPr>
        <w:t>研究生申请学位取得的创新性成果需满足《哲学与社会学学院关于研究生申请学位取得创新性成果的规定》的有关要求。</w:t>
      </w:r>
    </w:p>
    <w:p w14:paraId="70C4F0D0">
      <w:pPr>
        <w:spacing w:line="360" w:lineRule="auto"/>
        <w:ind w:firstLine="560" w:firstLineChars="200"/>
        <w:rPr>
          <w:rFonts w:eastAsia="黑体"/>
          <w:bCs/>
          <w:sz w:val="28"/>
          <w:szCs w:val="28"/>
        </w:rPr>
      </w:pPr>
      <w:r>
        <w:rPr>
          <w:rFonts w:eastAsia="黑体"/>
          <w:bCs/>
          <w:sz w:val="28"/>
          <w:szCs w:val="28"/>
        </w:rPr>
        <w:t>十一、学位授予</w:t>
      </w:r>
    </w:p>
    <w:p w14:paraId="4E5745BC">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eastAsiaTheme="minorEastAsia"/>
          <w:bCs/>
          <w:sz w:val="24"/>
        </w:rPr>
        <w:t>学院</w:t>
      </w:r>
      <w:r>
        <w:rPr>
          <w:color w:val="222222"/>
          <w:kern w:val="0"/>
          <w:sz w:val="24"/>
        </w:rPr>
        <w:t>制定的创新性成果要求，</w:t>
      </w:r>
      <w:r>
        <w:rPr>
          <w:rFonts w:eastAsiaTheme="minorEastAsia"/>
          <w:bCs/>
          <w:sz w:val="24"/>
        </w:rPr>
        <w:t>符合《河北大学博士、硕士学位授予工作实施细则》</w:t>
      </w:r>
      <w:r>
        <w:rPr>
          <w:color w:val="222222"/>
          <w:kern w:val="0"/>
          <w:sz w:val="24"/>
        </w:rPr>
        <w:t>（校政字〔2025〕7号）</w:t>
      </w:r>
      <w:r>
        <w:rPr>
          <w:rFonts w:eastAsiaTheme="minorEastAsia"/>
          <w:bCs/>
          <w:sz w:val="24"/>
        </w:rPr>
        <w:t>的有关规定，达到学校学位授予标准，经学校学位评定委员会审议，授予硕士学位。</w:t>
      </w:r>
    </w:p>
    <w:p w14:paraId="051B25F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755E96DA">
      <w:pPr>
        <w:spacing w:line="360" w:lineRule="auto"/>
        <w:ind w:firstLine="480" w:firstLineChars="200"/>
        <w:rPr>
          <w:color w:val="000000"/>
          <w:sz w:val="24"/>
        </w:rPr>
      </w:pPr>
      <w:r>
        <w:rPr>
          <w:rFonts w:eastAsiaTheme="minorEastAsia"/>
          <w:color w:val="000000"/>
          <w:sz w:val="24"/>
        </w:rPr>
        <w:t>本专业最</w:t>
      </w:r>
      <w:r>
        <w:rPr>
          <w:rFonts w:eastAsiaTheme="minorEastAsia"/>
          <w:sz w:val="24"/>
        </w:rPr>
        <w:t>低毕业学分为</w:t>
      </w:r>
      <w:r>
        <w:rPr>
          <w:rFonts w:hint="eastAsia" w:eastAsiaTheme="minorEastAsia"/>
          <w:sz w:val="24"/>
        </w:rPr>
        <w:t>2</w:t>
      </w:r>
      <w:r>
        <w:rPr>
          <w:rFonts w:eastAsiaTheme="minorEastAsia"/>
          <w:sz w:val="24"/>
        </w:rPr>
        <w:t>8分，其中学位课</w:t>
      </w:r>
      <w:r>
        <w:rPr>
          <w:rFonts w:hint="eastAsia" w:eastAsiaTheme="minorEastAsia"/>
          <w:sz w:val="24"/>
        </w:rPr>
        <w:t>1</w:t>
      </w:r>
      <w:r>
        <w:rPr>
          <w:rFonts w:eastAsiaTheme="minorEastAsia"/>
          <w:sz w:val="24"/>
        </w:rPr>
        <w:t>5学分，非学位课</w:t>
      </w:r>
      <w:r>
        <w:rPr>
          <w:rFonts w:hint="eastAsia" w:eastAsiaTheme="minorEastAsia"/>
          <w:sz w:val="24"/>
        </w:rPr>
        <w:t>12</w:t>
      </w:r>
      <w:r>
        <w:rPr>
          <w:rFonts w:eastAsiaTheme="minorEastAsia"/>
          <w:sz w:val="24"/>
        </w:rPr>
        <w:t>学分，必修环节</w:t>
      </w:r>
      <w:r>
        <w:rPr>
          <w:rFonts w:hint="eastAsia" w:eastAsiaTheme="minorEastAsia"/>
          <w:sz w:val="24"/>
        </w:rPr>
        <w:t>1</w:t>
      </w:r>
      <w:r>
        <w:rPr>
          <w:rFonts w:eastAsiaTheme="minorEastAsia"/>
          <w:sz w:val="24"/>
        </w:rPr>
        <w:t>分。课程考试不设补考环节，</w:t>
      </w:r>
      <w:r>
        <w:rPr>
          <w:sz w:val="24"/>
        </w:rPr>
        <w:t>考试成绩低于60分的</w:t>
      </w:r>
      <w:r>
        <w:rPr>
          <w:color w:val="000000"/>
          <w:sz w:val="24"/>
        </w:rPr>
        <w:t>需重修。</w:t>
      </w:r>
    </w:p>
    <w:p w14:paraId="6B032520">
      <w:pPr>
        <w:spacing w:line="360" w:lineRule="auto"/>
        <w:ind w:firstLine="480" w:firstLineChars="200"/>
        <w:rPr>
          <w:color w:val="000000"/>
          <w:sz w:val="24"/>
        </w:rPr>
      </w:pPr>
    </w:p>
    <w:p w14:paraId="100ABA35">
      <w:pPr>
        <w:spacing w:after="156" w:afterLines="50" w:line="360" w:lineRule="auto"/>
        <w:ind w:firstLine="482" w:firstLineChars="200"/>
        <w:jc w:val="center"/>
        <w:rPr>
          <w:rFonts w:eastAsiaTheme="minorEastAsia"/>
          <w:b/>
          <w:bCs/>
          <w:sz w:val="24"/>
        </w:rPr>
      </w:pPr>
      <w:r>
        <w:rPr>
          <w:rFonts w:hint="eastAsia" w:eastAsiaTheme="minorEastAsia"/>
          <w:b/>
          <w:bCs/>
          <w:sz w:val="24"/>
        </w:rPr>
        <w:t>外国哲学</w:t>
      </w:r>
      <w:r>
        <w:rPr>
          <w:rFonts w:eastAsiaTheme="minorEastAsia"/>
          <w:b/>
          <w:bCs/>
          <w:sz w:val="24"/>
        </w:rPr>
        <w:t>专业学术学位硕士研究生课程及培养环节设置一览表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1BBDF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6963DC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CCCA97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628D766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804D8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CEB4F0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0A44855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20BC4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F67DE8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ED059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9F441A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3A88657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1DAA258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236DAF7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1F032E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6DDB23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32FF9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85C824">
            <w:pPr>
              <w:jc w:val="center"/>
              <w:rPr>
                <w:b/>
                <w:color w:val="000000" w:themeColor="text1"/>
                <w:sz w:val="18"/>
                <w:szCs w:val="18"/>
                <w14:textFill>
                  <w14:solidFill>
                    <w14:schemeClr w14:val="tx1"/>
                  </w14:solidFill>
                </w14:textFill>
              </w:rPr>
            </w:pPr>
          </w:p>
        </w:tc>
        <w:tc>
          <w:tcPr>
            <w:tcW w:w="1226" w:type="dxa"/>
            <w:vMerge w:val="continue"/>
            <w:vAlign w:val="center"/>
          </w:tcPr>
          <w:p w14:paraId="4F5BE112">
            <w:pPr>
              <w:jc w:val="center"/>
              <w:rPr>
                <w:b/>
                <w:color w:val="000000" w:themeColor="text1"/>
                <w:sz w:val="18"/>
                <w:szCs w:val="18"/>
                <w14:textFill>
                  <w14:solidFill>
                    <w14:schemeClr w14:val="tx1"/>
                  </w14:solidFill>
                </w14:textFill>
              </w:rPr>
            </w:pPr>
          </w:p>
        </w:tc>
        <w:tc>
          <w:tcPr>
            <w:tcW w:w="3516" w:type="dxa"/>
            <w:vAlign w:val="center"/>
          </w:tcPr>
          <w:p w14:paraId="12D66122">
            <w:pPr>
              <w:rPr>
                <w:sz w:val="18"/>
                <w:szCs w:val="18"/>
              </w:rPr>
            </w:pPr>
            <w:r>
              <w:rPr>
                <w:sz w:val="18"/>
                <w:szCs w:val="18"/>
              </w:rPr>
              <w:t>通用学术英语</w:t>
            </w:r>
          </w:p>
        </w:tc>
        <w:tc>
          <w:tcPr>
            <w:tcW w:w="1081" w:type="dxa"/>
            <w:vAlign w:val="center"/>
          </w:tcPr>
          <w:p w14:paraId="455916EA">
            <w:pPr>
              <w:jc w:val="center"/>
              <w:rPr>
                <w:sz w:val="18"/>
                <w:szCs w:val="18"/>
              </w:rPr>
            </w:pPr>
            <w:r>
              <w:rPr>
                <w:sz w:val="18"/>
                <w:szCs w:val="18"/>
              </w:rPr>
              <w:t>TS0000002</w:t>
            </w:r>
          </w:p>
        </w:tc>
        <w:tc>
          <w:tcPr>
            <w:tcW w:w="709" w:type="dxa"/>
            <w:vAlign w:val="center"/>
          </w:tcPr>
          <w:p w14:paraId="05D0E661">
            <w:pPr>
              <w:jc w:val="center"/>
              <w:rPr>
                <w:sz w:val="18"/>
                <w:szCs w:val="18"/>
              </w:rPr>
            </w:pPr>
            <w:r>
              <w:rPr>
                <w:sz w:val="18"/>
                <w:szCs w:val="18"/>
              </w:rPr>
              <w:t>2</w:t>
            </w:r>
          </w:p>
        </w:tc>
        <w:tc>
          <w:tcPr>
            <w:tcW w:w="709" w:type="dxa"/>
            <w:vAlign w:val="center"/>
          </w:tcPr>
          <w:p w14:paraId="3A22C2C6">
            <w:pPr>
              <w:jc w:val="center"/>
              <w:rPr>
                <w:sz w:val="18"/>
                <w:szCs w:val="18"/>
              </w:rPr>
            </w:pPr>
            <w:r>
              <w:rPr>
                <w:sz w:val="18"/>
                <w:szCs w:val="18"/>
              </w:rPr>
              <w:t>1</w:t>
            </w:r>
          </w:p>
        </w:tc>
        <w:tc>
          <w:tcPr>
            <w:tcW w:w="1045" w:type="dxa"/>
            <w:vAlign w:val="center"/>
          </w:tcPr>
          <w:p w14:paraId="6296EDDC">
            <w:pPr>
              <w:jc w:val="center"/>
              <w:rPr>
                <w:sz w:val="18"/>
                <w:szCs w:val="18"/>
              </w:rPr>
            </w:pPr>
            <w:r>
              <w:rPr>
                <w:rFonts w:hint="eastAsia"/>
                <w:sz w:val="18"/>
                <w:szCs w:val="18"/>
              </w:rPr>
              <w:t>考查</w:t>
            </w:r>
          </w:p>
        </w:tc>
      </w:tr>
      <w:tr w14:paraId="2C12C8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75F3AE">
            <w:pPr>
              <w:jc w:val="center"/>
              <w:rPr>
                <w:b/>
                <w:color w:val="000000" w:themeColor="text1"/>
                <w:sz w:val="18"/>
                <w:szCs w:val="18"/>
                <w14:textFill>
                  <w14:solidFill>
                    <w14:schemeClr w14:val="tx1"/>
                  </w14:solidFill>
                </w14:textFill>
              </w:rPr>
            </w:pPr>
          </w:p>
        </w:tc>
        <w:tc>
          <w:tcPr>
            <w:tcW w:w="1226" w:type="dxa"/>
            <w:vMerge w:val="restart"/>
            <w:vAlign w:val="center"/>
          </w:tcPr>
          <w:p w14:paraId="321241F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017A506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（8学分）</w:t>
            </w:r>
          </w:p>
        </w:tc>
        <w:tc>
          <w:tcPr>
            <w:tcW w:w="3516" w:type="dxa"/>
            <w:vAlign w:val="center"/>
          </w:tcPr>
          <w:p w14:paraId="4C6BD3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5FA21775">
            <w:pPr>
              <w:jc w:val="center"/>
              <w:rPr>
                <w:color w:val="000000" w:themeColor="text1"/>
                <w:sz w:val="18"/>
                <w:szCs w:val="18"/>
                <w14:textFill>
                  <w14:solidFill>
                    <w14:schemeClr w14:val="tx1"/>
                  </w14:solidFill>
                </w14:textFill>
              </w:rPr>
            </w:pPr>
            <w:r>
              <w:rPr>
                <w:rFonts w:hint="eastAsia"/>
                <w:sz w:val="18"/>
                <w:szCs w:val="18"/>
              </w:rPr>
              <w:t>XS2900001</w:t>
            </w:r>
          </w:p>
        </w:tc>
        <w:tc>
          <w:tcPr>
            <w:tcW w:w="709" w:type="dxa"/>
            <w:vAlign w:val="center"/>
          </w:tcPr>
          <w:p w14:paraId="686ADE9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6EAF1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5E34D66C">
            <w:pPr>
              <w:jc w:val="center"/>
            </w:pPr>
            <w:r>
              <w:rPr>
                <w:rFonts w:hint="eastAsia"/>
                <w:sz w:val="18"/>
                <w:szCs w:val="18"/>
              </w:rPr>
              <w:t>考查</w:t>
            </w:r>
          </w:p>
        </w:tc>
      </w:tr>
      <w:tr w14:paraId="1E9842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79CD360">
            <w:pPr>
              <w:jc w:val="center"/>
              <w:rPr>
                <w:b/>
                <w:color w:val="000000" w:themeColor="text1"/>
                <w:sz w:val="18"/>
                <w:szCs w:val="18"/>
                <w14:textFill>
                  <w14:solidFill>
                    <w14:schemeClr w14:val="tx1"/>
                  </w14:solidFill>
                </w14:textFill>
              </w:rPr>
            </w:pPr>
          </w:p>
        </w:tc>
        <w:tc>
          <w:tcPr>
            <w:tcW w:w="1226" w:type="dxa"/>
            <w:vMerge w:val="continue"/>
            <w:vAlign w:val="center"/>
          </w:tcPr>
          <w:p w14:paraId="0665E9F0">
            <w:pPr>
              <w:jc w:val="center"/>
              <w:rPr>
                <w:b/>
                <w:color w:val="000000" w:themeColor="text1"/>
                <w:sz w:val="18"/>
                <w:szCs w:val="18"/>
                <w14:textFill>
                  <w14:solidFill>
                    <w14:schemeClr w14:val="tx1"/>
                  </w14:solidFill>
                </w14:textFill>
              </w:rPr>
            </w:pPr>
          </w:p>
        </w:tc>
        <w:tc>
          <w:tcPr>
            <w:tcW w:w="3516" w:type="dxa"/>
            <w:vAlign w:val="center"/>
          </w:tcPr>
          <w:p w14:paraId="0ECC4A6C">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哲学</w:t>
            </w:r>
            <w:r>
              <w:rPr>
                <w:color w:val="000000" w:themeColor="text1"/>
                <w:sz w:val="18"/>
                <w:szCs w:val="18"/>
                <w14:textFill>
                  <w14:solidFill>
                    <w14:schemeClr w14:val="tx1"/>
                  </w14:solidFill>
                </w14:textFill>
              </w:rPr>
              <w:t>经典研读</w:t>
            </w:r>
          </w:p>
        </w:tc>
        <w:tc>
          <w:tcPr>
            <w:tcW w:w="1081" w:type="dxa"/>
          </w:tcPr>
          <w:p w14:paraId="4E4FC77B">
            <w:pPr>
              <w:rPr>
                <w:color w:val="000000" w:themeColor="text1"/>
                <w:sz w:val="18"/>
                <w:szCs w:val="18"/>
                <w14:textFill>
                  <w14:solidFill>
                    <w14:schemeClr w14:val="tx1"/>
                  </w14:solidFill>
                </w14:textFill>
              </w:rPr>
            </w:pPr>
            <w:r>
              <w:rPr>
                <w:rFonts w:hint="eastAsia"/>
                <w:sz w:val="18"/>
                <w:szCs w:val="18"/>
              </w:rPr>
              <w:t>XS2900002</w:t>
            </w:r>
          </w:p>
        </w:tc>
        <w:tc>
          <w:tcPr>
            <w:tcW w:w="709" w:type="dxa"/>
            <w:vAlign w:val="center"/>
          </w:tcPr>
          <w:p w14:paraId="65A4A70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78A7ABB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5373DAA8">
            <w:pPr>
              <w:jc w:val="center"/>
            </w:pPr>
            <w:r>
              <w:rPr>
                <w:rFonts w:hint="eastAsia"/>
                <w:sz w:val="18"/>
                <w:szCs w:val="18"/>
              </w:rPr>
              <w:t>考查</w:t>
            </w:r>
          </w:p>
        </w:tc>
      </w:tr>
      <w:tr w14:paraId="7E8F34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22944E8">
            <w:pPr>
              <w:jc w:val="center"/>
              <w:rPr>
                <w:b/>
                <w:color w:val="000000" w:themeColor="text1"/>
                <w:sz w:val="18"/>
                <w:szCs w:val="18"/>
                <w14:textFill>
                  <w14:solidFill>
                    <w14:schemeClr w14:val="tx1"/>
                  </w14:solidFill>
                </w14:textFill>
              </w:rPr>
            </w:pPr>
          </w:p>
        </w:tc>
        <w:tc>
          <w:tcPr>
            <w:tcW w:w="1226" w:type="dxa"/>
            <w:vMerge w:val="continue"/>
            <w:vAlign w:val="center"/>
          </w:tcPr>
          <w:p w14:paraId="14454DA1">
            <w:pPr>
              <w:jc w:val="center"/>
              <w:rPr>
                <w:b/>
                <w:color w:val="000000" w:themeColor="text1"/>
                <w:sz w:val="18"/>
                <w:szCs w:val="18"/>
                <w14:textFill>
                  <w14:solidFill>
                    <w14:schemeClr w14:val="tx1"/>
                  </w14:solidFill>
                </w14:textFill>
              </w:rPr>
            </w:pPr>
          </w:p>
        </w:tc>
        <w:tc>
          <w:tcPr>
            <w:tcW w:w="3516" w:type="dxa"/>
            <w:vAlign w:val="center"/>
          </w:tcPr>
          <w:p w14:paraId="41BFC8B1">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哲学基本问题与方法</w:t>
            </w:r>
          </w:p>
        </w:tc>
        <w:tc>
          <w:tcPr>
            <w:tcW w:w="1081" w:type="dxa"/>
          </w:tcPr>
          <w:p w14:paraId="758318C5">
            <w:pPr>
              <w:rPr>
                <w:color w:val="000000" w:themeColor="text1"/>
                <w:sz w:val="18"/>
                <w:szCs w:val="18"/>
                <w14:textFill>
                  <w14:solidFill>
                    <w14:schemeClr w14:val="tx1"/>
                  </w14:solidFill>
                </w14:textFill>
              </w:rPr>
            </w:pPr>
            <w:r>
              <w:rPr>
                <w:rFonts w:hint="eastAsia"/>
                <w:sz w:val="18"/>
                <w:szCs w:val="18"/>
              </w:rPr>
              <w:t>XS2900003</w:t>
            </w:r>
          </w:p>
        </w:tc>
        <w:tc>
          <w:tcPr>
            <w:tcW w:w="709" w:type="dxa"/>
            <w:vAlign w:val="center"/>
          </w:tcPr>
          <w:p w14:paraId="415A420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EA458D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41F21151">
            <w:pPr>
              <w:jc w:val="center"/>
            </w:pPr>
            <w:r>
              <w:rPr>
                <w:rFonts w:hint="eastAsia"/>
                <w:sz w:val="18"/>
                <w:szCs w:val="18"/>
              </w:rPr>
              <w:t>考查</w:t>
            </w:r>
          </w:p>
        </w:tc>
      </w:tr>
      <w:tr w14:paraId="1E914A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CAF390">
            <w:pPr>
              <w:jc w:val="center"/>
              <w:rPr>
                <w:b/>
                <w:color w:val="000000" w:themeColor="text1"/>
                <w:sz w:val="18"/>
                <w:szCs w:val="18"/>
                <w14:textFill>
                  <w14:solidFill>
                    <w14:schemeClr w14:val="tx1"/>
                  </w14:solidFill>
                </w14:textFill>
              </w:rPr>
            </w:pPr>
          </w:p>
        </w:tc>
        <w:tc>
          <w:tcPr>
            <w:tcW w:w="1226" w:type="dxa"/>
            <w:vMerge w:val="continue"/>
            <w:vAlign w:val="center"/>
          </w:tcPr>
          <w:p w14:paraId="42EEB60D">
            <w:pPr>
              <w:jc w:val="center"/>
              <w:rPr>
                <w:b/>
                <w:color w:val="000000" w:themeColor="text1"/>
                <w:sz w:val="18"/>
                <w:szCs w:val="18"/>
                <w14:textFill>
                  <w14:solidFill>
                    <w14:schemeClr w14:val="tx1"/>
                  </w14:solidFill>
                </w14:textFill>
              </w:rPr>
            </w:pPr>
          </w:p>
        </w:tc>
        <w:tc>
          <w:tcPr>
            <w:tcW w:w="3516" w:type="dxa"/>
            <w:vAlign w:val="center"/>
          </w:tcPr>
          <w:p w14:paraId="5ACAE949">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哲学学科前沿问题</w:t>
            </w:r>
          </w:p>
        </w:tc>
        <w:tc>
          <w:tcPr>
            <w:tcW w:w="1081" w:type="dxa"/>
          </w:tcPr>
          <w:p w14:paraId="35648A2F">
            <w:pPr>
              <w:rPr>
                <w:color w:val="000000" w:themeColor="text1"/>
                <w:sz w:val="18"/>
                <w:szCs w:val="18"/>
                <w14:textFill>
                  <w14:solidFill>
                    <w14:schemeClr w14:val="tx1"/>
                  </w14:solidFill>
                </w14:textFill>
              </w:rPr>
            </w:pPr>
            <w:r>
              <w:rPr>
                <w:rFonts w:hint="eastAsia"/>
                <w:sz w:val="18"/>
                <w:szCs w:val="18"/>
              </w:rPr>
              <w:t>XS2900004</w:t>
            </w:r>
          </w:p>
        </w:tc>
        <w:tc>
          <w:tcPr>
            <w:tcW w:w="709" w:type="dxa"/>
            <w:vAlign w:val="center"/>
          </w:tcPr>
          <w:p w14:paraId="6D15FFC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002FC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Align w:val="center"/>
          </w:tcPr>
          <w:p w14:paraId="0DAF7111">
            <w:pPr>
              <w:jc w:val="center"/>
              <w:rPr>
                <w:i/>
                <w:color w:val="FF0000"/>
                <w:sz w:val="18"/>
                <w:szCs w:val="18"/>
              </w:rPr>
            </w:pPr>
            <w:r>
              <w:rPr>
                <w:rFonts w:hint="eastAsia"/>
                <w:sz w:val="18"/>
                <w:szCs w:val="18"/>
              </w:rPr>
              <w:t>考查</w:t>
            </w:r>
          </w:p>
        </w:tc>
      </w:tr>
      <w:tr w14:paraId="2407F0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EEA566">
            <w:pPr>
              <w:jc w:val="center"/>
              <w:rPr>
                <w:b/>
                <w:color w:val="000000" w:themeColor="text1"/>
                <w:sz w:val="18"/>
                <w:szCs w:val="18"/>
                <w14:textFill>
                  <w14:solidFill>
                    <w14:schemeClr w14:val="tx1"/>
                  </w14:solidFill>
                </w14:textFill>
              </w:rPr>
            </w:pPr>
          </w:p>
        </w:tc>
        <w:tc>
          <w:tcPr>
            <w:tcW w:w="1226" w:type="dxa"/>
            <w:vMerge w:val="restart"/>
            <w:vAlign w:val="center"/>
          </w:tcPr>
          <w:p w14:paraId="4C4C07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D6AEA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（3学分）</w:t>
            </w:r>
          </w:p>
        </w:tc>
        <w:tc>
          <w:tcPr>
            <w:tcW w:w="3516" w:type="dxa"/>
          </w:tcPr>
          <w:p w14:paraId="15F74929">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逻辑</w:t>
            </w:r>
            <w:r>
              <w:rPr>
                <w:color w:val="000000" w:themeColor="text1"/>
                <w:sz w:val="18"/>
                <w:szCs w:val="18"/>
                <w14:textFill>
                  <w14:solidFill>
                    <w14:schemeClr w14:val="tx1"/>
                  </w14:solidFill>
                </w14:textFill>
              </w:rPr>
              <w:t>思维与训练</w:t>
            </w:r>
          </w:p>
        </w:tc>
        <w:tc>
          <w:tcPr>
            <w:tcW w:w="1081" w:type="dxa"/>
          </w:tcPr>
          <w:p w14:paraId="4ABE7379">
            <w:pPr>
              <w:rPr>
                <w:color w:val="FF0000"/>
                <w:sz w:val="18"/>
                <w:szCs w:val="18"/>
              </w:rPr>
            </w:pPr>
            <w:r>
              <w:rPr>
                <w:rFonts w:hint="eastAsia"/>
                <w:sz w:val="18"/>
                <w:szCs w:val="18"/>
              </w:rPr>
              <w:t>XS2900005</w:t>
            </w:r>
          </w:p>
        </w:tc>
        <w:tc>
          <w:tcPr>
            <w:tcW w:w="709" w:type="dxa"/>
            <w:vAlign w:val="center"/>
          </w:tcPr>
          <w:p w14:paraId="0760D109">
            <w:pPr>
              <w:jc w:val="center"/>
              <w:rPr>
                <w:sz w:val="18"/>
                <w:szCs w:val="18"/>
              </w:rPr>
            </w:pPr>
            <w:r>
              <w:rPr>
                <w:rFonts w:hint="eastAsia"/>
                <w:sz w:val="18"/>
                <w:szCs w:val="18"/>
              </w:rPr>
              <w:t>1</w:t>
            </w:r>
          </w:p>
        </w:tc>
        <w:tc>
          <w:tcPr>
            <w:tcW w:w="709" w:type="dxa"/>
            <w:vAlign w:val="center"/>
          </w:tcPr>
          <w:p w14:paraId="2840053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3B14B246">
            <w:pPr>
              <w:jc w:val="center"/>
              <w:rPr>
                <w:sz w:val="18"/>
                <w:szCs w:val="18"/>
              </w:rPr>
            </w:pPr>
            <w:r>
              <w:rPr>
                <w:sz w:val="18"/>
                <w:szCs w:val="18"/>
              </w:rPr>
              <w:t>考试</w:t>
            </w:r>
          </w:p>
        </w:tc>
      </w:tr>
      <w:tr w14:paraId="590939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93435A">
            <w:pPr>
              <w:jc w:val="center"/>
              <w:rPr>
                <w:b/>
                <w:color w:val="000000" w:themeColor="text1"/>
                <w:sz w:val="18"/>
                <w:szCs w:val="18"/>
                <w14:textFill>
                  <w14:solidFill>
                    <w14:schemeClr w14:val="tx1"/>
                  </w14:solidFill>
                </w14:textFill>
              </w:rPr>
            </w:pPr>
          </w:p>
        </w:tc>
        <w:tc>
          <w:tcPr>
            <w:tcW w:w="1226" w:type="dxa"/>
            <w:vMerge w:val="continue"/>
            <w:vAlign w:val="center"/>
          </w:tcPr>
          <w:p w14:paraId="2F8BC417">
            <w:pPr>
              <w:jc w:val="center"/>
              <w:rPr>
                <w:b/>
                <w:color w:val="000000" w:themeColor="text1"/>
                <w:sz w:val="18"/>
                <w:szCs w:val="18"/>
                <w14:textFill>
                  <w14:solidFill>
                    <w14:schemeClr w14:val="tx1"/>
                  </w14:solidFill>
                </w14:textFill>
              </w:rPr>
            </w:pPr>
          </w:p>
        </w:tc>
        <w:tc>
          <w:tcPr>
            <w:tcW w:w="3516" w:type="dxa"/>
          </w:tcPr>
          <w:p w14:paraId="1FEE6B8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哲学专业外语</w:t>
            </w:r>
          </w:p>
        </w:tc>
        <w:tc>
          <w:tcPr>
            <w:tcW w:w="1081" w:type="dxa"/>
          </w:tcPr>
          <w:p w14:paraId="189F7388">
            <w:pPr>
              <w:rPr>
                <w:i/>
                <w:color w:val="FF0000"/>
                <w:sz w:val="18"/>
                <w:szCs w:val="18"/>
              </w:rPr>
            </w:pPr>
            <w:r>
              <w:rPr>
                <w:rFonts w:hint="eastAsia"/>
                <w:sz w:val="18"/>
                <w:szCs w:val="18"/>
              </w:rPr>
              <w:t>XS2900006</w:t>
            </w:r>
          </w:p>
        </w:tc>
        <w:tc>
          <w:tcPr>
            <w:tcW w:w="709" w:type="dxa"/>
            <w:vAlign w:val="center"/>
          </w:tcPr>
          <w:p w14:paraId="381FF44F">
            <w:pPr>
              <w:jc w:val="center"/>
              <w:rPr>
                <w:sz w:val="18"/>
                <w:szCs w:val="18"/>
              </w:rPr>
            </w:pPr>
            <w:r>
              <w:rPr>
                <w:rFonts w:hint="eastAsia"/>
                <w:sz w:val="18"/>
                <w:szCs w:val="18"/>
              </w:rPr>
              <w:t>2</w:t>
            </w:r>
          </w:p>
        </w:tc>
        <w:tc>
          <w:tcPr>
            <w:tcW w:w="709" w:type="dxa"/>
            <w:vAlign w:val="center"/>
          </w:tcPr>
          <w:p w14:paraId="3CEC549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Align w:val="center"/>
          </w:tcPr>
          <w:p w14:paraId="5176E3AD">
            <w:pPr>
              <w:jc w:val="center"/>
              <w:rPr>
                <w:sz w:val="18"/>
                <w:szCs w:val="18"/>
              </w:rPr>
            </w:pPr>
            <w:r>
              <w:rPr>
                <w:sz w:val="18"/>
                <w:szCs w:val="18"/>
              </w:rPr>
              <w:t>考试</w:t>
            </w:r>
          </w:p>
        </w:tc>
      </w:tr>
      <w:tr w14:paraId="6029A0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1E1027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029B0B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A6DD3A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025E29E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1795FA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585745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6FF6F9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069A69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C2FC8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80FF11A">
            <w:pPr>
              <w:jc w:val="center"/>
              <w:rPr>
                <w:b/>
                <w:color w:val="000000" w:themeColor="text1"/>
                <w:sz w:val="18"/>
                <w:szCs w:val="18"/>
                <w14:textFill>
                  <w14:solidFill>
                    <w14:schemeClr w14:val="tx1"/>
                  </w14:solidFill>
                </w14:textFill>
              </w:rPr>
            </w:pPr>
          </w:p>
        </w:tc>
        <w:tc>
          <w:tcPr>
            <w:tcW w:w="1226" w:type="dxa"/>
            <w:vMerge w:val="continue"/>
            <w:vAlign w:val="center"/>
          </w:tcPr>
          <w:p w14:paraId="56A14B16">
            <w:pPr>
              <w:jc w:val="center"/>
              <w:rPr>
                <w:b/>
                <w:color w:val="000000" w:themeColor="text1"/>
                <w:sz w:val="18"/>
                <w:szCs w:val="18"/>
                <w14:textFill>
                  <w14:solidFill>
                    <w14:schemeClr w14:val="tx1"/>
                  </w14:solidFill>
                </w14:textFill>
              </w:rPr>
            </w:pPr>
          </w:p>
        </w:tc>
        <w:tc>
          <w:tcPr>
            <w:tcW w:w="3516" w:type="dxa"/>
            <w:vAlign w:val="center"/>
          </w:tcPr>
          <w:p w14:paraId="04CA604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62DBB8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2252BD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B477F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0EF021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5A97D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46858F">
            <w:pPr>
              <w:rPr>
                <w:b/>
                <w:color w:val="000000" w:themeColor="text1"/>
                <w:sz w:val="18"/>
                <w:szCs w:val="18"/>
                <w14:textFill>
                  <w14:solidFill>
                    <w14:schemeClr w14:val="tx1"/>
                  </w14:solidFill>
                </w14:textFill>
              </w:rPr>
            </w:pPr>
          </w:p>
        </w:tc>
        <w:tc>
          <w:tcPr>
            <w:tcW w:w="1226" w:type="dxa"/>
            <w:vMerge w:val="restart"/>
            <w:vAlign w:val="center"/>
          </w:tcPr>
          <w:p w14:paraId="7291EBAC">
            <w:pPr>
              <w:adjustRightInd w:val="0"/>
              <w:snapToGrid w:val="0"/>
              <w:jc w:val="center"/>
              <w:rPr>
                <w:b/>
                <w:i/>
                <w:sz w:val="18"/>
                <w:szCs w:val="18"/>
              </w:rPr>
            </w:pPr>
            <w:r>
              <w:rPr>
                <w:rFonts w:hint="eastAsia"/>
                <w:b/>
                <w:sz w:val="18"/>
                <w:szCs w:val="18"/>
              </w:rPr>
              <w:t>专业</w:t>
            </w:r>
            <w:r>
              <w:rPr>
                <w:b/>
                <w:sz w:val="18"/>
                <w:szCs w:val="18"/>
              </w:rPr>
              <w:t>选修课</w:t>
            </w:r>
          </w:p>
        </w:tc>
        <w:tc>
          <w:tcPr>
            <w:tcW w:w="3516" w:type="dxa"/>
            <w:vAlign w:val="center"/>
          </w:tcPr>
          <w:p w14:paraId="630B2682">
            <w:pPr>
              <w:rPr>
                <w:i/>
                <w:sz w:val="18"/>
                <w:szCs w:val="18"/>
              </w:rPr>
            </w:pPr>
            <w:r>
              <w:rPr>
                <w:rFonts w:hint="eastAsia"/>
                <w:sz w:val="18"/>
                <w:szCs w:val="18"/>
              </w:rPr>
              <w:t>古希腊罗马哲学</w:t>
            </w:r>
          </w:p>
        </w:tc>
        <w:tc>
          <w:tcPr>
            <w:tcW w:w="1081" w:type="dxa"/>
            <w:shd w:val="clear" w:color="auto" w:fill="auto"/>
            <w:vAlign w:val="center"/>
          </w:tcPr>
          <w:p w14:paraId="3DD14156">
            <w:pPr>
              <w:jc w:val="center"/>
              <w:rPr>
                <w:sz w:val="18"/>
                <w:szCs w:val="18"/>
              </w:rPr>
            </w:pPr>
            <w:r>
              <w:rPr>
                <w:rFonts w:hint="eastAsia"/>
                <w:sz w:val="18"/>
                <w:szCs w:val="18"/>
              </w:rPr>
              <w:t>XS29032</w:t>
            </w:r>
            <w:r>
              <w:rPr>
                <w:rFonts w:hint="eastAsia"/>
                <w:sz w:val="18"/>
                <w:szCs w:val="18"/>
                <w:lang w:val="en-US" w:eastAsia="zh-CN"/>
              </w:rPr>
              <w:t>1</w:t>
            </w:r>
            <w:r>
              <w:rPr>
                <w:rFonts w:hint="eastAsia"/>
                <w:sz w:val="18"/>
                <w:szCs w:val="18"/>
              </w:rPr>
              <w:t>1</w:t>
            </w:r>
          </w:p>
        </w:tc>
        <w:tc>
          <w:tcPr>
            <w:tcW w:w="709" w:type="dxa"/>
            <w:vAlign w:val="center"/>
          </w:tcPr>
          <w:p w14:paraId="1FC4609A">
            <w:pPr>
              <w:jc w:val="center"/>
              <w:rPr>
                <w:color w:val="FF0000"/>
                <w:sz w:val="18"/>
                <w:szCs w:val="18"/>
              </w:rPr>
            </w:pPr>
            <w:r>
              <w:rPr>
                <w:rFonts w:hint="eastAsia"/>
                <w:sz w:val="18"/>
                <w:szCs w:val="18"/>
              </w:rPr>
              <w:t>2</w:t>
            </w:r>
          </w:p>
        </w:tc>
        <w:tc>
          <w:tcPr>
            <w:tcW w:w="709" w:type="dxa"/>
            <w:vAlign w:val="center"/>
          </w:tcPr>
          <w:p w14:paraId="4BBABE0D">
            <w:pPr>
              <w:jc w:val="center"/>
              <w:rPr>
                <w:sz w:val="18"/>
                <w:szCs w:val="18"/>
              </w:rPr>
            </w:pPr>
            <w:r>
              <w:rPr>
                <w:rFonts w:hint="eastAsia"/>
                <w:sz w:val="18"/>
                <w:szCs w:val="18"/>
              </w:rPr>
              <w:t>1</w:t>
            </w:r>
          </w:p>
        </w:tc>
        <w:tc>
          <w:tcPr>
            <w:tcW w:w="1045" w:type="dxa"/>
            <w:vMerge w:val="restart"/>
            <w:vAlign w:val="center"/>
          </w:tcPr>
          <w:p w14:paraId="5619C4D9">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至少选修</w:t>
            </w:r>
          </w:p>
          <w:p w14:paraId="35A1A7A7">
            <w:pPr>
              <w:jc w:val="center"/>
              <w:rPr>
                <w:color w:val="000000" w:themeColor="text1"/>
                <w:sz w:val="18"/>
                <w:szCs w:val="18"/>
                <w14:textFill>
                  <w14:solidFill>
                    <w14:schemeClr w14:val="tx1"/>
                  </w14:solidFill>
                </w14:textFill>
              </w:rPr>
            </w:pPr>
            <w:r>
              <w:rPr>
                <w:sz w:val="18"/>
                <w:szCs w:val="18"/>
              </w:rPr>
              <w:t>10学</w:t>
            </w:r>
            <w:r>
              <w:rPr>
                <w:color w:val="000000" w:themeColor="text1"/>
                <w:sz w:val="18"/>
                <w:szCs w:val="18"/>
                <w14:textFill>
                  <w14:solidFill>
                    <w14:schemeClr w14:val="tx1"/>
                  </w14:solidFill>
                </w14:textFill>
              </w:rPr>
              <w:t>分</w:t>
            </w:r>
          </w:p>
        </w:tc>
      </w:tr>
      <w:tr w14:paraId="6F8E6D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2BA456">
            <w:pPr>
              <w:rPr>
                <w:b/>
                <w:color w:val="000000" w:themeColor="text1"/>
                <w:sz w:val="18"/>
                <w:szCs w:val="18"/>
                <w14:textFill>
                  <w14:solidFill>
                    <w14:schemeClr w14:val="tx1"/>
                  </w14:solidFill>
                </w14:textFill>
              </w:rPr>
            </w:pPr>
          </w:p>
        </w:tc>
        <w:tc>
          <w:tcPr>
            <w:tcW w:w="1226" w:type="dxa"/>
            <w:vMerge w:val="continue"/>
          </w:tcPr>
          <w:p w14:paraId="444C4671">
            <w:pPr>
              <w:adjustRightInd w:val="0"/>
              <w:snapToGrid w:val="0"/>
              <w:jc w:val="center"/>
              <w:rPr>
                <w:b/>
                <w:sz w:val="18"/>
                <w:szCs w:val="18"/>
              </w:rPr>
            </w:pPr>
          </w:p>
        </w:tc>
        <w:tc>
          <w:tcPr>
            <w:tcW w:w="3516" w:type="dxa"/>
            <w:vAlign w:val="center"/>
          </w:tcPr>
          <w:p w14:paraId="3D3736AA">
            <w:pPr>
              <w:rPr>
                <w:i/>
                <w:sz w:val="18"/>
                <w:szCs w:val="18"/>
              </w:rPr>
            </w:pPr>
            <w:r>
              <w:rPr>
                <w:rFonts w:hint="eastAsia"/>
                <w:sz w:val="18"/>
                <w:szCs w:val="18"/>
              </w:rPr>
              <w:t>德国古典哲学</w:t>
            </w:r>
          </w:p>
        </w:tc>
        <w:tc>
          <w:tcPr>
            <w:tcW w:w="1081" w:type="dxa"/>
            <w:shd w:val="clear" w:color="auto" w:fill="auto"/>
          </w:tcPr>
          <w:p w14:paraId="0A38FAE4">
            <w:r>
              <w:rPr>
                <w:rFonts w:hint="eastAsia"/>
                <w:sz w:val="18"/>
                <w:szCs w:val="18"/>
              </w:rPr>
              <w:t>XS29032</w:t>
            </w:r>
            <w:r>
              <w:rPr>
                <w:rFonts w:hint="eastAsia"/>
                <w:sz w:val="18"/>
                <w:szCs w:val="18"/>
                <w:lang w:val="en-US" w:eastAsia="zh-CN"/>
              </w:rPr>
              <w:t>1</w:t>
            </w:r>
            <w:r>
              <w:rPr>
                <w:rFonts w:hint="eastAsia"/>
                <w:sz w:val="18"/>
                <w:szCs w:val="18"/>
              </w:rPr>
              <w:t>2</w:t>
            </w:r>
          </w:p>
        </w:tc>
        <w:tc>
          <w:tcPr>
            <w:tcW w:w="709" w:type="dxa"/>
            <w:vAlign w:val="center"/>
          </w:tcPr>
          <w:p w14:paraId="46FDBC38">
            <w:pPr>
              <w:jc w:val="center"/>
              <w:rPr>
                <w:i/>
                <w:color w:val="FF0000"/>
                <w:sz w:val="18"/>
                <w:szCs w:val="18"/>
              </w:rPr>
            </w:pPr>
            <w:r>
              <w:rPr>
                <w:rFonts w:hint="eastAsia"/>
                <w:sz w:val="18"/>
                <w:szCs w:val="18"/>
              </w:rPr>
              <w:t>2</w:t>
            </w:r>
          </w:p>
        </w:tc>
        <w:tc>
          <w:tcPr>
            <w:tcW w:w="709" w:type="dxa"/>
            <w:vAlign w:val="center"/>
          </w:tcPr>
          <w:p w14:paraId="0F2A7D73">
            <w:pPr>
              <w:jc w:val="center"/>
              <w:rPr>
                <w:i/>
                <w:sz w:val="18"/>
                <w:szCs w:val="18"/>
              </w:rPr>
            </w:pPr>
            <w:r>
              <w:rPr>
                <w:rFonts w:hint="eastAsia"/>
                <w:sz w:val="18"/>
                <w:szCs w:val="18"/>
              </w:rPr>
              <w:t>2</w:t>
            </w:r>
          </w:p>
        </w:tc>
        <w:tc>
          <w:tcPr>
            <w:tcW w:w="1045" w:type="dxa"/>
            <w:vMerge w:val="continue"/>
            <w:vAlign w:val="center"/>
          </w:tcPr>
          <w:p w14:paraId="6C1B54BB">
            <w:pPr>
              <w:adjustRightInd w:val="0"/>
              <w:snapToGrid w:val="0"/>
              <w:jc w:val="center"/>
              <w:rPr>
                <w:color w:val="000000" w:themeColor="text1"/>
                <w:sz w:val="18"/>
                <w:szCs w:val="18"/>
                <w14:textFill>
                  <w14:solidFill>
                    <w14:schemeClr w14:val="tx1"/>
                  </w14:solidFill>
                </w14:textFill>
              </w:rPr>
            </w:pPr>
          </w:p>
        </w:tc>
      </w:tr>
      <w:tr w14:paraId="7FE25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E21CD3">
            <w:pPr>
              <w:rPr>
                <w:b/>
                <w:color w:val="000000" w:themeColor="text1"/>
                <w:sz w:val="18"/>
                <w:szCs w:val="18"/>
                <w14:textFill>
                  <w14:solidFill>
                    <w14:schemeClr w14:val="tx1"/>
                  </w14:solidFill>
                </w14:textFill>
              </w:rPr>
            </w:pPr>
          </w:p>
        </w:tc>
        <w:tc>
          <w:tcPr>
            <w:tcW w:w="1226" w:type="dxa"/>
            <w:vMerge w:val="continue"/>
          </w:tcPr>
          <w:p w14:paraId="63789401">
            <w:pPr>
              <w:adjustRightInd w:val="0"/>
              <w:snapToGrid w:val="0"/>
              <w:jc w:val="center"/>
              <w:rPr>
                <w:b/>
                <w:sz w:val="18"/>
                <w:szCs w:val="18"/>
              </w:rPr>
            </w:pPr>
          </w:p>
        </w:tc>
        <w:tc>
          <w:tcPr>
            <w:tcW w:w="3516" w:type="dxa"/>
            <w:vAlign w:val="center"/>
          </w:tcPr>
          <w:p w14:paraId="23D2E3E6">
            <w:pPr>
              <w:rPr>
                <w:i/>
                <w:sz w:val="18"/>
                <w:szCs w:val="18"/>
              </w:rPr>
            </w:pPr>
            <w:r>
              <w:rPr>
                <w:rFonts w:hint="eastAsia"/>
                <w:sz w:val="18"/>
                <w:szCs w:val="18"/>
              </w:rPr>
              <w:t>语言哲学</w:t>
            </w:r>
          </w:p>
        </w:tc>
        <w:tc>
          <w:tcPr>
            <w:tcW w:w="1081" w:type="dxa"/>
            <w:shd w:val="clear" w:color="auto" w:fill="auto"/>
          </w:tcPr>
          <w:p w14:paraId="6C7DB9DB">
            <w:r>
              <w:rPr>
                <w:rFonts w:hint="eastAsia"/>
                <w:sz w:val="18"/>
                <w:szCs w:val="18"/>
              </w:rPr>
              <w:t>XS29032</w:t>
            </w:r>
            <w:r>
              <w:rPr>
                <w:rFonts w:hint="eastAsia"/>
                <w:sz w:val="18"/>
                <w:szCs w:val="18"/>
                <w:lang w:val="en-US" w:eastAsia="zh-CN"/>
              </w:rPr>
              <w:t>1</w:t>
            </w:r>
            <w:r>
              <w:rPr>
                <w:rFonts w:hint="eastAsia"/>
                <w:sz w:val="18"/>
                <w:szCs w:val="18"/>
              </w:rPr>
              <w:t>3</w:t>
            </w:r>
          </w:p>
        </w:tc>
        <w:tc>
          <w:tcPr>
            <w:tcW w:w="709" w:type="dxa"/>
            <w:vAlign w:val="center"/>
          </w:tcPr>
          <w:p w14:paraId="2E4FF574">
            <w:pPr>
              <w:jc w:val="center"/>
              <w:rPr>
                <w:i/>
                <w:color w:val="FF0000"/>
                <w:sz w:val="18"/>
                <w:szCs w:val="18"/>
              </w:rPr>
            </w:pPr>
            <w:r>
              <w:rPr>
                <w:rFonts w:hint="eastAsia"/>
                <w:sz w:val="18"/>
                <w:szCs w:val="18"/>
              </w:rPr>
              <w:t>2</w:t>
            </w:r>
          </w:p>
        </w:tc>
        <w:tc>
          <w:tcPr>
            <w:tcW w:w="709" w:type="dxa"/>
            <w:vAlign w:val="center"/>
          </w:tcPr>
          <w:p w14:paraId="4C883663">
            <w:pPr>
              <w:jc w:val="center"/>
              <w:rPr>
                <w:i/>
                <w:sz w:val="18"/>
                <w:szCs w:val="18"/>
              </w:rPr>
            </w:pPr>
            <w:r>
              <w:rPr>
                <w:rFonts w:hint="eastAsia"/>
                <w:sz w:val="18"/>
                <w:szCs w:val="18"/>
              </w:rPr>
              <w:t>2</w:t>
            </w:r>
          </w:p>
        </w:tc>
        <w:tc>
          <w:tcPr>
            <w:tcW w:w="1045" w:type="dxa"/>
            <w:vMerge w:val="continue"/>
            <w:vAlign w:val="center"/>
          </w:tcPr>
          <w:p w14:paraId="209B463D">
            <w:pPr>
              <w:adjustRightInd w:val="0"/>
              <w:snapToGrid w:val="0"/>
              <w:jc w:val="center"/>
              <w:rPr>
                <w:color w:val="000000" w:themeColor="text1"/>
                <w:sz w:val="18"/>
                <w:szCs w:val="18"/>
                <w14:textFill>
                  <w14:solidFill>
                    <w14:schemeClr w14:val="tx1"/>
                  </w14:solidFill>
                </w14:textFill>
              </w:rPr>
            </w:pPr>
          </w:p>
        </w:tc>
      </w:tr>
      <w:tr w14:paraId="7C44BB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C7F63F">
            <w:pPr>
              <w:rPr>
                <w:b/>
                <w:color w:val="000000" w:themeColor="text1"/>
                <w:sz w:val="18"/>
                <w:szCs w:val="18"/>
                <w14:textFill>
                  <w14:solidFill>
                    <w14:schemeClr w14:val="tx1"/>
                  </w14:solidFill>
                </w14:textFill>
              </w:rPr>
            </w:pPr>
          </w:p>
        </w:tc>
        <w:tc>
          <w:tcPr>
            <w:tcW w:w="1226" w:type="dxa"/>
            <w:vMerge w:val="continue"/>
          </w:tcPr>
          <w:p w14:paraId="243EA0B6">
            <w:pPr>
              <w:adjustRightInd w:val="0"/>
              <w:snapToGrid w:val="0"/>
              <w:jc w:val="center"/>
              <w:rPr>
                <w:b/>
                <w:sz w:val="18"/>
                <w:szCs w:val="18"/>
              </w:rPr>
            </w:pPr>
          </w:p>
        </w:tc>
        <w:tc>
          <w:tcPr>
            <w:tcW w:w="3516" w:type="dxa"/>
            <w:vAlign w:val="center"/>
          </w:tcPr>
          <w:p w14:paraId="11A82715">
            <w:pPr>
              <w:rPr>
                <w:i/>
                <w:sz w:val="18"/>
                <w:szCs w:val="18"/>
              </w:rPr>
            </w:pPr>
            <w:r>
              <w:rPr>
                <w:rFonts w:hint="eastAsia"/>
                <w:sz w:val="18"/>
                <w:szCs w:val="18"/>
              </w:rPr>
              <w:t>康德哲学专题</w:t>
            </w:r>
          </w:p>
        </w:tc>
        <w:tc>
          <w:tcPr>
            <w:tcW w:w="1081" w:type="dxa"/>
            <w:shd w:val="clear" w:color="auto" w:fill="auto"/>
          </w:tcPr>
          <w:p w14:paraId="7AF0169C">
            <w:r>
              <w:rPr>
                <w:rFonts w:hint="eastAsia"/>
                <w:sz w:val="18"/>
                <w:szCs w:val="18"/>
              </w:rPr>
              <w:t>XS29032</w:t>
            </w:r>
            <w:r>
              <w:rPr>
                <w:rFonts w:hint="eastAsia"/>
                <w:sz w:val="18"/>
                <w:szCs w:val="18"/>
                <w:lang w:val="en-US" w:eastAsia="zh-CN"/>
              </w:rPr>
              <w:t>1</w:t>
            </w:r>
            <w:r>
              <w:rPr>
                <w:rFonts w:hint="eastAsia"/>
                <w:sz w:val="18"/>
                <w:szCs w:val="18"/>
              </w:rPr>
              <w:t>4</w:t>
            </w:r>
          </w:p>
        </w:tc>
        <w:tc>
          <w:tcPr>
            <w:tcW w:w="709" w:type="dxa"/>
            <w:vAlign w:val="center"/>
          </w:tcPr>
          <w:p w14:paraId="67A05189">
            <w:pPr>
              <w:jc w:val="center"/>
              <w:rPr>
                <w:i/>
                <w:color w:val="FF0000"/>
                <w:sz w:val="18"/>
                <w:szCs w:val="18"/>
              </w:rPr>
            </w:pPr>
            <w:r>
              <w:rPr>
                <w:rFonts w:hint="eastAsia"/>
                <w:sz w:val="18"/>
                <w:szCs w:val="18"/>
              </w:rPr>
              <w:t>2</w:t>
            </w:r>
          </w:p>
        </w:tc>
        <w:tc>
          <w:tcPr>
            <w:tcW w:w="709" w:type="dxa"/>
            <w:vAlign w:val="center"/>
          </w:tcPr>
          <w:p w14:paraId="0C64E025">
            <w:pPr>
              <w:jc w:val="center"/>
              <w:rPr>
                <w:i/>
                <w:sz w:val="18"/>
                <w:szCs w:val="18"/>
              </w:rPr>
            </w:pPr>
            <w:r>
              <w:rPr>
                <w:rFonts w:hint="eastAsia"/>
                <w:sz w:val="18"/>
                <w:szCs w:val="18"/>
              </w:rPr>
              <w:t>2</w:t>
            </w:r>
          </w:p>
        </w:tc>
        <w:tc>
          <w:tcPr>
            <w:tcW w:w="1045" w:type="dxa"/>
            <w:vMerge w:val="continue"/>
            <w:vAlign w:val="center"/>
          </w:tcPr>
          <w:p w14:paraId="14F7AA16">
            <w:pPr>
              <w:adjustRightInd w:val="0"/>
              <w:snapToGrid w:val="0"/>
              <w:jc w:val="center"/>
              <w:rPr>
                <w:color w:val="000000" w:themeColor="text1"/>
                <w:sz w:val="18"/>
                <w:szCs w:val="18"/>
                <w14:textFill>
                  <w14:solidFill>
                    <w14:schemeClr w14:val="tx1"/>
                  </w14:solidFill>
                </w14:textFill>
              </w:rPr>
            </w:pPr>
          </w:p>
        </w:tc>
      </w:tr>
      <w:tr w14:paraId="0F27D8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EAD368">
            <w:pPr>
              <w:rPr>
                <w:b/>
                <w:color w:val="000000" w:themeColor="text1"/>
                <w:sz w:val="18"/>
                <w:szCs w:val="18"/>
                <w14:textFill>
                  <w14:solidFill>
                    <w14:schemeClr w14:val="tx1"/>
                  </w14:solidFill>
                </w14:textFill>
              </w:rPr>
            </w:pPr>
          </w:p>
        </w:tc>
        <w:tc>
          <w:tcPr>
            <w:tcW w:w="1226" w:type="dxa"/>
            <w:vMerge w:val="continue"/>
          </w:tcPr>
          <w:p w14:paraId="7CBD3663">
            <w:pPr>
              <w:adjustRightInd w:val="0"/>
              <w:snapToGrid w:val="0"/>
              <w:jc w:val="center"/>
              <w:rPr>
                <w:b/>
                <w:sz w:val="18"/>
                <w:szCs w:val="18"/>
              </w:rPr>
            </w:pPr>
          </w:p>
        </w:tc>
        <w:tc>
          <w:tcPr>
            <w:tcW w:w="3516" w:type="dxa"/>
            <w:vAlign w:val="center"/>
          </w:tcPr>
          <w:p w14:paraId="01DC6C9B">
            <w:pPr>
              <w:rPr>
                <w:i/>
                <w:sz w:val="18"/>
                <w:szCs w:val="18"/>
              </w:rPr>
            </w:pPr>
            <w:r>
              <w:rPr>
                <w:rFonts w:hint="eastAsia"/>
                <w:sz w:val="18"/>
                <w:szCs w:val="18"/>
              </w:rPr>
              <w:t>语言哲学经典著作选读</w:t>
            </w:r>
          </w:p>
        </w:tc>
        <w:tc>
          <w:tcPr>
            <w:tcW w:w="1081" w:type="dxa"/>
            <w:shd w:val="clear" w:color="auto" w:fill="auto"/>
          </w:tcPr>
          <w:p w14:paraId="003F1482">
            <w:r>
              <w:rPr>
                <w:rFonts w:hint="eastAsia"/>
                <w:sz w:val="18"/>
                <w:szCs w:val="18"/>
              </w:rPr>
              <w:t>XS29032</w:t>
            </w:r>
            <w:r>
              <w:rPr>
                <w:rFonts w:hint="eastAsia"/>
                <w:sz w:val="18"/>
                <w:szCs w:val="18"/>
                <w:lang w:val="en-US" w:eastAsia="zh-CN"/>
              </w:rPr>
              <w:t>1</w:t>
            </w:r>
            <w:r>
              <w:rPr>
                <w:rFonts w:hint="eastAsia"/>
                <w:sz w:val="18"/>
                <w:szCs w:val="18"/>
              </w:rPr>
              <w:t>5</w:t>
            </w:r>
          </w:p>
        </w:tc>
        <w:tc>
          <w:tcPr>
            <w:tcW w:w="709" w:type="dxa"/>
            <w:vAlign w:val="center"/>
          </w:tcPr>
          <w:p w14:paraId="0F027A6D">
            <w:pPr>
              <w:jc w:val="center"/>
              <w:rPr>
                <w:i/>
                <w:color w:val="FF0000"/>
                <w:sz w:val="18"/>
                <w:szCs w:val="18"/>
              </w:rPr>
            </w:pPr>
            <w:r>
              <w:rPr>
                <w:rFonts w:hint="eastAsia"/>
                <w:sz w:val="18"/>
                <w:szCs w:val="18"/>
              </w:rPr>
              <w:t>2</w:t>
            </w:r>
          </w:p>
        </w:tc>
        <w:tc>
          <w:tcPr>
            <w:tcW w:w="709" w:type="dxa"/>
            <w:vAlign w:val="center"/>
          </w:tcPr>
          <w:p w14:paraId="6D1F5EBD">
            <w:pPr>
              <w:jc w:val="center"/>
              <w:rPr>
                <w:i/>
                <w:sz w:val="18"/>
                <w:szCs w:val="18"/>
              </w:rPr>
            </w:pPr>
            <w:r>
              <w:rPr>
                <w:rFonts w:hint="eastAsia"/>
                <w:sz w:val="18"/>
                <w:szCs w:val="18"/>
              </w:rPr>
              <w:t>2</w:t>
            </w:r>
          </w:p>
        </w:tc>
        <w:tc>
          <w:tcPr>
            <w:tcW w:w="1045" w:type="dxa"/>
            <w:vMerge w:val="continue"/>
            <w:vAlign w:val="center"/>
          </w:tcPr>
          <w:p w14:paraId="67825C9D">
            <w:pPr>
              <w:adjustRightInd w:val="0"/>
              <w:snapToGrid w:val="0"/>
              <w:jc w:val="center"/>
              <w:rPr>
                <w:color w:val="000000" w:themeColor="text1"/>
                <w:sz w:val="18"/>
                <w:szCs w:val="18"/>
                <w14:textFill>
                  <w14:solidFill>
                    <w14:schemeClr w14:val="tx1"/>
                  </w14:solidFill>
                </w14:textFill>
              </w:rPr>
            </w:pPr>
          </w:p>
        </w:tc>
      </w:tr>
      <w:tr w14:paraId="0F09CB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7E66FE">
            <w:pPr>
              <w:rPr>
                <w:b/>
                <w:color w:val="000000" w:themeColor="text1"/>
                <w:sz w:val="18"/>
                <w:szCs w:val="18"/>
                <w14:textFill>
                  <w14:solidFill>
                    <w14:schemeClr w14:val="tx1"/>
                  </w14:solidFill>
                </w14:textFill>
              </w:rPr>
            </w:pPr>
          </w:p>
        </w:tc>
        <w:tc>
          <w:tcPr>
            <w:tcW w:w="1226" w:type="dxa"/>
            <w:vMerge w:val="continue"/>
          </w:tcPr>
          <w:p w14:paraId="5C41E96D">
            <w:pPr>
              <w:adjustRightInd w:val="0"/>
              <w:snapToGrid w:val="0"/>
              <w:jc w:val="center"/>
              <w:rPr>
                <w:b/>
                <w:sz w:val="18"/>
                <w:szCs w:val="18"/>
              </w:rPr>
            </w:pPr>
          </w:p>
        </w:tc>
        <w:tc>
          <w:tcPr>
            <w:tcW w:w="3516" w:type="dxa"/>
            <w:vAlign w:val="center"/>
          </w:tcPr>
          <w:p w14:paraId="67A4DB8E">
            <w:pPr>
              <w:rPr>
                <w:i/>
                <w:sz w:val="18"/>
                <w:szCs w:val="18"/>
              </w:rPr>
            </w:pPr>
            <w:r>
              <w:rPr>
                <w:rFonts w:hint="eastAsia"/>
                <w:sz w:val="18"/>
                <w:szCs w:val="18"/>
              </w:rPr>
              <w:t>心灵哲学经典著作选读</w:t>
            </w:r>
          </w:p>
        </w:tc>
        <w:tc>
          <w:tcPr>
            <w:tcW w:w="1081" w:type="dxa"/>
            <w:shd w:val="clear" w:color="auto" w:fill="auto"/>
          </w:tcPr>
          <w:p w14:paraId="3A87B213">
            <w:r>
              <w:rPr>
                <w:rFonts w:hint="eastAsia"/>
                <w:sz w:val="18"/>
                <w:szCs w:val="18"/>
              </w:rPr>
              <w:t>XS29032</w:t>
            </w:r>
            <w:r>
              <w:rPr>
                <w:rFonts w:hint="eastAsia"/>
                <w:sz w:val="18"/>
                <w:szCs w:val="18"/>
                <w:lang w:val="en-US" w:eastAsia="zh-CN"/>
              </w:rPr>
              <w:t>1</w:t>
            </w:r>
            <w:r>
              <w:rPr>
                <w:rFonts w:hint="eastAsia"/>
                <w:sz w:val="18"/>
                <w:szCs w:val="18"/>
              </w:rPr>
              <w:t>6</w:t>
            </w:r>
          </w:p>
        </w:tc>
        <w:tc>
          <w:tcPr>
            <w:tcW w:w="709" w:type="dxa"/>
            <w:vAlign w:val="center"/>
          </w:tcPr>
          <w:p w14:paraId="02C7546E">
            <w:pPr>
              <w:jc w:val="center"/>
              <w:rPr>
                <w:i/>
                <w:color w:val="FF0000"/>
                <w:sz w:val="18"/>
                <w:szCs w:val="18"/>
              </w:rPr>
            </w:pPr>
            <w:r>
              <w:rPr>
                <w:rFonts w:hint="eastAsia"/>
                <w:sz w:val="18"/>
                <w:szCs w:val="18"/>
              </w:rPr>
              <w:t>2</w:t>
            </w:r>
          </w:p>
        </w:tc>
        <w:tc>
          <w:tcPr>
            <w:tcW w:w="709" w:type="dxa"/>
            <w:vAlign w:val="center"/>
          </w:tcPr>
          <w:p w14:paraId="33FEA50D">
            <w:pPr>
              <w:jc w:val="center"/>
              <w:rPr>
                <w:i/>
                <w:sz w:val="18"/>
                <w:szCs w:val="18"/>
              </w:rPr>
            </w:pPr>
            <w:r>
              <w:rPr>
                <w:rFonts w:hint="eastAsia"/>
                <w:sz w:val="18"/>
                <w:szCs w:val="18"/>
              </w:rPr>
              <w:t>2</w:t>
            </w:r>
          </w:p>
        </w:tc>
        <w:tc>
          <w:tcPr>
            <w:tcW w:w="1045" w:type="dxa"/>
            <w:vMerge w:val="continue"/>
            <w:vAlign w:val="center"/>
          </w:tcPr>
          <w:p w14:paraId="4B0EBA31">
            <w:pPr>
              <w:adjustRightInd w:val="0"/>
              <w:snapToGrid w:val="0"/>
              <w:jc w:val="center"/>
              <w:rPr>
                <w:color w:val="000000" w:themeColor="text1"/>
                <w:sz w:val="18"/>
                <w:szCs w:val="18"/>
                <w14:textFill>
                  <w14:solidFill>
                    <w14:schemeClr w14:val="tx1"/>
                  </w14:solidFill>
                </w14:textFill>
              </w:rPr>
            </w:pPr>
          </w:p>
        </w:tc>
      </w:tr>
      <w:tr w14:paraId="30271D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73DDE5">
            <w:pPr>
              <w:rPr>
                <w:b/>
                <w:color w:val="000000" w:themeColor="text1"/>
                <w:sz w:val="18"/>
                <w:szCs w:val="18"/>
                <w14:textFill>
                  <w14:solidFill>
                    <w14:schemeClr w14:val="tx1"/>
                  </w14:solidFill>
                </w14:textFill>
              </w:rPr>
            </w:pPr>
          </w:p>
        </w:tc>
        <w:tc>
          <w:tcPr>
            <w:tcW w:w="1226" w:type="dxa"/>
            <w:vMerge w:val="continue"/>
          </w:tcPr>
          <w:p w14:paraId="06148E7C">
            <w:pPr>
              <w:adjustRightInd w:val="0"/>
              <w:snapToGrid w:val="0"/>
              <w:jc w:val="center"/>
              <w:rPr>
                <w:b/>
                <w:sz w:val="18"/>
                <w:szCs w:val="18"/>
              </w:rPr>
            </w:pPr>
          </w:p>
        </w:tc>
        <w:tc>
          <w:tcPr>
            <w:tcW w:w="3516" w:type="dxa"/>
            <w:vAlign w:val="center"/>
          </w:tcPr>
          <w:p w14:paraId="5DAADAED">
            <w:pPr>
              <w:rPr>
                <w:i/>
                <w:sz w:val="18"/>
                <w:szCs w:val="18"/>
              </w:rPr>
            </w:pPr>
            <w:r>
              <w:rPr>
                <w:rFonts w:hint="eastAsia"/>
                <w:sz w:val="18"/>
                <w:szCs w:val="18"/>
              </w:rPr>
              <w:t>知识论专题</w:t>
            </w:r>
          </w:p>
        </w:tc>
        <w:tc>
          <w:tcPr>
            <w:tcW w:w="1081" w:type="dxa"/>
            <w:shd w:val="clear" w:color="auto" w:fill="auto"/>
          </w:tcPr>
          <w:p w14:paraId="7E9D928E">
            <w:r>
              <w:rPr>
                <w:rFonts w:hint="eastAsia"/>
                <w:sz w:val="18"/>
                <w:szCs w:val="18"/>
              </w:rPr>
              <w:t>XS29032</w:t>
            </w:r>
            <w:r>
              <w:rPr>
                <w:rFonts w:hint="eastAsia"/>
                <w:sz w:val="18"/>
                <w:szCs w:val="18"/>
                <w:lang w:val="en-US" w:eastAsia="zh-CN"/>
              </w:rPr>
              <w:t>1</w:t>
            </w:r>
            <w:r>
              <w:rPr>
                <w:rFonts w:hint="eastAsia"/>
                <w:sz w:val="18"/>
                <w:szCs w:val="18"/>
              </w:rPr>
              <w:t>7</w:t>
            </w:r>
          </w:p>
        </w:tc>
        <w:tc>
          <w:tcPr>
            <w:tcW w:w="709" w:type="dxa"/>
            <w:vAlign w:val="center"/>
          </w:tcPr>
          <w:p w14:paraId="7E0C5754">
            <w:pPr>
              <w:jc w:val="center"/>
              <w:rPr>
                <w:i/>
                <w:color w:val="FF0000"/>
                <w:sz w:val="18"/>
                <w:szCs w:val="18"/>
              </w:rPr>
            </w:pPr>
            <w:r>
              <w:rPr>
                <w:rFonts w:hint="eastAsia"/>
                <w:sz w:val="18"/>
                <w:szCs w:val="18"/>
              </w:rPr>
              <w:t>2</w:t>
            </w:r>
          </w:p>
        </w:tc>
        <w:tc>
          <w:tcPr>
            <w:tcW w:w="709" w:type="dxa"/>
            <w:vAlign w:val="center"/>
          </w:tcPr>
          <w:p w14:paraId="3A7F3A8F">
            <w:pPr>
              <w:jc w:val="center"/>
              <w:rPr>
                <w:i/>
                <w:sz w:val="18"/>
                <w:szCs w:val="18"/>
              </w:rPr>
            </w:pPr>
            <w:r>
              <w:rPr>
                <w:rFonts w:hint="eastAsia"/>
                <w:sz w:val="18"/>
                <w:szCs w:val="18"/>
              </w:rPr>
              <w:t>2</w:t>
            </w:r>
          </w:p>
        </w:tc>
        <w:tc>
          <w:tcPr>
            <w:tcW w:w="1045" w:type="dxa"/>
            <w:vMerge w:val="continue"/>
            <w:vAlign w:val="center"/>
          </w:tcPr>
          <w:p w14:paraId="3DF66255">
            <w:pPr>
              <w:adjustRightInd w:val="0"/>
              <w:snapToGrid w:val="0"/>
              <w:jc w:val="center"/>
              <w:rPr>
                <w:color w:val="000000" w:themeColor="text1"/>
                <w:sz w:val="18"/>
                <w:szCs w:val="18"/>
                <w14:textFill>
                  <w14:solidFill>
                    <w14:schemeClr w14:val="tx1"/>
                  </w14:solidFill>
                </w14:textFill>
              </w:rPr>
            </w:pPr>
          </w:p>
        </w:tc>
      </w:tr>
      <w:tr w14:paraId="0943C5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393B79">
            <w:pPr>
              <w:rPr>
                <w:b/>
                <w:color w:val="000000" w:themeColor="text1"/>
                <w:sz w:val="18"/>
                <w:szCs w:val="18"/>
                <w14:textFill>
                  <w14:solidFill>
                    <w14:schemeClr w14:val="tx1"/>
                  </w14:solidFill>
                </w14:textFill>
              </w:rPr>
            </w:pPr>
          </w:p>
        </w:tc>
        <w:tc>
          <w:tcPr>
            <w:tcW w:w="1226" w:type="dxa"/>
            <w:vMerge w:val="continue"/>
          </w:tcPr>
          <w:p w14:paraId="3CAB7224">
            <w:pPr>
              <w:adjustRightInd w:val="0"/>
              <w:snapToGrid w:val="0"/>
              <w:jc w:val="center"/>
              <w:rPr>
                <w:b/>
                <w:sz w:val="18"/>
                <w:szCs w:val="18"/>
              </w:rPr>
            </w:pPr>
          </w:p>
        </w:tc>
        <w:tc>
          <w:tcPr>
            <w:tcW w:w="3516" w:type="dxa"/>
            <w:vAlign w:val="center"/>
          </w:tcPr>
          <w:p w14:paraId="1846991C">
            <w:pPr>
              <w:rPr>
                <w:i/>
                <w:sz w:val="18"/>
                <w:szCs w:val="18"/>
              </w:rPr>
            </w:pPr>
            <w:r>
              <w:rPr>
                <w:rFonts w:hint="eastAsia"/>
                <w:sz w:val="18"/>
                <w:szCs w:val="18"/>
              </w:rPr>
              <w:t>心灵哲学</w:t>
            </w:r>
          </w:p>
        </w:tc>
        <w:tc>
          <w:tcPr>
            <w:tcW w:w="1081" w:type="dxa"/>
            <w:shd w:val="clear" w:color="auto" w:fill="auto"/>
          </w:tcPr>
          <w:p w14:paraId="676C8C54">
            <w:r>
              <w:rPr>
                <w:rFonts w:hint="eastAsia"/>
                <w:sz w:val="18"/>
                <w:szCs w:val="18"/>
              </w:rPr>
              <w:t>XS29032</w:t>
            </w:r>
            <w:r>
              <w:rPr>
                <w:rFonts w:hint="eastAsia"/>
                <w:sz w:val="18"/>
                <w:szCs w:val="18"/>
                <w:lang w:val="en-US" w:eastAsia="zh-CN"/>
              </w:rPr>
              <w:t>1</w:t>
            </w:r>
            <w:r>
              <w:rPr>
                <w:rFonts w:hint="eastAsia"/>
                <w:sz w:val="18"/>
                <w:szCs w:val="18"/>
              </w:rPr>
              <w:t>8</w:t>
            </w:r>
          </w:p>
        </w:tc>
        <w:tc>
          <w:tcPr>
            <w:tcW w:w="709" w:type="dxa"/>
            <w:vAlign w:val="center"/>
          </w:tcPr>
          <w:p w14:paraId="4A506575">
            <w:pPr>
              <w:jc w:val="center"/>
              <w:rPr>
                <w:i/>
                <w:color w:val="FF0000"/>
                <w:sz w:val="18"/>
                <w:szCs w:val="18"/>
              </w:rPr>
            </w:pPr>
            <w:r>
              <w:rPr>
                <w:rFonts w:hint="eastAsia"/>
                <w:sz w:val="18"/>
                <w:szCs w:val="18"/>
              </w:rPr>
              <w:t>2</w:t>
            </w:r>
          </w:p>
        </w:tc>
        <w:tc>
          <w:tcPr>
            <w:tcW w:w="709" w:type="dxa"/>
            <w:vAlign w:val="center"/>
          </w:tcPr>
          <w:p w14:paraId="09510569">
            <w:pPr>
              <w:jc w:val="center"/>
              <w:rPr>
                <w:i/>
                <w:sz w:val="18"/>
                <w:szCs w:val="18"/>
              </w:rPr>
            </w:pPr>
            <w:r>
              <w:rPr>
                <w:rFonts w:hint="eastAsia"/>
                <w:sz w:val="18"/>
                <w:szCs w:val="18"/>
              </w:rPr>
              <w:t>3</w:t>
            </w:r>
          </w:p>
        </w:tc>
        <w:tc>
          <w:tcPr>
            <w:tcW w:w="1045" w:type="dxa"/>
            <w:vMerge w:val="continue"/>
            <w:vAlign w:val="center"/>
          </w:tcPr>
          <w:p w14:paraId="044940B3">
            <w:pPr>
              <w:adjustRightInd w:val="0"/>
              <w:snapToGrid w:val="0"/>
              <w:jc w:val="center"/>
              <w:rPr>
                <w:color w:val="000000" w:themeColor="text1"/>
                <w:sz w:val="18"/>
                <w:szCs w:val="18"/>
                <w14:textFill>
                  <w14:solidFill>
                    <w14:schemeClr w14:val="tx1"/>
                  </w14:solidFill>
                </w14:textFill>
              </w:rPr>
            </w:pPr>
          </w:p>
        </w:tc>
      </w:tr>
      <w:tr w14:paraId="39807A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7595E2">
            <w:pPr>
              <w:rPr>
                <w:b/>
                <w:color w:val="000000" w:themeColor="text1"/>
                <w:sz w:val="18"/>
                <w:szCs w:val="18"/>
                <w14:textFill>
                  <w14:solidFill>
                    <w14:schemeClr w14:val="tx1"/>
                  </w14:solidFill>
                </w14:textFill>
              </w:rPr>
            </w:pPr>
            <w:bookmarkStart w:id="1" w:name="_GoBack" w:colFirst="3" w:colLast="3"/>
          </w:p>
        </w:tc>
        <w:tc>
          <w:tcPr>
            <w:tcW w:w="1226" w:type="dxa"/>
            <w:vMerge w:val="continue"/>
          </w:tcPr>
          <w:p w14:paraId="4803F1BE">
            <w:pPr>
              <w:adjustRightInd w:val="0"/>
              <w:snapToGrid w:val="0"/>
              <w:jc w:val="center"/>
              <w:rPr>
                <w:b/>
                <w:sz w:val="18"/>
                <w:szCs w:val="18"/>
              </w:rPr>
            </w:pPr>
          </w:p>
        </w:tc>
        <w:tc>
          <w:tcPr>
            <w:tcW w:w="3516" w:type="dxa"/>
            <w:vAlign w:val="center"/>
          </w:tcPr>
          <w:p w14:paraId="5A5DDC6A">
            <w:pPr>
              <w:rPr>
                <w:i/>
                <w:sz w:val="18"/>
                <w:szCs w:val="18"/>
              </w:rPr>
            </w:pPr>
            <w:r>
              <w:rPr>
                <w:rFonts w:hint="eastAsia"/>
                <w:sz w:val="18"/>
                <w:szCs w:val="18"/>
              </w:rPr>
              <w:t>唯理论与经验论哲学专题</w:t>
            </w:r>
          </w:p>
        </w:tc>
        <w:tc>
          <w:tcPr>
            <w:tcW w:w="1081" w:type="dxa"/>
            <w:shd w:val="clear" w:color="auto" w:fill="auto"/>
          </w:tcPr>
          <w:p w14:paraId="5DDDB8E8">
            <w:r>
              <w:rPr>
                <w:rFonts w:hint="eastAsia"/>
                <w:sz w:val="18"/>
                <w:szCs w:val="18"/>
              </w:rPr>
              <w:t>XS29032</w:t>
            </w:r>
            <w:r>
              <w:rPr>
                <w:rFonts w:hint="eastAsia"/>
                <w:sz w:val="18"/>
                <w:szCs w:val="18"/>
                <w:lang w:val="en-US" w:eastAsia="zh-CN"/>
              </w:rPr>
              <w:t>1</w:t>
            </w:r>
            <w:r>
              <w:rPr>
                <w:rFonts w:hint="eastAsia"/>
                <w:sz w:val="18"/>
                <w:szCs w:val="18"/>
              </w:rPr>
              <w:t>9</w:t>
            </w:r>
          </w:p>
        </w:tc>
        <w:tc>
          <w:tcPr>
            <w:tcW w:w="709" w:type="dxa"/>
            <w:vAlign w:val="center"/>
          </w:tcPr>
          <w:p w14:paraId="1E0B736D">
            <w:pPr>
              <w:jc w:val="center"/>
              <w:rPr>
                <w:i/>
                <w:color w:val="FF0000"/>
                <w:sz w:val="18"/>
                <w:szCs w:val="18"/>
              </w:rPr>
            </w:pPr>
            <w:r>
              <w:rPr>
                <w:rFonts w:hint="eastAsia"/>
                <w:sz w:val="18"/>
                <w:szCs w:val="18"/>
              </w:rPr>
              <w:t>2</w:t>
            </w:r>
          </w:p>
        </w:tc>
        <w:tc>
          <w:tcPr>
            <w:tcW w:w="709" w:type="dxa"/>
            <w:vAlign w:val="center"/>
          </w:tcPr>
          <w:p w14:paraId="3857D997">
            <w:pPr>
              <w:jc w:val="center"/>
              <w:rPr>
                <w:i/>
                <w:sz w:val="18"/>
                <w:szCs w:val="18"/>
              </w:rPr>
            </w:pPr>
            <w:r>
              <w:rPr>
                <w:rFonts w:hint="eastAsia"/>
                <w:sz w:val="18"/>
                <w:szCs w:val="18"/>
              </w:rPr>
              <w:t>3</w:t>
            </w:r>
          </w:p>
        </w:tc>
        <w:tc>
          <w:tcPr>
            <w:tcW w:w="1045" w:type="dxa"/>
            <w:vMerge w:val="continue"/>
            <w:vAlign w:val="center"/>
          </w:tcPr>
          <w:p w14:paraId="1D434A27">
            <w:pPr>
              <w:adjustRightInd w:val="0"/>
              <w:snapToGrid w:val="0"/>
              <w:jc w:val="center"/>
              <w:rPr>
                <w:color w:val="000000" w:themeColor="text1"/>
                <w:sz w:val="18"/>
                <w:szCs w:val="18"/>
                <w14:textFill>
                  <w14:solidFill>
                    <w14:schemeClr w14:val="tx1"/>
                  </w14:solidFill>
                </w14:textFill>
              </w:rPr>
            </w:pPr>
          </w:p>
        </w:tc>
      </w:tr>
      <w:bookmarkEnd w:id="1"/>
      <w:tr w14:paraId="49D82E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EB1FD9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4D59B543">
            <w:pPr>
              <w:jc w:val="center"/>
              <w:rPr>
                <w:b/>
                <w:color w:val="000000" w:themeColor="text1"/>
                <w:sz w:val="18"/>
                <w:szCs w:val="18"/>
                <w14:textFill>
                  <w14:solidFill>
                    <w14:schemeClr w14:val="tx1"/>
                  </w14:solidFill>
                </w14:textFill>
              </w:rPr>
            </w:pPr>
          </w:p>
        </w:tc>
        <w:tc>
          <w:tcPr>
            <w:tcW w:w="1226" w:type="dxa"/>
            <w:vMerge w:val="restart"/>
            <w:vAlign w:val="center"/>
          </w:tcPr>
          <w:p w14:paraId="058BA26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58E24C2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7C90E608">
            <w:pPr>
              <w:jc w:val="center"/>
              <w:rPr>
                <w:color w:val="000000" w:themeColor="text1"/>
                <w:sz w:val="18"/>
                <w:szCs w:val="18"/>
                <w14:textFill>
                  <w14:solidFill>
                    <w14:schemeClr w14:val="tx1"/>
                  </w14:solidFill>
                </w14:textFill>
              </w:rPr>
            </w:pPr>
          </w:p>
        </w:tc>
        <w:tc>
          <w:tcPr>
            <w:tcW w:w="709" w:type="dxa"/>
            <w:vAlign w:val="center"/>
          </w:tcPr>
          <w:p w14:paraId="5DD5CDFF">
            <w:pPr>
              <w:jc w:val="center"/>
              <w:rPr>
                <w:color w:val="000000" w:themeColor="text1"/>
                <w:sz w:val="18"/>
                <w:szCs w:val="18"/>
                <w14:textFill>
                  <w14:solidFill>
                    <w14:schemeClr w14:val="tx1"/>
                  </w14:solidFill>
                </w14:textFill>
              </w:rPr>
            </w:pPr>
          </w:p>
        </w:tc>
        <w:tc>
          <w:tcPr>
            <w:tcW w:w="709" w:type="dxa"/>
            <w:vAlign w:val="center"/>
          </w:tcPr>
          <w:p w14:paraId="6E4C8AA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970DCED">
            <w:pPr>
              <w:jc w:val="center"/>
              <w:rPr>
                <w:i/>
                <w:color w:val="FF0000"/>
                <w:sz w:val="18"/>
                <w:szCs w:val="18"/>
              </w:rPr>
            </w:pPr>
          </w:p>
        </w:tc>
      </w:tr>
      <w:tr w14:paraId="3AE5D7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56BFDF9">
            <w:pPr>
              <w:jc w:val="center"/>
              <w:rPr>
                <w:b/>
                <w:color w:val="000000" w:themeColor="text1"/>
                <w:sz w:val="18"/>
                <w:szCs w:val="18"/>
                <w14:textFill>
                  <w14:solidFill>
                    <w14:schemeClr w14:val="tx1"/>
                  </w14:solidFill>
                </w14:textFill>
              </w:rPr>
            </w:pPr>
          </w:p>
        </w:tc>
        <w:tc>
          <w:tcPr>
            <w:tcW w:w="1226" w:type="dxa"/>
            <w:vMerge w:val="continue"/>
            <w:vAlign w:val="center"/>
          </w:tcPr>
          <w:p w14:paraId="1AFAEAFD">
            <w:pPr>
              <w:jc w:val="center"/>
              <w:rPr>
                <w:b/>
                <w:color w:val="000000" w:themeColor="text1"/>
                <w:sz w:val="18"/>
                <w:szCs w:val="18"/>
                <w14:textFill>
                  <w14:solidFill>
                    <w14:schemeClr w14:val="tx1"/>
                  </w14:solidFill>
                </w14:textFill>
              </w:rPr>
            </w:pPr>
          </w:p>
        </w:tc>
        <w:tc>
          <w:tcPr>
            <w:tcW w:w="3516" w:type="dxa"/>
            <w:vAlign w:val="center"/>
          </w:tcPr>
          <w:p w14:paraId="2715A1D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shd w:val="clear" w:color="auto" w:fill="auto"/>
            <w:vAlign w:val="center"/>
          </w:tcPr>
          <w:p w14:paraId="03EF465F">
            <w:pPr>
              <w:jc w:val="center"/>
              <w:rPr>
                <w:color w:val="000000" w:themeColor="text1"/>
                <w:sz w:val="18"/>
                <w:szCs w:val="18"/>
                <w14:textFill>
                  <w14:solidFill>
                    <w14:schemeClr w14:val="tx1"/>
                  </w14:solidFill>
                </w14:textFill>
              </w:rPr>
            </w:pPr>
          </w:p>
        </w:tc>
        <w:tc>
          <w:tcPr>
            <w:tcW w:w="709" w:type="dxa"/>
            <w:vAlign w:val="center"/>
          </w:tcPr>
          <w:p w14:paraId="0D6B6F0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D8E073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4-5</w:t>
            </w:r>
          </w:p>
        </w:tc>
        <w:tc>
          <w:tcPr>
            <w:tcW w:w="1045" w:type="dxa"/>
            <w:vMerge w:val="continue"/>
            <w:vAlign w:val="center"/>
          </w:tcPr>
          <w:p w14:paraId="7CB806B2">
            <w:pPr>
              <w:jc w:val="center"/>
              <w:rPr>
                <w:color w:val="000000" w:themeColor="text1"/>
                <w:sz w:val="18"/>
                <w:szCs w:val="18"/>
                <w14:textFill>
                  <w14:solidFill>
                    <w14:schemeClr w14:val="tx1"/>
                  </w14:solidFill>
                </w14:textFill>
              </w:rPr>
            </w:pPr>
          </w:p>
        </w:tc>
      </w:tr>
      <w:tr w14:paraId="1D5406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8BCE17">
            <w:pPr>
              <w:rPr>
                <w:b/>
                <w:color w:val="000000" w:themeColor="text1"/>
                <w:sz w:val="18"/>
                <w:szCs w:val="18"/>
                <w14:textFill>
                  <w14:solidFill>
                    <w14:schemeClr w14:val="tx1"/>
                  </w14:solidFill>
                </w14:textFill>
              </w:rPr>
            </w:pPr>
          </w:p>
        </w:tc>
        <w:tc>
          <w:tcPr>
            <w:tcW w:w="1226" w:type="dxa"/>
            <w:vMerge w:val="restart"/>
            <w:vAlign w:val="center"/>
          </w:tcPr>
          <w:p w14:paraId="746DF7D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9CA92E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2B729BFC">
            <w:pPr>
              <w:jc w:val="center"/>
              <w:rPr>
                <w:color w:val="000000" w:themeColor="text1"/>
                <w:sz w:val="18"/>
                <w:szCs w:val="18"/>
                <w14:textFill>
                  <w14:solidFill>
                    <w14:schemeClr w14:val="tx1"/>
                  </w14:solidFill>
                </w14:textFill>
              </w:rPr>
            </w:pPr>
          </w:p>
        </w:tc>
        <w:tc>
          <w:tcPr>
            <w:tcW w:w="709" w:type="dxa"/>
            <w:vAlign w:val="center"/>
          </w:tcPr>
          <w:p w14:paraId="66D6D3E2">
            <w:pPr>
              <w:jc w:val="center"/>
              <w:rPr>
                <w:color w:val="000000" w:themeColor="text1"/>
                <w:sz w:val="18"/>
                <w:szCs w:val="18"/>
                <w14:textFill>
                  <w14:solidFill>
                    <w14:schemeClr w14:val="tx1"/>
                  </w14:solidFill>
                </w14:textFill>
              </w:rPr>
            </w:pPr>
          </w:p>
        </w:tc>
        <w:tc>
          <w:tcPr>
            <w:tcW w:w="709" w:type="dxa"/>
            <w:vAlign w:val="center"/>
          </w:tcPr>
          <w:p w14:paraId="5A8B6DED">
            <w:pPr>
              <w:jc w:val="center"/>
              <w:rPr>
                <w:color w:val="000000" w:themeColor="text1"/>
                <w:sz w:val="18"/>
                <w:szCs w:val="18"/>
                <w14:textFill>
                  <w14:solidFill>
                    <w14:schemeClr w14:val="tx1"/>
                  </w14:solidFill>
                </w14:textFill>
              </w:rPr>
            </w:pPr>
            <w:r>
              <w:rPr>
                <w:sz w:val="18"/>
                <w:szCs w:val="18"/>
              </w:rPr>
              <w:t>4</w:t>
            </w:r>
          </w:p>
        </w:tc>
        <w:tc>
          <w:tcPr>
            <w:tcW w:w="1045" w:type="dxa"/>
            <w:vMerge w:val="restart"/>
            <w:vAlign w:val="center"/>
          </w:tcPr>
          <w:p w14:paraId="3204FB5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42BBF3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AE50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980A40">
            <w:pPr>
              <w:rPr>
                <w:b/>
                <w:color w:val="000000" w:themeColor="text1"/>
                <w:sz w:val="18"/>
                <w:szCs w:val="18"/>
                <w14:textFill>
                  <w14:solidFill>
                    <w14:schemeClr w14:val="tx1"/>
                  </w14:solidFill>
                </w14:textFill>
              </w:rPr>
            </w:pPr>
          </w:p>
        </w:tc>
        <w:tc>
          <w:tcPr>
            <w:tcW w:w="1226" w:type="dxa"/>
            <w:vMerge w:val="continue"/>
            <w:vAlign w:val="center"/>
          </w:tcPr>
          <w:p w14:paraId="52CE1B68">
            <w:pPr>
              <w:jc w:val="center"/>
              <w:rPr>
                <w:b/>
                <w:color w:val="000000" w:themeColor="text1"/>
                <w:sz w:val="18"/>
                <w:szCs w:val="18"/>
                <w14:textFill>
                  <w14:solidFill>
                    <w14:schemeClr w14:val="tx1"/>
                  </w14:solidFill>
                </w14:textFill>
              </w:rPr>
            </w:pPr>
          </w:p>
        </w:tc>
        <w:tc>
          <w:tcPr>
            <w:tcW w:w="3516" w:type="dxa"/>
            <w:vAlign w:val="center"/>
          </w:tcPr>
          <w:p w14:paraId="47FE3CA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7F6A6ECB">
            <w:pPr>
              <w:jc w:val="center"/>
              <w:rPr>
                <w:color w:val="000000" w:themeColor="text1"/>
                <w:sz w:val="18"/>
                <w:szCs w:val="18"/>
                <w14:textFill>
                  <w14:solidFill>
                    <w14:schemeClr w14:val="tx1"/>
                  </w14:solidFill>
                </w14:textFill>
              </w:rPr>
            </w:pPr>
          </w:p>
        </w:tc>
        <w:tc>
          <w:tcPr>
            <w:tcW w:w="709" w:type="dxa"/>
            <w:vAlign w:val="center"/>
          </w:tcPr>
          <w:p w14:paraId="3129598F">
            <w:pPr>
              <w:jc w:val="center"/>
              <w:rPr>
                <w:color w:val="000000" w:themeColor="text1"/>
                <w:sz w:val="18"/>
                <w:szCs w:val="18"/>
                <w14:textFill>
                  <w14:solidFill>
                    <w14:schemeClr w14:val="tx1"/>
                  </w14:solidFill>
                </w14:textFill>
              </w:rPr>
            </w:pPr>
          </w:p>
        </w:tc>
        <w:tc>
          <w:tcPr>
            <w:tcW w:w="709" w:type="dxa"/>
            <w:vAlign w:val="center"/>
          </w:tcPr>
          <w:p w14:paraId="1A5D8783">
            <w:pPr>
              <w:jc w:val="center"/>
              <w:rPr>
                <w:sz w:val="18"/>
                <w:szCs w:val="18"/>
              </w:rPr>
            </w:pPr>
            <w:r>
              <w:rPr>
                <w:sz w:val="18"/>
                <w:szCs w:val="18"/>
              </w:rPr>
              <w:t>4</w:t>
            </w:r>
          </w:p>
        </w:tc>
        <w:tc>
          <w:tcPr>
            <w:tcW w:w="1045" w:type="dxa"/>
            <w:vMerge w:val="continue"/>
            <w:vAlign w:val="center"/>
          </w:tcPr>
          <w:p w14:paraId="112467C9">
            <w:pPr>
              <w:jc w:val="center"/>
              <w:rPr>
                <w:color w:val="000000" w:themeColor="text1"/>
                <w:sz w:val="18"/>
                <w:szCs w:val="18"/>
                <w14:textFill>
                  <w14:solidFill>
                    <w14:schemeClr w14:val="tx1"/>
                  </w14:solidFill>
                </w14:textFill>
              </w:rPr>
            </w:pPr>
          </w:p>
        </w:tc>
      </w:tr>
      <w:tr w14:paraId="09D59A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5421F7">
            <w:pPr>
              <w:rPr>
                <w:b/>
                <w:color w:val="000000" w:themeColor="text1"/>
                <w:sz w:val="18"/>
                <w:szCs w:val="18"/>
                <w14:textFill>
                  <w14:solidFill>
                    <w14:schemeClr w14:val="tx1"/>
                  </w14:solidFill>
                </w14:textFill>
              </w:rPr>
            </w:pPr>
          </w:p>
        </w:tc>
        <w:tc>
          <w:tcPr>
            <w:tcW w:w="1226" w:type="dxa"/>
            <w:vMerge w:val="continue"/>
            <w:vAlign w:val="center"/>
          </w:tcPr>
          <w:p w14:paraId="64A7A8D1">
            <w:pPr>
              <w:jc w:val="center"/>
              <w:rPr>
                <w:b/>
                <w:color w:val="000000" w:themeColor="text1"/>
                <w:sz w:val="18"/>
                <w:szCs w:val="18"/>
                <w14:textFill>
                  <w14:solidFill>
                    <w14:schemeClr w14:val="tx1"/>
                  </w14:solidFill>
                </w14:textFill>
              </w:rPr>
            </w:pPr>
          </w:p>
        </w:tc>
        <w:tc>
          <w:tcPr>
            <w:tcW w:w="3516" w:type="dxa"/>
            <w:vAlign w:val="center"/>
          </w:tcPr>
          <w:p w14:paraId="0F043A96">
            <w:pPr>
              <w:rPr>
                <w:sz w:val="18"/>
                <w:szCs w:val="18"/>
              </w:rPr>
            </w:pPr>
            <w:r>
              <w:rPr>
                <w:sz w:val="18"/>
                <w:szCs w:val="18"/>
              </w:rPr>
              <w:t>论文中期进展报告</w:t>
            </w:r>
          </w:p>
        </w:tc>
        <w:tc>
          <w:tcPr>
            <w:tcW w:w="1081" w:type="dxa"/>
            <w:vAlign w:val="center"/>
          </w:tcPr>
          <w:p w14:paraId="30484C1C">
            <w:pPr>
              <w:jc w:val="center"/>
              <w:rPr>
                <w:color w:val="000000" w:themeColor="text1"/>
                <w:sz w:val="18"/>
                <w:szCs w:val="18"/>
                <w14:textFill>
                  <w14:solidFill>
                    <w14:schemeClr w14:val="tx1"/>
                  </w14:solidFill>
                </w14:textFill>
              </w:rPr>
            </w:pPr>
          </w:p>
        </w:tc>
        <w:tc>
          <w:tcPr>
            <w:tcW w:w="709" w:type="dxa"/>
            <w:vAlign w:val="center"/>
          </w:tcPr>
          <w:p w14:paraId="609C89D0">
            <w:pPr>
              <w:jc w:val="center"/>
              <w:rPr>
                <w:color w:val="000000" w:themeColor="text1"/>
                <w:sz w:val="18"/>
                <w:szCs w:val="18"/>
                <w14:textFill>
                  <w14:solidFill>
                    <w14:schemeClr w14:val="tx1"/>
                  </w14:solidFill>
                </w14:textFill>
              </w:rPr>
            </w:pPr>
          </w:p>
        </w:tc>
        <w:tc>
          <w:tcPr>
            <w:tcW w:w="709" w:type="dxa"/>
            <w:vAlign w:val="center"/>
          </w:tcPr>
          <w:p w14:paraId="705FE0E1">
            <w:pPr>
              <w:jc w:val="center"/>
              <w:rPr>
                <w:sz w:val="18"/>
                <w:szCs w:val="18"/>
              </w:rPr>
            </w:pPr>
            <w:r>
              <w:rPr>
                <w:sz w:val="18"/>
                <w:szCs w:val="18"/>
              </w:rPr>
              <w:t>5</w:t>
            </w:r>
          </w:p>
        </w:tc>
        <w:tc>
          <w:tcPr>
            <w:tcW w:w="1045" w:type="dxa"/>
            <w:vMerge w:val="continue"/>
          </w:tcPr>
          <w:p w14:paraId="2942FC4B">
            <w:pPr>
              <w:jc w:val="center"/>
              <w:rPr>
                <w:color w:val="000000" w:themeColor="text1"/>
                <w:sz w:val="18"/>
                <w:szCs w:val="18"/>
                <w14:textFill>
                  <w14:solidFill>
                    <w14:schemeClr w14:val="tx1"/>
                  </w14:solidFill>
                </w14:textFill>
              </w:rPr>
            </w:pPr>
          </w:p>
        </w:tc>
      </w:tr>
      <w:tr w14:paraId="2CA80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85642E">
            <w:pPr>
              <w:rPr>
                <w:b/>
                <w:color w:val="000000" w:themeColor="text1"/>
                <w:sz w:val="18"/>
                <w:szCs w:val="18"/>
                <w14:textFill>
                  <w14:solidFill>
                    <w14:schemeClr w14:val="tx1"/>
                  </w14:solidFill>
                </w14:textFill>
              </w:rPr>
            </w:pPr>
          </w:p>
        </w:tc>
        <w:tc>
          <w:tcPr>
            <w:tcW w:w="1226" w:type="dxa"/>
            <w:vMerge w:val="continue"/>
            <w:vAlign w:val="center"/>
          </w:tcPr>
          <w:p w14:paraId="32613445">
            <w:pPr>
              <w:jc w:val="center"/>
              <w:rPr>
                <w:b/>
                <w:color w:val="000000" w:themeColor="text1"/>
                <w:sz w:val="18"/>
                <w:szCs w:val="18"/>
                <w14:textFill>
                  <w14:solidFill>
                    <w14:schemeClr w14:val="tx1"/>
                  </w14:solidFill>
                </w14:textFill>
              </w:rPr>
            </w:pPr>
          </w:p>
        </w:tc>
        <w:tc>
          <w:tcPr>
            <w:tcW w:w="3516" w:type="dxa"/>
            <w:vAlign w:val="center"/>
          </w:tcPr>
          <w:p w14:paraId="561F02B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7EB75960">
            <w:pPr>
              <w:jc w:val="center"/>
              <w:rPr>
                <w:color w:val="000000" w:themeColor="text1"/>
                <w:sz w:val="18"/>
                <w:szCs w:val="18"/>
                <w14:textFill>
                  <w14:solidFill>
                    <w14:schemeClr w14:val="tx1"/>
                  </w14:solidFill>
                </w14:textFill>
              </w:rPr>
            </w:pPr>
          </w:p>
        </w:tc>
        <w:tc>
          <w:tcPr>
            <w:tcW w:w="709" w:type="dxa"/>
            <w:vAlign w:val="center"/>
          </w:tcPr>
          <w:p w14:paraId="5AECBB99">
            <w:pPr>
              <w:jc w:val="center"/>
              <w:rPr>
                <w:color w:val="000000" w:themeColor="text1"/>
                <w:sz w:val="18"/>
                <w:szCs w:val="18"/>
                <w14:textFill>
                  <w14:solidFill>
                    <w14:schemeClr w14:val="tx1"/>
                  </w14:solidFill>
                </w14:textFill>
              </w:rPr>
            </w:pPr>
          </w:p>
        </w:tc>
        <w:tc>
          <w:tcPr>
            <w:tcW w:w="709" w:type="dxa"/>
            <w:vAlign w:val="center"/>
          </w:tcPr>
          <w:p w14:paraId="46E5C302">
            <w:pPr>
              <w:jc w:val="center"/>
              <w:rPr>
                <w:sz w:val="18"/>
                <w:szCs w:val="18"/>
              </w:rPr>
            </w:pPr>
            <w:r>
              <w:rPr>
                <w:sz w:val="18"/>
                <w:szCs w:val="18"/>
              </w:rPr>
              <w:t>5</w:t>
            </w:r>
          </w:p>
        </w:tc>
        <w:tc>
          <w:tcPr>
            <w:tcW w:w="1045" w:type="dxa"/>
            <w:vMerge w:val="continue"/>
          </w:tcPr>
          <w:p w14:paraId="7777092D">
            <w:pPr>
              <w:jc w:val="center"/>
              <w:rPr>
                <w:color w:val="000000" w:themeColor="text1"/>
                <w:sz w:val="18"/>
                <w:szCs w:val="18"/>
                <w14:textFill>
                  <w14:solidFill>
                    <w14:schemeClr w14:val="tx1"/>
                  </w14:solidFill>
                </w14:textFill>
              </w:rPr>
            </w:pPr>
          </w:p>
        </w:tc>
      </w:tr>
      <w:tr w14:paraId="0C868E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46CDD9">
            <w:pPr>
              <w:rPr>
                <w:color w:val="000000" w:themeColor="text1"/>
                <w:sz w:val="18"/>
                <w:szCs w:val="18"/>
                <w14:textFill>
                  <w14:solidFill>
                    <w14:schemeClr w14:val="tx1"/>
                  </w14:solidFill>
                </w14:textFill>
              </w:rPr>
            </w:pPr>
          </w:p>
        </w:tc>
        <w:tc>
          <w:tcPr>
            <w:tcW w:w="1226" w:type="dxa"/>
            <w:vMerge w:val="continue"/>
          </w:tcPr>
          <w:p w14:paraId="6B53E6BB">
            <w:pPr>
              <w:jc w:val="center"/>
              <w:rPr>
                <w:color w:val="000000" w:themeColor="text1"/>
                <w:sz w:val="18"/>
                <w:szCs w:val="18"/>
                <w14:textFill>
                  <w14:solidFill>
                    <w14:schemeClr w14:val="tx1"/>
                  </w14:solidFill>
                </w14:textFill>
              </w:rPr>
            </w:pPr>
          </w:p>
        </w:tc>
        <w:tc>
          <w:tcPr>
            <w:tcW w:w="3516" w:type="dxa"/>
            <w:vAlign w:val="center"/>
          </w:tcPr>
          <w:p w14:paraId="0CC7792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B800304">
            <w:pPr>
              <w:jc w:val="center"/>
              <w:rPr>
                <w:color w:val="000000" w:themeColor="text1"/>
                <w:sz w:val="18"/>
                <w:szCs w:val="18"/>
                <w14:textFill>
                  <w14:solidFill>
                    <w14:schemeClr w14:val="tx1"/>
                  </w14:solidFill>
                </w14:textFill>
              </w:rPr>
            </w:pPr>
          </w:p>
        </w:tc>
        <w:tc>
          <w:tcPr>
            <w:tcW w:w="709" w:type="dxa"/>
            <w:vAlign w:val="center"/>
          </w:tcPr>
          <w:p w14:paraId="5900AA96">
            <w:pPr>
              <w:jc w:val="center"/>
              <w:rPr>
                <w:color w:val="000000" w:themeColor="text1"/>
                <w:sz w:val="18"/>
                <w:szCs w:val="18"/>
                <w14:textFill>
                  <w14:solidFill>
                    <w14:schemeClr w14:val="tx1"/>
                  </w14:solidFill>
                </w14:textFill>
              </w:rPr>
            </w:pPr>
          </w:p>
        </w:tc>
        <w:tc>
          <w:tcPr>
            <w:tcW w:w="709" w:type="dxa"/>
            <w:vAlign w:val="center"/>
          </w:tcPr>
          <w:p w14:paraId="099D192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6ADBC7A2">
            <w:pPr>
              <w:jc w:val="center"/>
              <w:rPr>
                <w:color w:val="000000" w:themeColor="text1"/>
                <w:sz w:val="18"/>
                <w:szCs w:val="18"/>
                <w14:textFill>
                  <w14:solidFill>
                    <w14:schemeClr w14:val="tx1"/>
                  </w14:solidFill>
                </w14:textFill>
              </w:rPr>
            </w:pPr>
          </w:p>
        </w:tc>
      </w:tr>
      <w:tr w14:paraId="0C6B05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13FB0B">
            <w:pPr>
              <w:rPr>
                <w:color w:val="000000" w:themeColor="text1"/>
                <w:sz w:val="18"/>
                <w:szCs w:val="18"/>
                <w14:textFill>
                  <w14:solidFill>
                    <w14:schemeClr w14:val="tx1"/>
                  </w14:solidFill>
                </w14:textFill>
              </w:rPr>
            </w:pPr>
          </w:p>
        </w:tc>
        <w:tc>
          <w:tcPr>
            <w:tcW w:w="1226" w:type="dxa"/>
            <w:vMerge w:val="continue"/>
          </w:tcPr>
          <w:p w14:paraId="169294FD">
            <w:pPr>
              <w:jc w:val="center"/>
              <w:rPr>
                <w:color w:val="000000" w:themeColor="text1"/>
                <w:sz w:val="18"/>
                <w:szCs w:val="18"/>
                <w14:textFill>
                  <w14:solidFill>
                    <w14:schemeClr w14:val="tx1"/>
                  </w14:solidFill>
                </w14:textFill>
              </w:rPr>
            </w:pPr>
          </w:p>
        </w:tc>
        <w:tc>
          <w:tcPr>
            <w:tcW w:w="3516" w:type="dxa"/>
            <w:vAlign w:val="center"/>
          </w:tcPr>
          <w:p w14:paraId="106A66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5CD91C9E">
            <w:pPr>
              <w:jc w:val="center"/>
              <w:rPr>
                <w:color w:val="000000" w:themeColor="text1"/>
                <w:sz w:val="18"/>
                <w:szCs w:val="18"/>
                <w14:textFill>
                  <w14:solidFill>
                    <w14:schemeClr w14:val="tx1"/>
                  </w14:solidFill>
                </w14:textFill>
              </w:rPr>
            </w:pPr>
          </w:p>
        </w:tc>
        <w:tc>
          <w:tcPr>
            <w:tcW w:w="709" w:type="dxa"/>
            <w:vAlign w:val="center"/>
          </w:tcPr>
          <w:p w14:paraId="102BBFD4">
            <w:pPr>
              <w:jc w:val="center"/>
              <w:rPr>
                <w:color w:val="000000" w:themeColor="text1"/>
                <w:sz w:val="18"/>
                <w:szCs w:val="18"/>
                <w14:textFill>
                  <w14:solidFill>
                    <w14:schemeClr w14:val="tx1"/>
                  </w14:solidFill>
                </w14:textFill>
              </w:rPr>
            </w:pPr>
          </w:p>
        </w:tc>
        <w:tc>
          <w:tcPr>
            <w:tcW w:w="709" w:type="dxa"/>
            <w:vAlign w:val="center"/>
          </w:tcPr>
          <w:p w14:paraId="796AE71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530CE67">
            <w:pPr>
              <w:jc w:val="center"/>
              <w:rPr>
                <w:color w:val="000000" w:themeColor="text1"/>
                <w:sz w:val="18"/>
                <w:szCs w:val="18"/>
                <w14:textFill>
                  <w14:solidFill>
                    <w14:schemeClr w14:val="tx1"/>
                  </w14:solidFill>
                </w14:textFill>
              </w:rPr>
            </w:pPr>
          </w:p>
        </w:tc>
      </w:tr>
    </w:tbl>
    <w:p w14:paraId="00CF645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F4A02A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2C02A7C">
      <w:pPr>
        <w:spacing w:line="440" w:lineRule="exact"/>
        <w:ind w:firstLine="480" w:firstLineChars="200"/>
        <w:rPr>
          <w:rFonts w:eastAsiaTheme="minorEastAsia"/>
          <w:bCs/>
          <w:sz w:val="24"/>
        </w:rPr>
      </w:pPr>
      <w:r>
        <w:rPr>
          <w:rFonts w:eastAsiaTheme="minorEastAsia"/>
          <w:bCs/>
          <w:sz w:val="24"/>
        </w:rPr>
        <w:t>1.</w:t>
      </w:r>
      <w:r>
        <w:rPr>
          <w:rFonts w:hint="eastAsia" w:eastAsiaTheme="minorEastAsia"/>
          <w:bCs/>
          <w:sz w:val="24"/>
        </w:rPr>
        <w:t xml:space="preserve"> 学位课为一级学科下所有专业方向的必修课程。必修环节为研究生培养过程中必须完成的培养活动。</w:t>
      </w:r>
    </w:p>
    <w:p w14:paraId="012AD59B">
      <w:pPr>
        <w:spacing w:line="440" w:lineRule="exact"/>
        <w:ind w:firstLine="480" w:firstLineChars="200"/>
        <w:rPr>
          <w:rFonts w:eastAsiaTheme="minorEastAsia"/>
          <w:bCs/>
          <w:sz w:val="24"/>
        </w:rPr>
      </w:pPr>
      <w:r>
        <w:rPr>
          <w:rFonts w:hint="eastAsia" w:eastAsiaTheme="minorEastAsia"/>
          <w:bCs/>
          <w:sz w:val="24"/>
        </w:rPr>
        <w:t>2</w:t>
      </w:r>
      <w:r>
        <w:rPr>
          <w:rFonts w:eastAsiaTheme="minorEastAsia"/>
          <w:bCs/>
          <w:sz w:val="24"/>
        </w:rPr>
        <w:t>. 非学位课中的公共通识课为</w:t>
      </w:r>
      <w:r>
        <w:rPr>
          <w:rFonts w:hint="eastAsia" w:eastAsiaTheme="minorEastAsia"/>
          <w:bCs/>
          <w:sz w:val="24"/>
        </w:rPr>
        <w:t>必选课程。</w:t>
      </w:r>
    </w:p>
    <w:p w14:paraId="730D42EA">
      <w:pPr>
        <w:spacing w:line="440" w:lineRule="exact"/>
        <w:ind w:firstLine="480" w:firstLineChars="200"/>
        <w:rPr>
          <w:rFonts w:eastAsiaTheme="minorEastAsia"/>
          <w:bCs/>
          <w:sz w:val="24"/>
        </w:rPr>
      </w:pPr>
      <w:r>
        <w:rPr>
          <w:rFonts w:hint="eastAsia" w:eastAsiaTheme="minorEastAsia"/>
          <w:bCs/>
          <w:sz w:val="24"/>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094764"/>
    </w:sdtPr>
    <w:sdtContent>
      <w:p w14:paraId="2A80EB5E">
        <w:pPr>
          <w:pStyle w:val="2"/>
          <w:jc w:val="center"/>
        </w:pPr>
        <w:r>
          <w:fldChar w:fldCharType="begin"/>
        </w:r>
        <w:r>
          <w:instrText xml:space="preserve">PAGE   \* MERGEFORMAT</w:instrText>
        </w:r>
        <w:r>
          <w:fldChar w:fldCharType="separate"/>
        </w:r>
        <w:r>
          <w:rPr>
            <w:lang w:val="zh-CN"/>
          </w:rPr>
          <w:t>5</w:t>
        </w:r>
        <w:r>
          <w:fldChar w:fldCharType="end"/>
        </w:r>
      </w:p>
    </w:sdtContent>
  </w:sdt>
  <w:p w14:paraId="418FE6B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BB8"/>
    <w:rsid w:val="00071877"/>
    <w:rsid w:val="000B4D89"/>
    <w:rsid w:val="0010351F"/>
    <w:rsid w:val="00115DF3"/>
    <w:rsid w:val="001809F6"/>
    <w:rsid w:val="001963A4"/>
    <w:rsid w:val="001D7194"/>
    <w:rsid w:val="00211A27"/>
    <w:rsid w:val="002526F6"/>
    <w:rsid w:val="00262D86"/>
    <w:rsid w:val="002779B8"/>
    <w:rsid w:val="00361CF5"/>
    <w:rsid w:val="00380D4C"/>
    <w:rsid w:val="00392BB8"/>
    <w:rsid w:val="00397FA6"/>
    <w:rsid w:val="00402C4E"/>
    <w:rsid w:val="00422AD1"/>
    <w:rsid w:val="00447A8D"/>
    <w:rsid w:val="00476169"/>
    <w:rsid w:val="004B61E0"/>
    <w:rsid w:val="0054317C"/>
    <w:rsid w:val="00551D0B"/>
    <w:rsid w:val="00580523"/>
    <w:rsid w:val="00583396"/>
    <w:rsid w:val="00676327"/>
    <w:rsid w:val="006E17EE"/>
    <w:rsid w:val="006E6BF9"/>
    <w:rsid w:val="006F7DB1"/>
    <w:rsid w:val="00765FBC"/>
    <w:rsid w:val="007D411F"/>
    <w:rsid w:val="008B49B7"/>
    <w:rsid w:val="008C09CC"/>
    <w:rsid w:val="008E6542"/>
    <w:rsid w:val="008E7CAD"/>
    <w:rsid w:val="008F12BD"/>
    <w:rsid w:val="009369D0"/>
    <w:rsid w:val="00975458"/>
    <w:rsid w:val="00997007"/>
    <w:rsid w:val="009E5B92"/>
    <w:rsid w:val="00A938E7"/>
    <w:rsid w:val="00AC07D1"/>
    <w:rsid w:val="00AD7876"/>
    <w:rsid w:val="00B336A3"/>
    <w:rsid w:val="00BB6AC7"/>
    <w:rsid w:val="00BE492D"/>
    <w:rsid w:val="00C16BE7"/>
    <w:rsid w:val="00C41F35"/>
    <w:rsid w:val="00C424CD"/>
    <w:rsid w:val="00C733EC"/>
    <w:rsid w:val="00D416F7"/>
    <w:rsid w:val="00D44955"/>
    <w:rsid w:val="00DB7992"/>
    <w:rsid w:val="00E073A7"/>
    <w:rsid w:val="00EE3291"/>
    <w:rsid w:val="00F07D91"/>
    <w:rsid w:val="00F30511"/>
    <w:rsid w:val="00F50D45"/>
    <w:rsid w:val="00FA578D"/>
    <w:rsid w:val="025153F8"/>
    <w:rsid w:val="026003DA"/>
    <w:rsid w:val="040A2CF3"/>
    <w:rsid w:val="085F37E6"/>
    <w:rsid w:val="0C140DB6"/>
    <w:rsid w:val="0E8004E8"/>
    <w:rsid w:val="15A80551"/>
    <w:rsid w:val="1F884DA0"/>
    <w:rsid w:val="2AF72431"/>
    <w:rsid w:val="2C0B1233"/>
    <w:rsid w:val="2C7B1B7F"/>
    <w:rsid w:val="3C593F81"/>
    <w:rsid w:val="407E705F"/>
    <w:rsid w:val="4AD14F9E"/>
    <w:rsid w:val="52630101"/>
    <w:rsid w:val="5DA84284"/>
    <w:rsid w:val="601B4AB2"/>
    <w:rsid w:val="66650F64"/>
    <w:rsid w:val="779E2F73"/>
    <w:rsid w:val="7C2A2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3307</Words>
  <Characters>3525</Characters>
  <Lines>27</Lines>
  <Paragraphs>7</Paragraphs>
  <TotalTime>1</TotalTime>
  <ScaleCrop>false</ScaleCrop>
  <LinksUpToDate>false</LinksUpToDate>
  <CharactersWithSpaces>3545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2025-04-30T07:29:00Z</dcterms:created>
  <dc:creator>zhao</dc:creator>
  <cp:lastModifiedBy>A宋宋</cp:lastModifiedBy>
  <dcterms:modified xsi:type="dcterms:W3CDTF">2025-06-16T08:14:39Z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eyJoZGlkIjoiNTRlMmI4MzVlYjZjZDdhYmNmOTUwMTcwODNhY2JlYzciLCJ1c2VySWQiOiIxMDI1OTcxODgyIn0=</vt:lpwstr>
  </property>
  <property fmtid="{D5CDD505-2E9C-101B-9397-08002B2CF9AE}" pid="3" name="KSOProductBuildVer">
    <vt:lpwstr>2052-12.1.0.21171</vt:lpwstr>
  </property>
  <property fmtid="{D5CDD505-2E9C-101B-9397-08002B2CF9AE}" pid="4" name="ICV">
    <vt:lpwstr>7D0294C2796B4083A45E79B705F71AB4_12</vt:lpwstr>
  </property>
</Properties>
</file>