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75D6A">
      <w:pPr>
        <w:ind w:left="321" w:leftChars="153" w:right="227"/>
        <w:jc w:val="center"/>
        <w:rPr>
          <w:rFonts w:eastAsia="黑体"/>
          <w:b/>
          <w:bCs/>
          <w:color w:val="auto"/>
          <w:sz w:val="36"/>
          <w:szCs w:val="36"/>
        </w:rPr>
      </w:pPr>
      <w:r>
        <w:rPr>
          <w:rFonts w:hint="eastAsia" w:eastAsia="黑体"/>
          <w:b/>
          <w:bCs/>
          <w:color w:val="auto"/>
          <w:sz w:val="36"/>
          <w:szCs w:val="36"/>
        </w:rPr>
        <w:t>社会学</w:t>
      </w:r>
      <w:r>
        <w:rPr>
          <w:rFonts w:eastAsia="黑体"/>
          <w:b/>
          <w:bCs/>
          <w:color w:val="auto"/>
          <w:sz w:val="36"/>
          <w:szCs w:val="36"/>
        </w:rPr>
        <w:t>专业学术学位硕士研究生培养方案</w:t>
      </w:r>
    </w:p>
    <w:p w14:paraId="4C420EDF">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rPr>
        <w:t>哲学与社会学学院</w:t>
      </w:r>
      <w:r>
        <w:rPr>
          <w:rFonts w:eastAsia="黑体"/>
          <w:b/>
          <w:bCs/>
          <w:color w:val="auto"/>
          <w:sz w:val="28"/>
          <w:szCs w:val="28"/>
        </w:rPr>
        <w:t>)</w:t>
      </w:r>
    </w:p>
    <w:p w14:paraId="0593F8F7">
      <w:pPr>
        <w:spacing w:line="440" w:lineRule="exact"/>
        <w:ind w:firstLine="560"/>
        <w:rPr>
          <w:rFonts w:eastAsia="黑体"/>
          <w:bCs/>
          <w:color w:val="auto"/>
          <w:sz w:val="28"/>
          <w:szCs w:val="28"/>
        </w:rPr>
      </w:pPr>
      <w:r>
        <w:rPr>
          <w:rFonts w:eastAsia="黑体"/>
          <w:bCs/>
          <w:color w:val="auto"/>
          <w:sz w:val="28"/>
          <w:szCs w:val="28"/>
        </w:rPr>
        <w:t>一、专业名称、代码</w:t>
      </w:r>
    </w:p>
    <w:p w14:paraId="6E123C0B">
      <w:pPr>
        <w:widowControl/>
        <w:spacing w:line="360" w:lineRule="auto"/>
        <w:ind w:firstLine="960" w:firstLineChars="400"/>
        <w:jc w:val="left"/>
        <w:rPr>
          <w:color w:val="auto"/>
          <w:kern w:val="0"/>
          <w:sz w:val="18"/>
          <w:szCs w:val="18"/>
        </w:rPr>
      </w:pPr>
      <w:r>
        <w:rPr>
          <w:color w:val="auto"/>
          <w:kern w:val="0"/>
          <w:sz w:val="24"/>
        </w:rPr>
        <w:t>专业名称：</w:t>
      </w:r>
      <w:r>
        <w:rPr>
          <w:rFonts w:hint="eastAsia"/>
          <w:color w:val="auto"/>
          <w:kern w:val="0"/>
          <w:sz w:val="24"/>
        </w:rPr>
        <w:t>社会学</w:t>
      </w:r>
    </w:p>
    <w:p w14:paraId="286073C5">
      <w:pPr>
        <w:widowControl/>
        <w:spacing w:line="360" w:lineRule="auto"/>
        <w:ind w:firstLine="960" w:firstLineChars="400"/>
        <w:jc w:val="left"/>
        <w:rPr>
          <w:rFonts w:hint="eastAsia"/>
          <w:color w:val="auto"/>
          <w:kern w:val="0"/>
          <w:sz w:val="24"/>
        </w:rPr>
      </w:pPr>
      <w:r>
        <w:rPr>
          <w:color w:val="auto"/>
          <w:kern w:val="0"/>
          <w:sz w:val="24"/>
        </w:rPr>
        <w:t>专业代码：</w:t>
      </w:r>
      <w:r>
        <w:rPr>
          <w:rFonts w:hint="eastAsia"/>
          <w:color w:val="auto"/>
          <w:kern w:val="0"/>
          <w:sz w:val="24"/>
        </w:rPr>
        <w:t>0303</w:t>
      </w:r>
    </w:p>
    <w:p w14:paraId="623C481D">
      <w:pPr>
        <w:spacing w:line="440" w:lineRule="exact"/>
        <w:ind w:firstLine="560" w:firstLineChars="200"/>
        <w:rPr>
          <w:rFonts w:eastAsia="黑体"/>
          <w:bCs/>
          <w:i/>
          <w:color w:val="auto"/>
          <w:sz w:val="28"/>
          <w:szCs w:val="28"/>
        </w:rPr>
      </w:pPr>
      <w:r>
        <w:rPr>
          <w:rFonts w:eastAsia="黑体"/>
          <w:bCs/>
          <w:color w:val="auto"/>
          <w:sz w:val="28"/>
          <w:szCs w:val="28"/>
        </w:rPr>
        <w:t>二、专业简介</w:t>
      </w:r>
    </w:p>
    <w:p w14:paraId="76456D7C">
      <w:pPr>
        <w:widowControl/>
        <w:spacing w:line="360" w:lineRule="auto"/>
        <w:ind w:firstLine="480" w:firstLineChars="200"/>
        <w:jc w:val="left"/>
        <w:rPr>
          <w:color w:val="auto"/>
          <w:kern w:val="0"/>
          <w:sz w:val="24"/>
        </w:rPr>
      </w:pPr>
      <w:r>
        <w:rPr>
          <w:rFonts w:hint="eastAsia"/>
          <w:color w:val="auto"/>
          <w:kern w:val="0"/>
          <w:sz w:val="24"/>
        </w:rPr>
        <w:t>河北大学哲学与社会学学院社会学学科肇端于20世纪80年代，由哲学系于1985年所创办的社会学教研室发展而来。1987年哲学系与美国艾奥瓦州立大学联合创办“社会学师资班”，1992年招收第一届社会学专业专科学生，2001</w:t>
      </w:r>
      <w:r>
        <w:rPr>
          <w:rFonts w:hint="eastAsia"/>
          <w:color w:val="auto"/>
          <w:kern w:val="0"/>
          <w:sz w:val="24"/>
          <w:lang w:eastAsia="zh-CN"/>
        </w:rPr>
        <w:t>年创</w:t>
      </w:r>
      <w:r>
        <w:rPr>
          <w:rFonts w:hint="eastAsia"/>
          <w:color w:val="auto"/>
          <w:kern w:val="0"/>
          <w:sz w:val="24"/>
        </w:rPr>
        <w:t>办社会工作专业本科，是国内创办较早的社会学专业。2007年获批社会学二级学科硕士学位授权点；2018年获批社会学一级学科硕士学位授权点。本一级学科现下设社会学、人口学、民俗学和社会工作4个二级学科硕士点，建有河北省唯一一个民政部命名“国家专业社会工作人才培训基地”。专业研究内容主要围绕人口老龄化、人口社会学、社会工作、民俗学四个方向展开，在互助养老、人口发展与生育政策、中国社会工作历史、社会工作参与基层治理、乡村振兴以及地方民俗文化研究等领域产出了一系列高水平研究成果，持续占据省内本学科龙头地位，在国内享有较好美誉度和广泛影响力。本专业积极参与河北乃至京津冀区域经济社会重大战略，承担民政部、卫健委、河北省民政厅等政府机关和企事业单位社会调查及数据分析工作，为相关部门在区域人口老龄化、人口发展政策、基层社会治理、城乡社会建设、地方文化发展等方面提供决策咨询与智库服务。</w:t>
      </w:r>
    </w:p>
    <w:p w14:paraId="3B2950FF">
      <w:pPr>
        <w:spacing w:line="440" w:lineRule="exact"/>
        <w:ind w:firstLine="560" w:firstLineChars="200"/>
        <w:rPr>
          <w:rFonts w:eastAsia="黑体"/>
          <w:bCs/>
          <w:color w:val="auto"/>
          <w:sz w:val="28"/>
          <w:szCs w:val="28"/>
        </w:rPr>
      </w:pPr>
      <w:r>
        <w:rPr>
          <w:rFonts w:eastAsia="黑体"/>
          <w:bCs/>
          <w:color w:val="auto"/>
          <w:sz w:val="28"/>
          <w:szCs w:val="28"/>
        </w:rPr>
        <w:t>三、研究方向</w:t>
      </w:r>
    </w:p>
    <w:p w14:paraId="6F138C50">
      <w:pPr>
        <w:widowControl/>
        <w:spacing w:line="360" w:lineRule="auto"/>
        <w:ind w:firstLine="480" w:firstLineChars="200"/>
        <w:jc w:val="left"/>
        <w:rPr>
          <w:color w:val="auto"/>
          <w:kern w:val="0"/>
          <w:sz w:val="24"/>
        </w:rPr>
      </w:pPr>
      <w:r>
        <w:rPr>
          <w:rFonts w:hint="eastAsia"/>
          <w:color w:val="auto"/>
          <w:kern w:val="0"/>
          <w:sz w:val="24"/>
        </w:rPr>
        <w:t>1.老年社会学</w:t>
      </w:r>
    </w:p>
    <w:p w14:paraId="6BAF7C8A">
      <w:pPr>
        <w:widowControl/>
        <w:spacing w:line="360" w:lineRule="auto"/>
        <w:ind w:firstLine="480" w:firstLineChars="200"/>
        <w:jc w:val="left"/>
        <w:rPr>
          <w:color w:val="auto"/>
          <w:kern w:val="0"/>
          <w:sz w:val="24"/>
        </w:rPr>
      </w:pPr>
      <w:r>
        <w:rPr>
          <w:rFonts w:hint="eastAsia"/>
          <w:color w:val="auto"/>
          <w:kern w:val="0"/>
          <w:sz w:val="24"/>
        </w:rPr>
        <w:t>主要研究领域：人口老龄化与农村养老问题。特色与优势：一是对我国家庭代际关系模式进行了系统分析，修正了长期以来形成的“反哺模式”观点，提出了“互助模式”的新观点，不仅更真实地反映了我国目前代际关系的实质，而且在此基础上对西方“接力模式”代际关系进行了重新界定；二是深入农村进行空巢老人养老问题探索，在平山和阜平建成了多个长期的老年社会学实践教学基地，取得了较为丰硕的教学和科研成果。</w:t>
      </w:r>
    </w:p>
    <w:p w14:paraId="074ACBFC">
      <w:pPr>
        <w:widowControl/>
        <w:spacing w:line="360" w:lineRule="auto"/>
        <w:ind w:firstLine="480" w:firstLineChars="200"/>
        <w:jc w:val="left"/>
        <w:rPr>
          <w:color w:val="auto"/>
          <w:kern w:val="0"/>
          <w:sz w:val="24"/>
        </w:rPr>
      </w:pPr>
      <w:r>
        <w:rPr>
          <w:rFonts w:hint="eastAsia"/>
          <w:color w:val="auto"/>
          <w:kern w:val="0"/>
          <w:sz w:val="24"/>
        </w:rPr>
        <w:t>2.人口社会学</w:t>
      </w:r>
    </w:p>
    <w:p w14:paraId="5748FC31">
      <w:pPr>
        <w:widowControl/>
        <w:spacing w:line="360" w:lineRule="auto"/>
        <w:ind w:firstLine="480" w:firstLineChars="200"/>
        <w:jc w:val="left"/>
        <w:rPr>
          <w:color w:val="auto"/>
          <w:kern w:val="0"/>
          <w:sz w:val="24"/>
        </w:rPr>
      </w:pPr>
      <w:r>
        <w:rPr>
          <w:rFonts w:hint="eastAsia"/>
          <w:color w:val="auto"/>
          <w:kern w:val="0"/>
          <w:sz w:val="24"/>
        </w:rPr>
        <w:t>主要研究领域：人口发展战略与生育政策、家庭养育成本、青年婚恋择偶。特色与优势：一是在人口发展战略与婚姻家庭研究领域获批国家社科基金重大、重点项目，组建科研团队针对生育政策调整、家庭养育成本、低生育率等问题开展研究与分析，形成了一系列具有较大学术影响的研究成果，二是积极对接、联系国家卫健委、中国人口与发展研究中心、中国计生协以及河北省卫健委、河北省计生协、保定市计生协等政府有关部门或组织机构，承担相关课题研究项目，组织开展并深入开发和利用相关婚育状况调查数据，形成一系列决策咨询报告和调研成果，为政府及相关部门提供决策参考。</w:t>
      </w:r>
    </w:p>
    <w:p w14:paraId="5A288BCF">
      <w:pPr>
        <w:widowControl/>
        <w:spacing w:line="360" w:lineRule="auto"/>
        <w:ind w:firstLine="480" w:firstLineChars="200"/>
        <w:jc w:val="left"/>
        <w:rPr>
          <w:color w:val="auto"/>
          <w:kern w:val="0"/>
          <w:sz w:val="24"/>
        </w:rPr>
      </w:pPr>
      <w:r>
        <w:rPr>
          <w:rFonts w:hint="eastAsia"/>
          <w:color w:val="auto"/>
          <w:kern w:val="0"/>
          <w:sz w:val="24"/>
        </w:rPr>
        <w:t>3.社会工作</w:t>
      </w:r>
    </w:p>
    <w:p w14:paraId="52E3BC53">
      <w:pPr>
        <w:widowControl/>
        <w:spacing w:line="360" w:lineRule="auto"/>
        <w:ind w:firstLine="480" w:firstLineChars="200"/>
        <w:jc w:val="left"/>
        <w:rPr>
          <w:color w:val="auto"/>
          <w:kern w:val="0"/>
          <w:sz w:val="24"/>
        </w:rPr>
      </w:pPr>
      <w:r>
        <w:rPr>
          <w:rFonts w:hint="eastAsia"/>
          <w:color w:val="auto"/>
          <w:kern w:val="0"/>
          <w:sz w:val="24"/>
        </w:rPr>
        <w:t>主要研究领域：社会工作史、社会工作参与社会治理。特色与优势：一是在社会工作史领域形成了一批有影响力的研究成果，组建中国社会工作教育协会社会工作历史专业委员会并成为会长单位，获批教育部哲学社会科学重大课题攻关项目，主持编撰中国社会工作通史；二是在社会工作参与社会治理方面积极致力于服务河北省（包括雄安新区）的社会工作顶层设计、精准扶贫和社区治理。三是拥有全国社会工作专业人才培训基地和以河北民政系统为依托的实践教学研究基地，在服务地方社会方面成效显著。</w:t>
      </w:r>
    </w:p>
    <w:p w14:paraId="346FDB59">
      <w:pPr>
        <w:widowControl/>
        <w:spacing w:line="360" w:lineRule="auto"/>
        <w:ind w:firstLine="480" w:firstLineChars="200"/>
        <w:jc w:val="left"/>
        <w:rPr>
          <w:color w:val="auto"/>
          <w:kern w:val="0"/>
          <w:sz w:val="24"/>
        </w:rPr>
      </w:pPr>
      <w:r>
        <w:rPr>
          <w:rFonts w:hint="eastAsia"/>
          <w:color w:val="auto"/>
          <w:kern w:val="0"/>
          <w:sz w:val="24"/>
        </w:rPr>
        <w:t>4.民俗学</w:t>
      </w:r>
    </w:p>
    <w:p w14:paraId="3786889A">
      <w:pPr>
        <w:widowControl/>
        <w:spacing w:line="360" w:lineRule="auto"/>
        <w:ind w:firstLine="480" w:firstLineChars="200"/>
        <w:jc w:val="left"/>
        <w:rPr>
          <w:color w:val="auto"/>
          <w:kern w:val="0"/>
          <w:sz w:val="24"/>
        </w:rPr>
      </w:pPr>
      <w:r>
        <w:rPr>
          <w:rFonts w:hint="eastAsia"/>
          <w:color w:val="auto"/>
          <w:kern w:val="0"/>
          <w:sz w:val="24"/>
        </w:rPr>
        <w:t>主要研究领域：民俗学与生育文化、生育制度关系。特色与优势：一是从民俗文化对生育文化及生育行为具有显著影响的逻辑出发，对民俗与生育文化的关系进行了系统论证；二是在宗教与伦理关系及其对社会生活和经济发展的影响方面做出深入探讨；三是从社会学、民族学和人类学交叉角度，重点对少数民族社会与文化、民间习俗与社会生活的关系进行复合型调查研究，对妈祖信仰文化及其保护与开发的理论和现实问题进行调查研究，对系统发掘本土和本地文化资源，助力文旅事业发展做出贡献。</w:t>
      </w:r>
    </w:p>
    <w:p w14:paraId="1362F3A1">
      <w:pPr>
        <w:spacing w:line="440" w:lineRule="exact"/>
        <w:ind w:firstLine="560" w:firstLineChars="200"/>
        <w:rPr>
          <w:rFonts w:eastAsia="黑体"/>
          <w:bCs/>
          <w:color w:val="auto"/>
          <w:sz w:val="28"/>
          <w:szCs w:val="28"/>
        </w:rPr>
      </w:pPr>
      <w:r>
        <w:rPr>
          <w:rFonts w:eastAsia="黑体"/>
          <w:bCs/>
          <w:color w:val="auto"/>
          <w:sz w:val="28"/>
          <w:szCs w:val="28"/>
        </w:rPr>
        <w:t>四、学制及学习年限</w:t>
      </w:r>
    </w:p>
    <w:p w14:paraId="50015D45">
      <w:pPr>
        <w:spacing w:line="440" w:lineRule="exact"/>
        <w:ind w:firstLine="480" w:firstLineChars="200"/>
        <w:rPr>
          <w:rFonts w:eastAsiaTheme="minorEastAsia"/>
          <w:i/>
          <w:color w:val="auto"/>
          <w:sz w:val="24"/>
        </w:rPr>
      </w:pPr>
      <w:r>
        <w:rPr>
          <w:rFonts w:eastAsiaTheme="minorEastAsia"/>
          <w:color w:val="auto"/>
          <w:sz w:val="24"/>
        </w:rPr>
        <w:t>本专业学制为3年，在校最长学习年限（含休学）不超过6年。</w:t>
      </w:r>
    </w:p>
    <w:p w14:paraId="1A97F5AB">
      <w:pPr>
        <w:spacing w:line="440" w:lineRule="exact"/>
        <w:ind w:firstLine="560" w:firstLineChars="200"/>
        <w:rPr>
          <w:rFonts w:eastAsia="黑体"/>
          <w:bCs/>
          <w:color w:val="auto"/>
          <w:sz w:val="28"/>
          <w:szCs w:val="28"/>
        </w:rPr>
      </w:pPr>
      <w:r>
        <w:rPr>
          <w:rFonts w:eastAsia="黑体"/>
          <w:bCs/>
          <w:color w:val="auto"/>
          <w:sz w:val="28"/>
          <w:szCs w:val="28"/>
        </w:rPr>
        <w:t>五、培养目标</w:t>
      </w:r>
    </w:p>
    <w:p w14:paraId="0396D9FA">
      <w:pPr>
        <w:widowControl/>
        <w:spacing w:line="360" w:lineRule="auto"/>
        <w:ind w:firstLine="480" w:firstLineChars="200"/>
        <w:jc w:val="left"/>
        <w:rPr>
          <w:color w:val="auto"/>
          <w:kern w:val="0"/>
          <w:sz w:val="24"/>
        </w:rPr>
      </w:pPr>
      <w:r>
        <w:rPr>
          <w:rFonts w:hint="eastAsia"/>
          <w:color w:val="auto"/>
          <w:kern w:val="0"/>
          <w:sz w:val="24"/>
        </w:rPr>
        <w:t>1.树立正确的中国特色社会主义核心价值观，具有坚定的理想信念，高尚的道德情操，优良的学术作风，高度的社会责任感。</w:t>
      </w:r>
    </w:p>
    <w:p w14:paraId="2BC919CE">
      <w:pPr>
        <w:widowControl/>
        <w:spacing w:line="360" w:lineRule="auto"/>
        <w:ind w:firstLine="480" w:firstLineChars="200"/>
        <w:jc w:val="left"/>
        <w:rPr>
          <w:rFonts w:hint="eastAsia"/>
          <w:color w:val="auto"/>
          <w:kern w:val="0"/>
          <w:sz w:val="24"/>
        </w:rPr>
      </w:pPr>
      <w:r>
        <w:rPr>
          <w:rFonts w:hint="eastAsia"/>
          <w:color w:val="auto"/>
          <w:kern w:val="0"/>
          <w:sz w:val="24"/>
        </w:rPr>
        <w:t>2.</w:t>
      </w:r>
      <w:bookmarkStart w:id="0" w:name="OLE_LINK3"/>
      <w:bookmarkStart w:id="1" w:name="OLE_LINK4"/>
      <w:r>
        <w:rPr>
          <w:rFonts w:hint="eastAsia"/>
          <w:color w:val="auto"/>
          <w:kern w:val="0"/>
          <w:sz w:val="24"/>
        </w:rPr>
        <w:t>具有良好的综合素质</w:t>
      </w:r>
      <w:r>
        <w:rPr>
          <w:rFonts w:hint="eastAsia"/>
          <w:color w:val="auto"/>
          <w:kern w:val="0"/>
          <w:sz w:val="24"/>
          <w:lang w:val="en-US" w:eastAsia="zh-CN"/>
        </w:rPr>
        <w:t>与</w:t>
      </w:r>
      <w:r>
        <w:rPr>
          <w:rFonts w:hint="eastAsia"/>
          <w:color w:val="auto"/>
          <w:kern w:val="0"/>
          <w:sz w:val="24"/>
        </w:rPr>
        <w:t>扎实的专业基础，熟练掌握社会学及相关学科的基本理论和方法，熟悉本学科的前沿动态和发展趋势，掌握社会学的基本研究方法和社会调查技术，能独立完成一些与本专业的相关社会调查和课题研究任务，有较好的科学研究和学术论文写作能力。</w:t>
      </w:r>
      <w:bookmarkEnd w:id="0"/>
      <w:bookmarkEnd w:id="1"/>
      <w:r>
        <w:rPr>
          <w:rFonts w:hint="eastAsia"/>
          <w:color w:val="auto"/>
          <w:kern w:val="0"/>
          <w:sz w:val="24"/>
        </w:rPr>
        <w:t>能够胜任教育机构、科研机构、党政机关、公司企业、事业单位和社会团体的科学研究、人力资源管理、行政管理等岗位工作。</w:t>
      </w:r>
    </w:p>
    <w:p w14:paraId="1CF99324">
      <w:pPr>
        <w:widowControl/>
        <w:spacing w:line="360" w:lineRule="auto"/>
        <w:ind w:firstLine="480" w:firstLineChars="200"/>
        <w:jc w:val="left"/>
        <w:rPr>
          <w:rFonts w:hint="eastAsia"/>
          <w:color w:val="auto"/>
          <w:kern w:val="0"/>
          <w:sz w:val="24"/>
        </w:rPr>
      </w:pPr>
      <w:r>
        <w:rPr>
          <w:rFonts w:hint="eastAsia"/>
          <w:color w:val="auto"/>
          <w:kern w:val="0"/>
          <w:sz w:val="24"/>
        </w:rPr>
        <w:t>3.至少掌握一门外国语，能熟练阅读本专业的外文资料，具有撰写学术论文和进行国际学术交流的能力。</w:t>
      </w:r>
    </w:p>
    <w:p w14:paraId="5F58B11C">
      <w:pPr>
        <w:widowControl/>
        <w:spacing w:line="360" w:lineRule="auto"/>
        <w:ind w:firstLine="480" w:firstLineChars="200"/>
        <w:jc w:val="left"/>
        <w:rPr>
          <w:color w:val="222222"/>
          <w:kern w:val="0"/>
          <w:sz w:val="24"/>
        </w:rPr>
      </w:pPr>
      <w:r>
        <w:rPr>
          <w:rFonts w:hint="eastAsia"/>
          <w:color w:val="222222"/>
          <w:kern w:val="0"/>
          <w:sz w:val="24"/>
        </w:rPr>
        <w:t>4.具有良好的团队意识和团队合作精神。</w:t>
      </w:r>
    </w:p>
    <w:p w14:paraId="5F73DEA9">
      <w:pPr>
        <w:widowControl/>
        <w:spacing w:line="360" w:lineRule="auto"/>
        <w:ind w:firstLine="480" w:firstLineChars="200"/>
        <w:jc w:val="left"/>
        <w:rPr>
          <w:color w:val="222222"/>
          <w:kern w:val="0"/>
          <w:sz w:val="24"/>
        </w:rPr>
      </w:pPr>
      <w:r>
        <w:rPr>
          <w:rFonts w:hint="eastAsia"/>
          <w:color w:val="auto"/>
          <w:kern w:val="0"/>
          <w:sz w:val="24"/>
          <w:lang w:val="en-US" w:eastAsia="zh-CN"/>
        </w:rPr>
        <w:t>5.</w:t>
      </w:r>
      <w:r>
        <w:rPr>
          <w:rFonts w:eastAsiaTheme="minorEastAsia"/>
          <w:color w:val="000000" w:themeColor="text1"/>
          <w:sz w:val="24"/>
          <w14:textFill>
            <w14:solidFill>
              <w14:schemeClr w14:val="tx1"/>
            </w14:solidFill>
          </w14:textFill>
        </w:rPr>
        <w:t>具有健康的身体和良好的心理素质。</w:t>
      </w:r>
      <w:r>
        <w:rPr>
          <w:rFonts w:hint="eastAsia"/>
          <w:color w:val="222222"/>
          <w:kern w:val="0"/>
          <w:sz w:val="24"/>
        </w:rPr>
        <w:t>6.培养德智体美劳全面发展的社会主义事业接班人。</w:t>
      </w:r>
    </w:p>
    <w:p w14:paraId="64001AF5">
      <w:pPr>
        <w:spacing w:line="440" w:lineRule="exact"/>
        <w:ind w:firstLine="560" w:firstLineChars="200"/>
        <w:rPr>
          <w:rFonts w:eastAsia="黑体"/>
          <w:bCs/>
          <w:color w:val="auto"/>
          <w:sz w:val="28"/>
          <w:szCs w:val="28"/>
        </w:rPr>
      </w:pPr>
      <w:r>
        <w:rPr>
          <w:rFonts w:eastAsia="黑体"/>
          <w:bCs/>
          <w:color w:val="auto"/>
          <w:sz w:val="28"/>
          <w:szCs w:val="28"/>
        </w:rPr>
        <w:t>六、培养方式</w:t>
      </w:r>
    </w:p>
    <w:p w14:paraId="7B6470FC">
      <w:pPr>
        <w:spacing w:line="440" w:lineRule="exact"/>
        <w:ind w:firstLine="480" w:firstLineChars="200"/>
        <w:rPr>
          <w:rFonts w:hint="eastAsia"/>
          <w:color w:val="auto"/>
          <w:kern w:val="0"/>
          <w:sz w:val="24"/>
        </w:rPr>
      </w:pPr>
      <w:r>
        <w:rPr>
          <w:rFonts w:hint="eastAsia"/>
          <w:color w:val="auto"/>
          <w:kern w:val="0"/>
          <w:sz w:val="24"/>
        </w:rPr>
        <w:t>本专业采取全日制培养方式。在专业人才培养方面注重国家和行业人才需求导向，发挥学科特色优势，将理论素养培育与研究方法和技术训练紧密结合，注重学生社会问题分析、社会政策研究以及创新创业等多重复合能力培养。</w:t>
      </w:r>
    </w:p>
    <w:p w14:paraId="75DDD7AB">
      <w:pPr>
        <w:spacing w:line="440" w:lineRule="exact"/>
        <w:ind w:firstLine="560" w:firstLineChars="200"/>
        <w:rPr>
          <w:rFonts w:eastAsia="黑体"/>
          <w:bCs/>
          <w:color w:val="auto"/>
          <w:sz w:val="28"/>
          <w:szCs w:val="28"/>
        </w:rPr>
      </w:pPr>
      <w:r>
        <w:rPr>
          <w:rFonts w:eastAsia="黑体"/>
          <w:bCs/>
          <w:color w:val="auto"/>
          <w:sz w:val="28"/>
          <w:szCs w:val="28"/>
        </w:rPr>
        <w:t>七、中期筛选</w:t>
      </w:r>
    </w:p>
    <w:p w14:paraId="0579AE84">
      <w:pPr>
        <w:widowControl/>
        <w:spacing w:line="360" w:lineRule="auto"/>
        <w:ind w:firstLine="480" w:firstLineChars="200"/>
        <w:jc w:val="left"/>
        <w:rPr>
          <w:color w:val="auto"/>
          <w:kern w:val="0"/>
          <w:sz w:val="24"/>
        </w:rPr>
      </w:pPr>
      <w:bookmarkStart w:id="2" w:name="_Toc59002625"/>
      <w:r>
        <w:rPr>
          <w:rFonts w:hint="eastAsia"/>
          <w:color w:val="auto"/>
          <w:kern w:val="0"/>
          <w:sz w:val="24"/>
        </w:rPr>
        <w:t>在完成培养方案规定的课程学习、考核成绩合格、获得规定的学分后，</w:t>
      </w:r>
      <w:bookmarkEnd w:id="2"/>
      <w:r>
        <w:rPr>
          <w:rFonts w:hint="eastAsia"/>
          <w:color w:val="auto"/>
          <w:kern w:val="0"/>
          <w:sz w:val="24"/>
        </w:rPr>
        <w:t>按照《河北大学研究生中期筛选管理办法》（校政字〔2021〕15号）的相关规定，组织开展中期筛选工作。</w:t>
      </w:r>
    </w:p>
    <w:p w14:paraId="1B4C38CE">
      <w:pPr>
        <w:spacing w:line="360" w:lineRule="auto"/>
        <w:ind w:firstLine="560" w:firstLineChars="200"/>
        <w:rPr>
          <w:rFonts w:eastAsia="黑体"/>
          <w:bCs/>
          <w:color w:val="auto"/>
          <w:sz w:val="28"/>
          <w:szCs w:val="28"/>
        </w:rPr>
      </w:pPr>
      <w:r>
        <w:rPr>
          <w:rFonts w:hint="eastAsia" w:eastAsia="黑体"/>
          <w:bCs/>
          <w:color w:val="auto"/>
          <w:sz w:val="28"/>
          <w:szCs w:val="28"/>
        </w:rPr>
        <w:t>八</w:t>
      </w:r>
      <w:r>
        <w:rPr>
          <w:rFonts w:eastAsia="黑体"/>
          <w:bCs/>
          <w:color w:val="auto"/>
          <w:sz w:val="28"/>
          <w:szCs w:val="28"/>
        </w:rPr>
        <w:t>、学位（毕业）论文</w:t>
      </w:r>
    </w:p>
    <w:p w14:paraId="52FFC677">
      <w:pPr>
        <w:widowControl/>
        <w:spacing w:line="360" w:lineRule="auto"/>
        <w:ind w:firstLine="480" w:firstLineChars="200"/>
        <w:jc w:val="left"/>
        <w:rPr>
          <w:color w:val="auto"/>
          <w:kern w:val="0"/>
          <w:sz w:val="24"/>
        </w:rPr>
      </w:pPr>
      <w:r>
        <w:rPr>
          <w:rFonts w:hint="eastAsia"/>
          <w:color w:val="auto"/>
          <w:kern w:val="0"/>
          <w:sz w:val="24"/>
        </w:rPr>
        <w:t>1.总体要求：按照《河北大学关于开展2025版研究生培养方案修订工作的指导意见》（校政字〔2025〕9号）规定，硕士研究生论文开题与答辩时间间隔原则上不少于12个月。学位（毕业）论文应当表明作者较好地掌握了本学科的基础理论、专门知识和基本技能，有独立从事学术研究工作的能力并取得一定水平的创新性科研成果，不得抄袭和剽窃他人成果。</w:t>
      </w:r>
    </w:p>
    <w:p w14:paraId="5CE8666B">
      <w:pPr>
        <w:widowControl/>
        <w:spacing w:line="360" w:lineRule="auto"/>
        <w:ind w:firstLine="480" w:firstLineChars="200"/>
        <w:jc w:val="left"/>
        <w:rPr>
          <w:color w:val="auto"/>
          <w:kern w:val="0"/>
          <w:sz w:val="24"/>
        </w:rPr>
      </w:pPr>
      <w:r>
        <w:rPr>
          <w:rFonts w:hint="eastAsia"/>
          <w:color w:val="auto"/>
          <w:kern w:val="0"/>
          <w:sz w:val="24"/>
        </w:rPr>
        <w:t>2.开题：开题是研究生培养过程中开展学位（毕业）论文工作的首要环节，选题应符合本专业要求，体现学科发展前沿，服务于国家和区域经济社会发展需要；开题报告撰写要求研究生充分阅读国内外相关文献，内容应包含文献综述、论文选题依据、研究方案、预期目标与成果、工作计划等关键问题。在入学后第3学期完成开题。开题由3-5名具有高级专业技术职务人员参加，以学术报告的方式进行。</w:t>
      </w:r>
    </w:p>
    <w:p w14:paraId="502A6739">
      <w:pPr>
        <w:widowControl/>
        <w:spacing w:line="360" w:lineRule="auto"/>
        <w:ind w:firstLine="480" w:firstLineChars="200"/>
        <w:jc w:val="left"/>
        <w:rPr>
          <w:color w:val="auto"/>
          <w:kern w:val="0"/>
          <w:sz w:val="24"/>
        </w:rPr>
      </w:pPr>
      <w:r>
        <w:rPr>
          <w:rFonts w:hint="eastAsia"/>
          <w:color w:val="auto"/>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58A73635">
      <w:pPr>
        <w:widowControl/>
        <w:spacing w:line="360" w:lineRule="auto"/>
        <w:ind w:firstLine="480" w:firstLineChars="200"/>
        <w:jc w:val="left"/>
        <w:rPr>
          <w:color w:val="auto"/>
          <w:kern w:val="0"/>
          <w:sz w:val="24"/>
        </w:rPr>
      </w:pPr>
      <w:r>
        <w:rPr>
          <w:rFonts w:hint="eastAsia"/>
          <w:color w:val="auto"/>
          <w:kern w:val="0"/>
          <w:sz w:val="24"/>
        </w:rPr>
        <w:t>4.学位申请：达到学位授予条件的申请人，经导师同意后，应于答辩前3个月，向所属学位评定分委员会提出学位申请，提交学位申请材料。</w:t>
      </w:r>
    </w:p>
    <w:p w14:paraId="3E335916">
      <w:pPr>
        <w:widowControl/>
        <w:spacing w:line="360" w:lineRule="auto"/>
        <w:ind w:firstLine="480" w:firstLineChars="200"/>
        <w:jc w:val="left"/>
        <w:rPr>
          <w:color w:val="auto"/>
          <w:kern w:val="0"/>
          <w:sz w:val="24"/>
        </w:rPr>
      </w:pPr>
      <w:r>
        <w:rPr>
          <w:rFonts w:hint="eastAsia"/>
          <w:color w:val="auto"/>
          <w:kern w:val="0"/>
          <w:sz w:val="24"/>
        </w:rPr>
        <w:t>5.预答辩：学位申请人须进行学位论文预答辩。预答辩通过者，方可进入学位论文评阅、学位论文答辩等环节。学位（毕业）论文预答辩在正式答辩前3个月进行。</w:t>
      </w:r>
    </w:p>
    <w:p w14:paraId="2918F90A">
      <w:pPr>
        <w:widowControl/>
        <w:spacing w:line="360" w:lineRule="auto"/>
        <w:ind w:firstLine="480" w:firstLineChars="200"/>
        <w:jc w:val="left"/>
        <w:rPr>
          <w:color w:val="auto"/>
          <w:kern w:val="0"/>
          <w:sz w:val="24"/>
        </w:rPr>
      </w:pPr>
      <w:r>
        <w:rPr>
          <w:rFonts w:hint="eastAsia"/>
          <w:color w:val="auto"/>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1F59E12E">
      <w:pPr>
        <w:widowControl/>
        <w:spacing w:line="360" w:lineRule="auto"/>
        <w:ind w:firstLine="480" w:firstLineChars="200"/>
        <w:jc w:val="left"/>
        <w:rPr>
          <w:color w:val="auto"/>
          <w:kern w:val="0"/>
          <w:sz w:val="24"/>
        </w:rPr>
      </w:pPr>
      <w:r>
        <w:rPr>
          <w:rFonts w:hint="eastAsia"/>
          <w:color w:val="auto"/>
          <w:kern w:val="0"/>
          <w:sz w:val="24"/>
        </w:rPr>
        <w:t>7.答辩：学位（毕业）论文答辩按照《河北大学博士、硕士学位授予工作实施细则》（校政字〔2025〕7号）执行。</w:t>
      </w:r>
    </w:p>
    <w:p w14:paraId="63617B88">
      <w:pPr>
        <w:spacing w:line="440" w:lineRule="exact"/>
        <w:ind w:firstLine="560" w:firstLineChars="200"/>
        <w:rPr>
          <w:rFonts w:eastAsia="黑体"/>
          <w:bCs/>
          <w:color w:val="auto"/>
          <w:sz w:val="28"/>
          <w:szCs w:val="28"/>
        </w:rPr>
      </w:pPr>
      <w:r>
        <w:rPr>
          <w:rFonts w:hint="eastAsia" w:eastAsia="黑体"/>
          <w:bCs/>
          <w:color w:val="auto"/>
          <w:sz w:val="28"/>
          <w:szCs w:val="28"/>
        </w:rPr>
        <w:t>九</w:t>
      </w:r>
      <w:r>
        <w:rPr>
          <w:rFonts w:eastAsia="黑体"/>
          <w:bCs/>
          <w:color w:val="auto"/>
          <w:sz w:val="28"/>
          <w:szCs w:val="28"/>
        </w:rPr>
        <w:t>、毕业条件</w:t>
      </w:r>
    </w:p>
    <w:p w14:paraId="6E89B994">
      <w:pPr>
        <w:widowControl/>
        <w:spacing w:line="360" w:lineRule="auto"/>
        <w:ind w:firstLine="480" w:firstLineChars="200"/>
        <w:jc w:val="left"/>
        <w:rPr>
          <w:color w:val="auto"/>
          <w:kern w:val="0"/>
          <w:sz w:val="24"/>
        </w:rPr>
      </w:pPr>
      <w:r>
        <w:rPr>
          <w:rFonts w:hint="eastAsia"/>
          <w:color w:val="auto"/>
          <w:kern w:val="0"/>
          <w:sz w:val="24"/>
        </w:rPr>
        <w:t>1.课程学习。研究生在规定修业年限内完成培养方案规定的课程学习，考核成绩合格，获得规定的学分。</w:t>
      </w:r>
    </w:p>
    <w:p w14:paraId="05DF0992">
      <w:pPr>
        <w:widowControl/>
        <w:spacing w:line="360" w:lineRule="auto"/>
        <w:ind w:firstLine="480" w:firstLineChars="200"/>
        <w:jc w:val="left"/>
        <w:rPr>
          <w:color w:val="auto"/>
          <w:kern w:val="0"/>
          <w:sz w:val="24"/>
        </w:rPr>
      </w:pPr>
      <w:r>
        <w:rPr>
          <w:rFonts w:hint="eastAsia"/>
          <w:color w:val="auto"/>
          <w:kern w:val="0"/>
          <w:sz w:val="24"/>
        </w:rPr>
        <w:t>2.学术/实践活动。研究生在读期间至少需要完成两类活动中的一类：</w:t>
      </w:r>
    </w:p>
    <w:p w14:paraId="3408BC31">
      <w:pPr>
        <w:widowControl/>
        <w:spacing w:line="360" w:lineRule="auto"/>
        <w:ind w:firstLine="480" w:firstLineChars="200"/>
        <w:jc w:val="left"/>
        <w:rPr>
          <w:color w:val="auto"/>
          <w:kern w:val="0"/>
          <w:sz w:val="24"/>
        </w:rPr>
      </w:pPr>
      <w:r>
        <w:rPr>
          <w:rFonts w:hint="eastAsia"/>
          <w:color w:val="auto"/>
          <w:kern w:val="0"/>
          <w:sz w:val="24"/>
        </w:rPr>
        <w:t>（1）学术活动：研究生在读期间参加不少于10次学术活动，并撰写学术报告小结；以主讲人或宣讲人身份，参加在校内外举行的学术报告或学术讲座不少于</w:t>
      </w:r>
      <w:r>
        <w:rPr>
          <w:rFonts w:hint="eastAsia"/>
          <w:color w:val="auto"/>
          <w:kern w:val="0"/>
          <w:sz w:val="24"/>
          <w:lang w:val="en-US" w:eastAsia="zh-CN"/>
        </w:rPr>
        <w:t>2</w:t>
      </w:r>
      <w:r>
        <w:rPr>
          <w:rFonts w:hint="eastAsia"/>
          <w:color w:val="auto"/>
          <w:kern w:val="0"/>
          <w:sz w:val="24"/>
        </w:rPr>
        <w:t>次。</w:t>
      </w:r>
    </w:p>
    <w:p w14:paraId="46887A59">
      <w:pPr>
        <w:widowControl/>
        <w:spacing w:line="360" w:lineRule="auto"/>
        <w:ind w:firstLine="480" w:firstLineChars="200"/>
        <w:jc w:val="left"/>
        <w:rPr>
          <w:color w:val="auto"/>
          <w:kern w:val="0"/>
          <w:sz w:val="24"/>
        </w:rPr>
      </w:pPr>
      <w:r>
        <w:rPr>
          <w:rFonts w:hint="eastAsia"/>
          <w:color w:val="auto"/>
          <w:kern w:val="0"/>
          <w:sz w:val="24"/>
        </w:rPr>
        <w:t>（2）实践活动：参与本专业相关的社会实践，由相关单位出具相关实践证明材料；或组织开展与本专业相关的调查、考察等活动，并提交相关报告。</w:t>
      </w:r>
    </w:p>
    <w:p w14:paraId="1E9AF64C">
      <w:pPr>
        <w:widowControl/>
        <w:spacing w:line="360" w:lineRule="auto"/>
        <w:ind w:firstLine="480" w:firstLineChars="200"/>
        <w:jc w:val="left"/>
        <w:rPr>
          <w:color w:val="auto"/>
          <w:kern w:val="0"/>
          <w:sz w:val="24"/>
        </w:rPr>
      </w:pPr>
      <w:r>
        <w:rPr>
          <w:rFonts w:hint="eastAsia"/>
          <w:color w:val="auto"/>
          <w:kern w:val="0"/>
          <w:sz w:val="24"/>
        </w:rPr>
        <w:t>3.符合提前毕业条件的研究生，可按照学校相关规定申请提前毕业。</w:t>
      </w:r>
    </w:p>
    <w:p w14:paraId="02610C06">
      <w:pPr>
        <w:widowControl/>
        <w:spacing w:line="360" w:lineRule="auto"/>
        <w:ind w:firstLine="480" w:firstLineChars="200"/>
        <w:jc w:val="left"/>
        <w:rPr>
          <w:color w:val="auto"/>
          <w:kern w:val="0"/>
          <w:sz w:val="24"/>
        </w:rPr>
      </w:pPr>
      <w:r>
        <w:rPr>
          <w:rFonts w:hint="eastAsia"/>
          <w:color w:val="auto"/>
          <w:kern w:val="0"/>
          <w:sz w:val="24"/>
        </w:rPr>
        <w:t>4.论文答辩。学位（毕业）论文经专家评审合格、通过学位（毕业）答辩，符合毕业资格审查后，准予毕业。</w:t>
      </w:r>
    </w:p>
    <w:p w14:paraId="6CD6D0A5">
      <w:pPr>
        <w:spacing w:line="440" w:lineRule="exact"/>
        <w:ind w:firstLine="560" w:firstLineChars="200"/>
        <w:rPr>
          <w:rFonts w:eastAsia="黑体"/>
          <w:bCs/>
          <w:color w:val="auto"/>
          <w:sz w:val="28"/>
          <w:szCs w:val="28"/>
        </w:rPr>
      </w:pPr>
      <w:r>
        <w:rPr>
          <w:rFonts w:hint="eastAsia" w:eastAsia="黑体"/>
          <w:bCs/>
          <w:color w:val="auto"/>
          <w:sz w:val="28"/>
          <w:szCs w:val="28"/>
        </w:rPr>
        <w:t>十</w:t>
      </w:r>
      <w:r>
        <w:rPr>
          <w:rFonts w:eastAsia="黑体"/>
          <w:bCs/>
          <w:color w:val="auto"/>
          <w:sz w:val="28"/>
          <w:szCs w:val="28"/>
        </w:rPr>
        <w:t>、创新性成果</w:t>
      </w:r>
    </w:p>
    <w:p w14:paraId="55214A10">
      <w:pPr>
        <w:spacing w:line="360" w:lineRule="auto"/>
        <w:ind w:firstLine="480" w:firstLineChars="200"/>
        <w:rPr>
          <w:rFonts w:eastAsiaTheme="minorEastAsia"/>
          <w:color w:val="000000"/>
          <w:sz w:val="24"/>
        </w:rPr>
      </w:pPr>
      <w:r>
        <w:rPr>
          <w:rFonts w:eastAsiaTheme="minorEastAsia"/>
          <w:color w:val="000000"/>
          <w:sz w:val="24"/>
        </w:rPr>
        <w:t>研究生申请学位取得的创新性成果需满足《哲学与社会学学院关于研究生申请学位取得创新性成果的规定》的有关要求。</w:t>
      </w:r>
    </w:p>
    <w:p w14:paraId="54228A2D">
      <w:pPr>
        <w:spacing w:line="440" w:lineRule="exact"/>
        <w:ind w:firstLine="560" w:firstLineChars="200"/>
        <w:rPr>
          <w:rFonts w:eastAsia="黑体"/>
          <w:bCs/>
          <w:color w:val="auto"/>
          <w:sz w:val="28"/>
          <w:szCs w:val="28"/>
        </w:rPr>
      </w:pPr>
      <w:r>
        <w:rPr>
          <w:rFonts w:eastAsia="黑体"/>
          <w:bCs/>
          <w:color w:val="auto"/>
          <w:sz w:val="28"/>
          <w:szCs w:val="28"/>
        </w:rPr>
        <w:t>十一、学位授予</w:t>
      </w:r>
    </w:p>
    <w:p w14:paraId="72093BFF">
      <w:pPr>
        <w:widowControl/>
        <w:spacing w:line="360" w:lineRule="auto"/>
        <w:ind w:firstLine="480" w:firstLineChars="200"/>
        <w:jc w:val="left"/>
        <w:rPr>
          <w:color w:val="auto"/>
          <w:kern w:val="0"/>
          <w:sz w:val="24"/>
        </w:rPr>
      </w:pPr>
      <w:r>
        <w:rPr>
          <w:rFonts w:hint="eastAsia"/>
          <w:color w:val="auto"/>
          <w:kern w:val="0"/>
          <w:sz w:val="24"/>
        </w:rPr>
        <w:t>研究生通过毕业资格审查，满足本学院制定的创新性成果要求，符合《河北大学博士、硕士学位授予工作实施细则》（校政字〔2025〕7号）的有关规定，达到学校学位授予标准，经学校学位评定委员会审议，授予硕士学位。</w:t>
      </w:r>
    </w:p>
    <w:p w14:paraId="3F53F0AF">
      <w:pPr>
        <w:spacing w:line="440" w:lineRule="exact"/>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二</w:t>
      </w:r>
      <w:r>
        <w:rPr>
          <w:rFonts w:eastAsia="黑体"/>
          <w:bCs/>
          <w:color w:val="auto"/>
          <w:sz w:val="28"/>
          <w:szCs w:val="28"/>
        </w:rPr>
        <w:t>、学分及课程设置</w:t>
      </w:r>
    </w:p>
    <w:p w14:paraId="6DCDA722">
      <w:pPr>
        <w:widowControl/>
        <w:spacing w:line="360" w:lineRule="auto"/>
        <w:ind w:firstLine="480" w:firstLineChars="200"/>
        <w:jc w:val="left"/>
        <w:rPr>
          <w:color w:val="auto"/>
          <w:kern w:val="0"/>
          <w:sz w:val="24"/>
        </w:rPr>
      </w:pPr>
      <w:r>
        <w:rPr>
          <w:rFonts w:hint="eastAsia"/>
          <w:color w:val="auto"/>
          <w:kern w:val="0"/>
          <w:sz w:val="24"/>
        </w:rPr>
        <w:t>本专业最低毕业学分为2</w:t>
      </w:r>
      <w:r>
        <w:rPr>
          <w:rFonts w:hint="eastAsia"/>
          <w:color w:val="auto"/>
          <w:kern w:val="0"/>
          <w:sz w:val="24"/>
          <w:lang w:val="en-US" w:eastAsia="zh-CN"/>
        </w:rPr>
        <w:t>8</w:t>
      </w:r>
      <w:r>
        <w:rPr>
          <w:rFonts w:hint="eastAsia"/>
          <w:color w:val="auto"/>
          <w:kern w:val="0"/>
          <w:sz w:val="24"/>
        </w:rPr>
        <w:t>分，其中学位课13学分，非学位课1</w:t>
      </w:r>
      <w:r>
        <w:rPr>
          <w:rFonts w:hint="eastAsia"/>
          <w:color w:val="auto"/>
          <w:kern w:val="0"/>
          <w:sz w:val="24"/>
          <w:lang w:val="en-US" w:eastAsia="zh-CN"/>
        </w:rPr>
        <w:t>4</w:t>
      </w:r>
      <w:r>
        <w:rPr>
          <w:rFonts w:hint="eastAsia"/>
          <w:color w:val="auto"/>
          <w:kern w:val="0"/>
          <w:sz w:val="24"/>
        </w:rPr>
        <w:t>学分，必修环节1分。</w:t>
      </w:r>
    </w:p>
    <w:p w14:paraId="60631708">
      <w:pPr>
        <w:widowControl/>
        <w:spacing w:line="360" w:lineRule="auto"/>
        <w:ind w:firstLine="480" w:firstLineChars="200"/>
        <w:jc w:val="left"/>
        <w:rPr>
          <w:color w:val="auto"/>
          <w:kern w:val="0"/>
          <w:sz w:val="24"/>
        </w:rPr>
      </w:pPr>
      <w:r>
        <w:rPr>
          <w:rFonts w:hint="eastAsia"/>
          <w:color w:val="auto"/>
          <w:kern w:val="0"/>
          <w:sz w:val="24"/>
        </w:rPr>
        <w:t>课程考试不设补考环节，考试成绩低于60分的需重修。</w:t>
      </w:r>
    </w:p>
    <w:p w14:paraId="1B8E80B7">
      <w:pPr>
        <w:spacing w:line="360" w:lineRule="auto"/>
        <w:jc w:val="center"/>
        <w:rPr>
          <w:rFonts w:eastAsiaTheme="minorEastAsia"/>
          <w:b/>
          <w:bCs/>
          <w:color w:val="auto"/>
          <w:sz w:val="24"/>
        </w:rPr>
      </w:pPr>
      <w:r>
        <w:rPr>
          <w:rFonts w:hint="eastAsia" w:eastAsiaTheme="minorEastAsia"/>
          <w:b/>
          <w:bCs/>
          <w:color w:val="auto"/>
          <w:sz w:val="24"/>
        </w:rPr>
        <w:t>社会学</w:t>
      </w:r>
      <w:r>
        <w:rPr>
          <w:rFonts w:eastAsiaTheme="minorEastAsia"/>
          <w:b/>
          <w:bCs/>
          <w:color w:val="auto"/>
          <w:sz w:val="24"/>
        </w:rPr>
        <w:t>专业</w:t>
      </w:r>
      <w:r>
        <w:rPr>
          <w:rFonts w:hint="eastAsia" w:eastAsiaTheme="minorEastAsia"/>
          <w:b/>
          <w:bCs/>
          <w:color w:val="auto"/>
          <w:sz w:val="24"/>
          <w:lang w:val="en-US" w:eastAsia="zh-CN"/>
        </w:rPr>
        <w:t>学术</w:t>
      </w:r>
      <w:r>
        <w:rPr>
          <w:rFonts w:eastAsiaTheme="minorEastAsia"/>
          <w:b/>
          <w:bCs/>
          <w:color w:val="auto"/>
          <w:sz w:val="24"/>
        </w:rPr>
        <w:t>学位硕士研究生课程及培养环节设置一览表</w:t>
      </w:r>
    </w:p>
    <w:tbl>
      <w:tblPr>
        <w:tblStyle w:val="8"/>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348F1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2B81EE67">
            <w:pPr>
              <w:jc w:val="center"/>
              <w:rPr>
                <w:b/>
                <w:color w:val="auto"/>
                <w:szCs w:val="21"/>
              </w:rPr>
            </w:pPr>
            <w:r>
              <w:rPr>
                <w:b/>
                <w:color w:val="auto"/>
                <w:szCs w:val="21"/>
              </w:rPr>
              <w:t>课程类别</w:t>
            </w:r>
          </w:p>
        </w:tc>
        <w:tc>
          <w:tcPr>
            <w:tcW w:w="3516" w:type="dxa"/>
            <w:vAlign w:val="center"/>
          </w:tcPr>
          <w:p w14:paraId="1E093E5E">
            <w:pPr>
              <w:jc w:val="center"/>
              <w:rPr>
                <w:b/>
                <w:color w:val="auto"/>
                <w:szCs w:val="21"/>
              </w:rPr>
            </w:pPr>
            <w:r>
              <w:rPr>
                <w:b/>
                <w:color w:val="auto"/>
                <w:szCs w:val="21"/>
              </w:rPr>
              <w:t>课程说明</w:t>
            </w:r>
          </w:p>
        </w:tc>
        <w:tc>
          <w:tcPr>
            <w:tcW w:w="1081" w:type="dxa"/>
            <w:vAlign w:val="center"/>
          </w:tcPr>
          <w:p w14:paraId="072F4080">
            <w:pPr>
              <w:jc w:val="center"/>
              <w:rPr>
                <w:b/>
                <w:color w:val="auto"/>
                <w:szCs w:val="21"/>
              </w:rPr>
            </w:pPr>
            <w:r>
              <w:rPr>
                <w:b/>
                <w:color w:val="auto"/>
                <w:szCs w:val="21"/>
              </w:rPr>
              <w:t>课程编号</w:t>
            </w:r>
          </w:p>
        </w:tc>
        <w:tc>
          <w:tcPr>
            <w:tcW w:w="709" w:type="dxa"/>
            <w:vAlign w:val="center"/>
          </w:tcPr>
          <w:p w14:paraId="1CD216BA">
            <w:pPr>
              <w:jc w:val="center"/>
              <w:rPr>
                <w:b/>
                <w:color w:val="auto"/>
                <w:szCs w:val="21"/>
              </w:rPr>
            </w:pPr>
            <w:r>
              <w:rPr>
                <w:b/>
                <w:color w:val="auto"/>
                <w:szCs w:val="21"/>
              </w:rPr>
              <w:t>学分</w:t>
            </w:r>
          </w:p>
        </w:tc>
        <w:tc>
          <w:tcPr>
            <w:tcW w:w="709" w:type="dxa"/>
            <w:vAlign w:val="center"/>
          </w:tcPr>
          <w:p w14:paraId="5069714A">
            <w:pPr>
              <w:jc w:val="center"/>
              <w:rPr>
                <w:b/>
                <w:color w:val="auto"/>
                <w:szCs w:val="21"/>
              </w:rPr>
            </w:pPr>
            <w:r>
              <w:rPr>
                <w:b/>
                <w:color w:val="auto"/>
                <w:szCs w:val="21"/>
              </w:rPr>
              <w:t>学期</w:t>
            </w:r>
          </w:p>
        </w:tc>
        <w:tc>
          <w:tcPr>
            <w:tcW w:w="1045" w:type="dxa"/>
            <w:vAlign w:val="center"/>
          </w:tcPr>
          <w:p w14:paraId="0E182618">
            <w:pPr>
              <w:jc w:val="center"/>
              <w:rPr>
                <w:b/>
                <w:color w:val="auto"/>
                <w:szCs w:val="21"/>
              </w:rPr>
            </w:pPr>
            <w:r>
              <w:rPr>
                <w:b/>
                <w:color w:val="auto"/>
                <w:szCs w:val="21"/>
              </w:rPr>
              <w:t>备注</w:t>
            </w:r>
          </w:p>
        </w:tc>
      </w:tr>
      <w:tr w14:paraId="5FDD39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C98B255">
            <w:pPr>
              <w:jc w:val="center"/>
              <w:rPr>
                <w:b/>
                <w:color w:val="auto"/>
                <w:sz w:val="18"/>
                <w:szCs w:val="18"/>
              </w:rPr>
            </w:pPr>
            <w:r>
              <w:rPr>
                <w:b/>
                <w:color w:val="auto"/>
                <w:sz w:val="18"/>
                <w:szCs w:val="18"/>
              </w:rPr>
              <w:t>学位课</w:t>
            </w:r>
          </w:p>
        </w:tc>
        <w:tc>
          <w:tcPr>
            <w:tcW w:w="1226" w:type="dxa"/>
            <w:vMerge w:val="restart"/>
            <w:vAlign w:val="center"/>
          </w:tcPr>
          <w:p w14:paraId="71BC9711">
            <w:pPr>
              <w:jc w:val="center"/>
              <w:rPr>
                <w:b/>
                <w:color w:val="auto"/>
                <w:sz w:val="18"/>
                <w:szCs w:val="18"/>
              </w:rPr>
            </w:pPr>
            <w:r>
              <w:rPr>
                <w:b/>
                <w:color w:val="auto"/>
                <w:sz w:val="18"/>
                <w:szCs w:val="18"/>
              </w:rPr>
              <w:t>公共必修课</w:t>
            </w:r>
          </w:p>
          <w:p w14:paraId="423C444E">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5E5CB31E">
            <w:pPr>
              <w:rPr>
                <w:color w:val="auto"/>
                <w:sz w:val="18"/>
                <w:szCs w:val="18"/>
              </w:rPr>
            </w:pPr>
            <w:r>
              <w:rPr>
                <w:color w:val="000000" w:themeColor="text1"/>
                <w:sz w:val="18"/>
                <w:szCs w:val="18"/>
                <w14:textFill>
                  <w14:solidFill>
                    <w14:schemeClr w14:val="tx1"/>
                  </w14:solidFill>
                </w14:textFill>
              </w:rPr>
              <w:t>新时代中国特色社会主义理论与实践</w:t>
            </w:r>
          </w:p>
        </w:tc>
        <w:tc>
          <w:tcPr>
            <w:tcW w:w="1081" w:type="dxa"/>
            <w:shd w:val="clear" w:color="auto" w:fill="auto"/>
            <w:vAlign w:val="center"/>
          </w:tcPr>
          <w:p w14:paraId="02C22DAE">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60DC2428">
            <w:pPr>
              <w:jc w:val="center"/>
              <w:rPr>
                <w:color w:val="auto"/>
                <w:sz w:val="18"/>
                <w:szCs w:val="18"/>
              </w:rPr>
            </w:pPr>
            <w:r>
              <w:rPr>
                <w:color w:val="000000" w:themeColor="text1"/>
                <w:sz w:val="18"/>
                <w:szCs w:val="18"/>
                <w14:textFill>
                  <w14:solidFill>
                    <w14:schemeClr w14:val="tx1"/>
                  </w14:solidFill>
                </w14:textFill>
              </w:rPr>
              <w:t>2</w:t>
            </w:r>
          </w:p>
        </w:tc>
        <w:tc>
          <w:tcPr>
            <w:tcW w:w="709" w:type="dxa"/>
            <w:vAlign w:val="center"/>
          </w:tcPr>
          <w:p w14:paraId="352A2C38">
            <w:pPr>
              <w:jc w:val="center"/>
              <w:rPr>
                <w:color w:val="auto"/>
                <w:sz w:val="18"/>
                <w:szCs w:val="18"/>
              </w:rPr>
            </w:pPr>
            <w:r>
              <w:rPr>
                <w:color w:val="000000" w:themeColor="text1"/>
                <w:sz w:val="18"/>
                <w:szCs w:val="18"/>
                <w14:textFill>
                  <w14:solidFill>
                    <w14:schemeClr w14:val="tx1"/>
                  </w14:solidFill>
                </w14:textFill>
              </w:rPr>
              <w:t>1</w:t>
            </w:r>
          </w:p>
        </w:tc>
        <w:tc>
          <w:tcPr>
            <w:tcW w:w="1045" w:type="dxa"/>
            <w:vAlign w:val="center"/>
          </w:tcPr>
          <w:p w14:paraId="5531F31E">
            <w:pPr>
              <w:jc w:val="center"/>
              <w:rPr>
                <w:color w:val="auto"/>
                <w:sz w:val="18"/>
                <w:szCs w:val="18"/>
              </w:rPr>
            </w:pPr>
            <w:r>
              <w:rPr>
                <w:rFonts w:hint="eastAsia"/>
                <w:color w:val="auto"/>
                <w:sz w:val="18"/>
                <w:szCs w:val="18"/>
              </w:rPr>
              <w:t>考查</w:t>
            </w:r>
          </w:p>
        </w:tc>
      </w:tr>
      <w:tr w14:paraId="08C067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08C7C23">
            <w:pPr>
              <w:jc w:val="center"/>
              <w:rPr>
                <w:b/>
                <w:color w:val="auto"/>
                <w:sz w:val="18"/>
                <w:szCs w:val="18"/>
              </w:rPr>
            </w:pPr>
          </w:p>
        </w:tc>
        <w:tc>
          <w:tcPr>
            <w:tcW w:w="1226" w:type="dxa"/>
            <w:vMerge w:val="continue"/>
            <w:vAlign w:val="center"/>
          </w:tcPr>
          <w:p w14:paraId="72286506">
            <w:pPr>
              <w:jc w:val="center"/>
              <w:rPr>
                <w:b/>
                <w:color w:val="auto"/>
                <w:sz w:val="18"/>
                <w:szCs w:val="18"/>
              </w:rPr>
            </w:pPr>
          </w:p>
        </w:tc>
        <w:tc>
          <w:tcPr>
            <w:tcW w:w="3516" w:type="dxa"/>
            <w:vAlign w:val="center"/>
          </w:tcPr>
          <w:p w14:paraId="695D54C9">
            <w:pPr>
              <w:rPr>
                <w:color w:val="auto"/>
                <w:sz w:val="18"/>
                <w:szCs w:val="18"/>
              </w:rPr>
            </w:pPr>
            <w:r>
              <w:rPr>
                <w:sz w:val="18"/>
                <w:szCs w:val="18"/>
              </w:rPr>
              <w:t>通用学术英语</w:t>
            </w:r>
          </w:p>
        </w:tc>
        <w:tc>
          <w:tcPr>
            <w:tcW w:w="1081" w:type="dxa"/>
            <w:shd w:val="clear" w:color="auto" w:fill="auto"/>
            <w:vAlign w:val="center"/>
          </w:tcPr>
          <w:p w14:paraId="0523BD39">
            <w:pPr>
              <w:jc w:val="center"/>
              <w:rPr>
                <w:rFonts w:ascii="Times New Roman" w:hAnsi="Times New Roman" w:eastAsia="宋体" w:cs="Times New Roman"/>
                <w:kern w:val="2"/>
                <w:sz w:val="18"/>
                <w:szCs w:val="18"/>
                <w:lang w:val="en-US" w:eastAsia="zh-CN" w:bidi="ar-SA"/>
              </w:rPr>
            </w:pPr>
            <w:r>
              <w:rPr>
                <w:sz w:val="18"/>
                <w:szCs w:val="18"/>
              </w:rPr>
              <w:t>TS0000002</w:t>
            </w:r>
          </w:p>
        </w:tc>
        <w:tc>
          <w:tcPr>
            <w:tcW w:w="709" w:type="dxa"/>
            <w:vAlign w:val="center"/>
          </w:tcPr>
          <w:p w14:paraId="0989DBF1">
            <w:pPr>
              <w:jc w:val="center"/>
              <w:rPr>
                <w:color w:val="auto"/>
                <w:sz w:val="18"/>
                <w:szCs w:val="18"/>
              </w:rPr>
            </w:pPr>
            <w:r>
              <w:rPr>
                <w:sz w:val="18"/>
                <w:szCs w:val="18"/>
              </w:rPr>
              <w:t>2</w:t>
            </w:r>
          </w:p>
        </w:tc>
        <w:tc>
          <w:tcPr>
            <w:tcW w:w="709" w:type="dxa"/>
            <w:vAlign w:val="center"/>
          </w:tcPr>
          <w:p w14:paraId="32CC482D">
            <w:pPr>
              <w:jc w:val="center"/>
              <w:rPr>
                <w:color w:val="auto"/>
                <w:sz w:val="18"/>
                <w:szCs w:val="18"/>
              </w:rPr>
            </w:pPr>
            <w:r>
              <w:rPr>
                <w:sz w:val="18"/>
                <w:szCs w:val="18"/>
              </w:rPr>
              <w:t>1</w:t>
            </w:r>
          </w:p>
        </w:tc>
        <w:tc>
          <w:tcPr>
            <w:tcW w:w="1045" w:type="dxa"/>
            <w:vAlign w:val="center"/>
          </w:tcPr>
          <w:p w14:paraId="5CC2230C">
            <w:pPr>
              <w:jc w:val="center"/>
              <w:rPr>
                <w:color w:val="auto"/>
                <w:sz w:val="18"/>
                <w:szCs w:val="18"/>
              </w:rPr>
            </w:pPr>
            <w:r>
              <w:rPr>
                <w:rFonts w:hint="eastAsia"/>
                <w:color w:val="auto"/>
                <w:sz w:val="18"/>
                <w:szCs w:val="18"/>
              </w:rPr>
              <w:t>考查</w:t>
            </w:r>
          </w:p>
        </w:tc>
      </w:tr>
      <w:tr w14:paraId="769D8B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F43459E">
            <w:pPr>
              <w:jc w:val="center"/>
              <w:rPr>
                <w:b/>
                <w:color w:val="auto"/>
                <w:sz w:val="18"/>
                <w:szCs w:val="18"/>
              </w:rPr>
            </w:pPr>
          </w:p>
        </w:tc>
        <w:tc>
          <w:tcPr>
            <w:tcW w:w="1226" w:type="dxa"/>
            <w:vMerge w:val="restart"/>
            <w:vAlign w:val="center"/>
          </w:tcPr>
          <w:p w14:paraId="2EE4C223">
            <w:pPr>
              <w:jc w:val="left"/>
              <w:rPr>
                <w:b/>
                <w:bCs/>
                <w:color w:val="auto"/>
                <w:sz w:val="18"/>
                <w:szCs w:val="18"/>
              </w:rPr>
            </w:pPr>
            <w:r>
              <w:rPr>
                <w:b/>
                <w:bCs/>
                <w:color w:val="auto"/>
                <w:sz w:val="18"/>
                <w:szCs w:val="18"/>
              </w:rPr>
              <w:t>学科基础课</w:t>
            </w:r>
          </w:p>
          <w:p w14:paraId="7900119E">
            <w:pPr>
              <w:jc w:val="left"/>
              <w:rPr>
                <w:b/>
                <w:bCs/>
                <w:color w:val="auto"/>
                <w:sz w:val="18"/>
                <w:szCs w:val="18"/>
              </w:rPr>
            </w:pPr>
            <w:r>
              <w:rPr>
                <w:b/>
                <w:bCs/>
                <w:color w:val="auto"/>
                <w:sz w:val="18"/>
                <w:szCs w:val="18"/>
              </w:rPr>
              <w:t>（</w:t>
            </w:r>
            <w:r>
              <w:rPr>
                <w:rFonts w:hint="eastAsia"/>
                <w:b/>
                <w:bCs/>
                <w:color w:val="auto"/>
                <w:sz w:val="18"/>
                <w:szCs w:val="18"/>
                <w:lang w:val="en-US" w:eastAsia="zh-CN"/>
              </w:rPr>
              <w:t>5</w:t>
            </w:r>
            <w:r>
              <w:rPr>
                <w:b/>
                <w:bCs/>
                <w:color w:val="auto"/>
                <w:sz w:val="18"/>
                <w:szCs w:val="18"/>
              </w:rPr>
              <w:t>学分）</w:t>
            </w:r>
          </w:p>
        </w:tc>
        <w:tc>
          <w:tcPr>
            <w:tcW w:w="3516" w:type="dxa"/>
            <w:vAlign w:val="center"/>
          </w:tcPr>
          <w:p w14:paraId="29AE34B7">
            <w:pPr>
              <w:rPr>
                <w:color w:val="auto"/>
                <w:sz w:val="18"/>
                <w:szCs w:val="18"/>
              </w:rPr>
            </w:pPr>
            <w:r>
              <w:rPr>
                <w:color w:val="auto"/>
                <w:sz w:val="18"/>
                <w:szCs w:val="18"/>
              </w:rPr>
              <w:t>学术道德与论文写作</w:t>
            </w:r>
          </w:p>
        </w:tc>
        <w:tc>
          <w:tcPr>
            <w:tcW w:w="1081" w:type="dxa"/>
            <w:shd w:val="clear" w:color="auto" w:fill="auto"/>
            <w:vAlign w:val="center"/>
          </w:tcPr>
          <w:p w14:paraId="72C75165">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001</w:t>
            </w:r>
          </w:p>
        </w:tc>
        <w:tc>
          <w:tcPr>
            <w:tcW w:w="709" w:type="dxa"/>
            <w:vAlign w:val="center"/>
          </w:tcPr>
          <w:p w14:paraId="7EF2E230">
            <w:pPr>
              <w:jc w:val="center"/>
              <w:rPr>
                <w:color w:val="auto"/>
                <w:sz w:val="18"/>
                <w:szCs w:val="18"/>
              </w:rPr>
            </w:pPr>
            <w:r>
              <w:rPr>
                <w:rFonts w:hint="eastAsia"/>
                <w:color w:val="auto"/>
                <w:sz w:val="18"/>
                <w:szCs w:val="18"/>
              </w:rPr>
              <w:t>1</w:t>
            </w:r>
          </w:p>
        </w:tc>
        <w:tc>
          <w:tcPr>
            <w:tcW w:w="709" w:type="dxa"/>
            <w:vAlign w:val="center"/>
          </w:tcPr>
          <w:p w14:paraId="02298632">
            <w:pPr>
              <w:jc w:val="center"/>
              <w:rPr>
                <w:color w:val="auto"/>
                <w:sz w:val="18"/>
                <w:szCs w:val="18"/>
              </w:rPr>
            </w:pPr>
            <w:r>
              <w:rPr>
                <w:rFonts w:hint="eastAsia"/>
                <w:color w:val="auto"/>
                <w:sz w:val="18"/>
                <w:szCs w:val="18"/>
              </w:rPr>
              <w:t>2</w:t>
            </w:r>
          </w:p>
        </w:tc>
        <w:tc>
          <w:tcPr>
            <w:tcW w:w="1045" w:type="dxa"/>
            <w:vAlign w:val="center"/>
          </w:tcPr>
          <w:p w14:paraId="5C9525B4">
            <w:pPr>
              <w:jc w:val="center"/>
              <w:rPr>
                <w:color w:val="auto"/>
                <w:sz w:val="18"/>
                <w:szCs w:val="18"/>
              </w:rPr>
            </w:pPr>
            <w:r>
              <w:rPr>
                <w:rFonts w:hint="eastAsia"/>
                <w:color w:val="auto"/>
                <w:sz w:val="18"/>
                <w:szCs w:val="18"/>
              </w:rPr>
              <w:t>考查</w:t>
            </w:r>
          </w:p>
        </w:tc>
      </w:tr>
      <w:tr w14:paraId="6F80F9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2F910C">
            <w:pPr>
              <w:jc w:val="center"/>
              <w:rPr>
                <w:b/>
                <w:color w:val="auto"/>
                <w:sz w:val="18"/>
                <w:szCs w:val="18"/>
              </w:rPr>
            </w:pPr>
          </w:p>
        </w:tc>
        <w:tc>
          <w:tcPr>
            <w:tcW w:w="1226" w:type="dxa"/>
            <w:vMerge w:val="continue"/>
            <w:vAlign w:val="center"/>
          </w:tcPr>
          <w:p w14:paraId="07A76238">
            <w:pPr>
              <w:jc w:val="left"/>
              <w:rPr>
                <w:b/>
                <w:bCs/>
                <w:color w:val="auto"/>
                <w:sz w:val="18"/>
                <w:szCs w:val="18"/>
              </w:rPr>
            </w:pPr>
          </w:p>
        </w:tc>
        <w:tc>
          <w:tcPr>
            <w:tcW w:w="3516" w:type="dxa"/>
            <w:shd w:val="clear" w:color="auto" w:fill="auto"/>
          </w:tcPr>
          <w:p w14:paraId="63A29155">
            <w:pPr>
              <w:spacing w:before="68" w:line="219" w:lineRule="auto"/>
              <w:rPr>
                <w:rFonts w:ascii="宋体" w:hAnsi="宋体" w:cs="宋体"/>
                <w:color w:val="auto"/>
                <w:sz w:val="18"/>
                <w:szCs w:val="18"/>
              </w:rPr>
            </w:pPr>
            <w:r>
              <w:rPr>
                <w:rFonts w:ascii="宋体" w:hAnsi="宋体" w:cs="宋体"/>
                <w:color w:val="auto"/>
                <w:spacing w:val="-2"/>
                <w:sz w:val="18"/>
                <w:szCs w:val="18"/>
              </w:rPr>
              <w:t>社会学研究方法</w:t>
            </w:r>
          </w:p>
        </w:tc>
        <w:tc>
          <w:tcPr>
            <w:tcW w:w="1081" w:type="dxa"/>
            <w:shd w:val="clear" w:color="auto" w:fill="auto"/>
            <w:vAlign w:val="center"/>
          </w:tcPr>
          <w:p w14:paraId="2128EA71">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002</w:t>
            </w:r>
          </w:p>
        </w:tc>
        <w:tc>
          <w:tcPr>
            <w:tcW w:w="709" w:type="dxa"/>
            <w:vAlign w:val="center"/>
          </w:tcPr>
          <w:p w14:paraId="04F88124">
            <w:pPr>
              <w:jc w:val="center"/>
              <w:rPr>
                <w:color w:val="auto"/>
                <w:sz w:val="18"/>
                <w:szCs w:val="18"/>
              </w:rPr>
            </w:pPr>
            <w:r>
              <w:rPr>
                <w:rFonts w:hint="eastAsia"/>
                <w:color w:val="auto"/>
                <w:sz w:val="18"/>
                <w:szCs w:val="18"/>
              </w:rPr>
              <w:t>2</w:t>
            </w:r>
          </w:p>
        </w:tc>
        <w:tc>
          <w:tcPr>
            <w:tcW w:w="709" w:type="dxa"/>
            <w:vAlign w:val="center"/>
          </w:tcPr>
          <w:p w14:paraId="1D632CD6">
            <w:pPr>
              <w:jc w:val="center"/>
              <w:rPr>
                <w:color w:val="auto"/>
                <w:sz w:val="18"/>
                <w:szCs w:val="18"/>
              </w:rPr>
            </w:pPr>
            <w:r>
              <w:rPr>
                <w:rFonts w:hint="eastAsia"/>
                <w:color w:val="auto"/>
                <w:sz w:val="18"/>
                <w:szCs w:val="18"/>
              </w:rPr>
              <w:t>1</w:t>
            </w:r>
          </w:p>
        </w:tc>
        <w:tc>
          <w:tcPr>
            <w:tcW w:w="1045" w:type="dxa"/>
            <w:shd w:val="clear" w:color="auto" w:fill="auto"/>
            <w:vAlign w:val="center"/>
          </w:tcPr>
          <w:p w14:paraId="0BB98F79">
            <w:pPr>
              <w:jc w:val="center"/>
              <w:rPr>
                <w:color w:val="auto"/>
                <w:sz w:val="18"/>
                <w:szCs w:val="18"/>
              </w:rPr>
            </w:pPr>
            <w:r>
              <w:rPr>
                <w:rFonts w:hint="eastAsia"/>
                <w:color w:val="auto"/>
                <w:sz w:val="18"/>
                <w:szCs w:val="18"/>
              </w:rPr>
              <w:t>考查</w:t>
            </w:r>
          </w:p>
        </w:tc>
      </w:tr>
      <w:tr w14:paraId="7116F4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569B325">
            <w:pPr>
              <w:jc w:val="center"/>
              <w:rPr>
                <w:b/>
                <w:color w:val="auto"/>
                <w:sz w:val="18"/>
                <w:szCs w:val="18"/>
              </w:rPr>
            </w:pPr>
          </w:p>
        </w:tc>
        <w:tc>
          <w:tcPr>
            <w:tcW w:w="1226" w:type="dxa"/>
            <w:vMerge w:val="continue"/>
            <w:vAlign w:val="center"/>
          </w:tcPr>
          <w:p w14:paraId="71037658">
            <w:pPr>
              <w:jc w:val="left"/>
              <w:rPr>
                <w:b/>
                <w:bCs/>
                <w:color w:val="auto"/>
                <w:sz w:val="18"/>
                <w:szCs w:val="18"/>
              </w:rPr>
            </w:pPr>
          </w:p>
        </w:tc>
        <w:tc>
          <w:tcPr>
            <w:tcW w:w="3516" w:type="dxa"/>
            <w:shd w:val="clear" w:color="auto" w:fill="auto"/>
          </w:tcPr>
          <w:p w14:paraId="2C8F0D6D">
            <w:pPr>
              <w:spacing w:before="69" w:line="219" w:lineRule="auto"/>
              <w:rPr>
                <w:rFonts w:ascii="宋体" w:hAnsi="宋体" w:cs="宋体"/>
                <w:color w:val="auto"/>
                <w:sz w:val="18"/>
                <w:szCs w:val="18"/>
              </w:rPr>
            </w:pPr>
            <w:r>
              <w:rPr>
                <w:rFonts w:ascii="宋体" w:hAnsi="宋体" w:cs="宋体"/>
                <w:color w:val="auto"/>
                <w:spacing w:val="-2"/>
                <w:sz w:val="18"/>
                <w:szCs w:val="18"/>
              </w:rPr>
              <w:t>社会学理论</w:t>
            </w:r>
          </w:p>
        </w:tc>
        <w:tc>
          <w:tcPr>
            <w:tcW w:w="1081" w:type="dxa"/>
            <w:shd w:val="clear" w:color="auto" w:fill="auto"/>
            <w:vAlign w:val="center"/>
          </w:tcPr>
          <w:p w14:paraId="22BD7D73">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003</w:t>
            </w:r>
          </w:p>
        </w:tc>
        <w:tc>
          <w:tcPr>
            <w:tcW w:w="709" w:type="dxa"/>
            <w:vAlign w:val="center"/>
          </w:tcPr>
          <w:p w14:paraId="1B1C2E12">
            <w:pPr>
              <w:jc w:val="center"/>
              <w:rPr>
                <w:color w:val="auto"/>
                <w:sz w:val="18"/>
                <w:szCs w:val="18"/>
              </w:rPr>
            </w:pPr>
            <w:r>
              <w:rPr>
                <w:rFonts w:hint="eastAsia"/>
                <w:color w:val="auto"/>
                <w:sz w:val="18"/>
                <w:szCs w:val="18"/>
              </w:rPr>
              <w:t>2</w:t>
            </w:r>
          </w:p>
        </w:tc>
        <w:tc>
          <w:tcPr>
            <w:tcW w:w="709" w:type="dxa"/>
            <w:vAlign w:val="center"/>
          </w:tcPr>
          <w:p w14:paraId="336F30BC">
            <w:pPr>
              <w:jc w:val="center"/>
              <w:rPr>
                <w:color w:val="auto"/>
                <w:sz w:val="18"/>
                <w:szCs w:val="18"/>
              </w:rPr>
            </w:pPr>
            <w:r>
              <w:rPr>
                <w:rFonts w:hint="eastAsia"/>
                <w:color w:val="auto"/>
                <w:sz w:val="18"/>
                <w:szCs w:val="18"/>
              </w:rPr>
              <w:t>1</w:t>
            </w:r>
          </w:p>
        </w:tc>
        <w:tc>
          <w:tcPr>
            <w:tcW w:w="1045" w:type="dxa"/>
            <w:shd w:val="clear" w:color="auto" w:fill="auto"/>
            <w:vAlign w:val="center"/>
          </w:tcPr>
          <w:p w14:paraId="091F4D64">
            <w:pPr>
              <w:jc w:val="center"/>
              <w:rPr>
                <w:color w:val="auto"/>
                <w:sz w:val="18"/>
                <w:szCs w:val="18"/>
              </w:rPr>
            </w:pPr>
            <w:r>
              <w:rPr>
                <w:rFonts w:hint="eastAsia"/>
                <w:color w:val="auto"/>
                <w:sz w:val="18"/>
                <w:szCs w:val="18"/>
              </w:rPr>
              <w:t>考查</w:t>
            </w:r>
          </w:p>
        </w:tc>
      </w:tr>
      <w:tr w14:paraId="62A53C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26FF294">
            <w:pPr>
              <w:jc w:val="center"/>
              <w:rPr>
                <w:b/>
                <w:color w:val="auto"/>
                <w:sz w:val="18"/>
                <w:szCs w:val="18"/>
              </w:rPr>
            </w:pPr>
          </w:p>
        </w:tc>
        <w:tc>
          <w:tcPr>
            <w:tcW w:w="1226" w:type="dxa"/>
            <w:vMerge w:val="restart"/>
            <w:vAlign w:val="center"/>
          </w:tcPr>
          <w:p w14:paraId="52A26B90">
            <w:pPr>
              <w:jc w:val="left"/>
              <w:rPr>
                <w:b/>
                <w:bCs/>
                <w:color w:val="auto"/>
                <w:sz w:val="18"/>
                <w:szCs w:val="18"/>
              </w:rPr>
            </w:pPr>
            <w:r>
              <w:rPr>
                <w:b/>
                <w:bCs/>
                <w:color w:val="auto"/>
                <w:sz w:val="18"/>
                <w:szCs w:val="18"/>
              </w:rPr>
              <w:t>专业必修课</w:t>
            </w:r>
          </w:p>
          <w:p w14:paraId="5FF47195">
            <w:pPr>
              <w:jc w:val="left"/>
              <w:rPr>
                <w:b/>
                <w:bCs/>
                <w:color w:val="auto"/>
                <w:sz w:val="18"/>
                <w:szCs w:val="18"/>
              </w:rPr>
            </w:pPr>
            <w:r>
              <w:rPr>
                <w:b/>
                <w:bCs/>
                <w:color w:val="auto"/>
                <w:sz w:val="18"/>
                <w:szCs w:val="18"/>
              </w:rPr>
              <w:t>（</w:t>
            </w:r>
            <w:r>
              <w:rPr>
                <w:rFonts w:hint="eastAsia"/>
                <w:b/>
                <w:bCs/>
                <w:color w:val="auto"/>
                <w:sz w:val="18"/>
                <w:szCs w:val="18"/>
                <w:lang w:val="en-US" w:eastAsia="zh-CN"/>
              </w:rPr>
              <w:t>4</w:t>
            </w:r>
            <w:r>
              <w:rPr>
                <w:b/>
                <w:bCs/>
                <w:color w:val="auto"/>
                <w:sz w:val="18"/>
                <w:szCs w:val="18"/>
              </w:rPr>
              <w:t>学分）</w:t>
            </w:r>
          </w:p>
        </w:tc>
        <w:tc>
          <w:tcPr>
            <w:tcW w:w="3516" w:type="dxa"/>
          </w:tcPr>
          <w:p w14:paraId="6C9A32E4">
            <w:pPr>
              <w:spacing w:before="73" w:line="219" w:lineRule="auto"/>
              <w:rPr>
                <w:color w:val="auto"/>
              </w:rPr>
            </w:pPr>
            <w:r>
              <w:rPr>
                <w:rFonts w:ascii="宋体" w:hAnsi="宋体" w:cs="宋体"/>
                <w:color w:val="auto"/>
                <w:spacing w:val="-2"/>
                <w:sz w:val="18"/>
                <w:szCs w:val="18"/>
              </w:rPr>
              <w:t>农村社会学</w:t>
            </w:r>
          </w:p>
        </w:tc>
        <w:tc>
          <w:tcPr>
            <w:tcW w:w="1081" w:type="dxa"/>
            <w:shd w:val="clear" w:color="auto" w:fill="auto"/>
            <w:vAlign w:val="center"/>
          </w:tcPr>
          <w:p w14:paraId="5DA9959A">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004</w:t>
            </w:r>
          </w:p>
        </w:tc>
        <w:tc>
          <w:tcPr>
            <w:tcW w:w="709" w:type="dxa"/>
            <w:vAlign w:val="center"/>
          </w:tcPr>
          <w:p w14:paraId="27254DE0">
            <w:pPr>
              <w:jc w:val="center"/>
              <w:rPr>
                <w:color w:val="auto"/>
                <w:sz w:val="18"/>
                <w:szCs w:val="18"/>
              </w:rPr>
            </w:pPr>
            <w:r>
              <w:rPr>
                <w:rFonts w:hint="eastAsia"/>
                <w:color w:val="auto"/>
                <w:sz w:val="18"/>
                <w:szCs w:val="18"/>
              </w:rPr>
              <w:t>2</w:t>
            </w:r>
          </w:p>
        </w:tc>
        <w:tc>
          <w:tcPr>
            <w:tcW w:w="709" w:type="dxa"/>
            <w:vAlign w:val="center"/>
          </w:tcPr>
          <w:p w14:paraId="1A5C75FD">
            <w:pPr>
              <w:jc w:val="center"/>
              <w:rPr>
                <w:color w:val="auto"/>
                <w:sz w:val="18"/>
                <w:szCs w:val="18"/>
              </w:rPr>
            </w:pPr>
            <w:r>
              <w:rPr>
                <w:rFonts w:hint="eastAsia"/>
                <w:color w:val="auto"/>
                <w:sz w:val="18"/>
                <w:szCs w:val="18"/>
              </w:rPr>
              <w:t>3</w:t>
            </w:r>
          </w:p>
        </w:tc>
        <w:tc>
          <w:tcPr>
            <w:tcW w:w="1045" w:type="dxa"/>
            <w:vAlign w:val="center"/>
          </w:tcPr>
          <w:p w14:paraId="6F7B5907">
            <w:pPr>
              <w:jc w:val="center"/>
              <w:rPr>
                <w:color w:val="auto"/>
                <w:sz w:val="18"/>
                <w:szCs w:val="18"/>
              </w:rPr>
            </w:pPr>
            <w:r>
              <w:rPr>
                <w:rFonts w:hint="eastAsia"/>
                <w:color w:val="auto"/>
                <w:sz w:val="18"/>
                <w:szCs w:val="18"/>
              </w:rPr>
              <w:t>考查</w:t>
            </w:r>
          </w:p>
        </w:tc>
      </w:tr>
      <w:tr w14:paraId="53E2D8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C829D3E">
            <w:pPr>
              <w:jc w:val="center"/>
              <w:rPr>
                <w:b/>
                <w:color w:val="auto"/>
                <w:sz w:val="18"/>
                <w:szCs w:val="18"/>
              </w:rPr>
            </w:pPr>
          </w:p>
        </w:tc>
        <w:tc>
          <w:tcPr>
            <w:tcW w:w="1226" w:type="dxa"/>
            <w:vMerge w:val="continue"/>
            <w:vAlign w:val="center"/>
          </w:tcPr>
          <w:p w14:paraId="3BD50A25">
            <w:pPr>
              <w:jc w:val="left"/>
              <w:rPr>
                <w:b/>
                <w:bCs/>
                <w:color w:val="auto"/>
                <w:sz w:val="18"/>
                <w:szCs w:val="18"/>
              </w:rPr>
            </w:pPr>
          </w:p>
        </w:tc>
        <w:tc>
          <w:tcPr>
            <w:tcW w:w="3516" w:type="dxa"/>
          </w:tcPr>
          <w:p w14:paraId="7F7E4518">
            <w:pPr>
              <w:spacing w:before="75" w:line="219" w:lineRule="auto"/>
              <w:rPr>
                <w:color w:val="auto"/>
              </w:rPr>
            </w:pPr>
            <w:r>
              <w:rPr>
                <w:rFonts w:ascii="宋体" w:hAnsi="宋体" w:cs="宋体"/>
                <w:color w:val="auto"/>
                <w:spacing w:val="-2"/>
                <w:sz w:val="18"/>
                <w:szCs w:val="18"/>
              </w:rPr>
              <w:t>老年社会学</w:t>
            </w:r>
          </w:p>
        </w:tc>
        <w:tc>
          <w:tcPr>
            <w:tcW w:w="1081" w:type="dxa"/>
            <w:shd w:val="clear" w:color="auto" w:fill="auto"/>
            <w:vAlign w:val="center"/>
          </w:tcPr>
          <w:p w14:paraId="2CBBB562">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005</w:t>
            </w:r>
          </w:p>
        </w:tc>
        <w:tc>
          <w:tcPr>
            <w:tcW w:w="709" w:type="dxa"/>
            <w:vAlign w:val="center"/>
          </w:tcPr>
          <w:p w14:paraId="01C6A204">
            <w:pPr>
              <w:jc w:val="center"/>
              <w:rPr>
                <w:color w:val="auto"/>
                <w:sz w:val="18"/>
                <w:szCs w:val="18"/>
              </w:rPr>
            </w:pPr>
            <w:r>
              <w:rPr>
                <w:rFonts w:hint="eastAsia"/>
                <w:color w:val="auto"/>
                <w:sz w:val="18"/>
                <w:szCs w:val="18"/>
              </w:rPr>
              <w:t>2</w:t>
            </w:r>
          </w:p>
        </w:tc>
        <w:tc>
          <w:tcPr>
            <w:tcW w:w="709" w:type="dxa"/>
            <w:vAlign w:val="center"/>
          </w:tcPr>
          <w:p w14:paraId="2888A692">
            <w:pPr>
              <w:jc w:val="center"/>
              <w:rPr>
                <w:color w:val="auto"/>
                <w:sz w:val="18"/>
                <w:szCs w:val="18"/>
              </w:rPr>
            </w:pPr>
            <w:r>
              <w:rPr>
                <w:rFonts w:hint="eastAsia"/>
                <w:color w:val="auto"/>
                <w:sz w:val="18"/>
                <w:szCs w:val="18"/>
              </w:rPr>
              <w:t>3</w:t>
            </w:r>
          </w:p>
        </w:tc>
        <w:tc>
          <w:tcPr>
            <w:tcW w:w="1045" w:type="dxa"/>
            <w:vAlign w:val="center"/>
          </w:tcPr>
          <w:p w14:paraId="580F5AF4">
            <w:pPr>
              <w:jc w:val="center"/>
              <w:rPr>
                <w:color w:val="auto"/>
                <w:sz w:val="18"/>
                <w:szCs w:val="18"/>
              </w:rPr>
            </w:pPr>
            <w:r>
              <w:rPr>
                <w:rFonts w:hint="eastAsia"/>
                <w:color w:val="auto"/>
                <w:sz w:val="18"/>
                <w:szCs w:val="18"/>
              </w:rPr>
              <w:t>考查</w:t>
            </w:r>
          </w:p>
        </w:tc>
      </w:tr>
      <w:tr w14:paraId="23DC5B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0317AFF3">
            <w:pPr>
              <w:jc w:val="center"/>
              <w:rPr>
                <w:b/>
                <w:color w:val="auto"/>
                <w:sz w:val="18"/>
                <w:szCs w:val="18"/>
              </w:rPr>
            </w:pPr>
            <w:bookmarkStart w:id="3" w:name="_GoBack" w:colFirst="2" w:colLast="5"/>
            <w:r>
              <w:rPr>
                <w:b/>
                <w:color w:val="auto"/>
                <w:sz w:val="18"/>
                <w:szCs w:val="18"/>
              </w:rPr>
              <w:t>非学位课</w:t>
            </w:r>
          </w:p>
        </w:tc>
        <w:tc>
          <w:tcPr>
            <w:tcW w:w="1226" w:type="dxa"/>
            <w:vMerge w:val="restart"/>
            <w:vAlign w:val="center"/>
          </w:tcPr>
          <w:p w14:paraId="041D5D3C">
            <w:pPr>
              <w:jc w:val="left"/>
              <w:rPr>
                <w:b/>
                <w:bCs/>
                <w:color w:val="auto"/>
                <w:sz w:val="18"/>
                <w:szCs w:val="18"/>
              </w:rPr>
            </w:pPr>
            <w:r>
              <w:rPr>
                <w:b/>
                <w:bCs/>
                <w:color w:val="auto"/>
                <w:sz w:val="18"/>
                <w:szCs w:val="18"/>
              </w:rPr>
              <w:t>公共通识课</w:t>
            </w:r>
          </w:p>
          <w:p w14:paraId="17720A0C">
            <w:pPr>
              <w:jc w:val="left"/>
              <w:rPr>
                <w:b/>
                <w:bCs/>
                <w:color w:val="auto"/>
                <w:sz w:val="18"/>
                <w:szCs w:val="18"/>
              </w:rPr>
            </w:pPr>
            <w:r>
              <w:rPr>
                <w:b/>
                <w:bCs/>
                <w:color w:val="auto"/>
                <w:sz w:val="18"/>
                <w:szCs w:val="18"/>
              </w:rPr>
              <w:t>（2学分）</w:t>
            </w:r>
          </w:p>
        </w:tc>
        <w:tc>
          <w:tcPr>
            <w:tcW w:w="3516" w:type="dxa"/>
            <w:vAlign w:val="center"/>
          </w:tcPr>
          <w:p w14:paraId="300320BB">
            <w:pPr>
              <w:rPr>
                <w:color w:val="auto"/>
                <w:sz w:val="18"/>
                <w:szCs w:val="18"/>
              </w:rPr>
            </w:pPr>
            <w:r>
              <w:rPr>
                <w:color w:val="000000" w:themeColor="text1"/>
                <w:sz w:val="18"/>
                <w:szCs w:val="18"/>
                <w14:textFill>
                  <w14:solidFill>
                    <w14:schemeClr w14:val="tx1"/>
                  </w14:solidFill>
                </w14:textFill>
              </w:rPr>
              <w:t>《习近平谈治国理政》研读</w:t>
            </w:r>
          </w:p>
        </w:tc>
        <w:tc>
          <w:tcPr>
            <w:tcW w:w="1081" w:type="dxa"/>
            <w:shd w:val="clear" w:color="auto" w:fill="auto"/>
            <w:vAlign w:val="center"/>
          </w:tcPr>
          <w:p w14:paraId="04F0BD52">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94E1010">
            <w:pPr>
              <w:jc w:val="center"/>
              <w:rPr>
                <w:color w:val="auto"/>
                <w:sz w:val="18"/>
                <w:szCs w:val="18"/>
              </w:rPr>
            </w:pPr>
            <w:r>
              <w:rPr>
                <w:color w:val="000000" w:themeColor="text1"/>
                <w:sz w:val="18"/>
                <w:szCs w:val="18"/>
                <w14:textFill>
                  <w14:solidFill>
                    <w14:schemeClr w14:val="tx1"/>
                  </w14:solidFill>
                </w14:textFill>
              </w:rPr>
              <w:t>1</w:t>
            </w:r>
          </w:p>
        </w:tc>
        <w:tc>
          <w:tcPr>
            <w:tcW w:w="709" w:type="dxa"/>
            <w:vAlign w:val="center"/>
          </w:tcPr>
          <w:p w14:paraId="30BD538B">
            <w:pPr>
              <w:jc w:val="center"/>
              <w:rPr>
                <w:color w:val="auto"/>
                <w:sz w:val="18"/>
                <w:szCs w:val="18"/>
              </w:rPr>
            </w:pPr>
            <w:r>
              <w:rPr>
                <w:color w:val="000000" w:themeColor="text1"/>
                <w:sz w:val="18"/>
                <w:szCs w:val="18"/>
                <w14:textFill>
                  <w14:solidFill>
                    <w14:schemeClr w14:val="tx1"/>
                  </w14:solidFill>
                </w14:textFill>
              </w:rPr>
              <w:t>2</w:t>
            </w:r>
          </w:p>
        </w:tc>
        <w:tc>
          <w:tcPr>
            <w:tcW w:w="1045" w:type="dxa"/>
            <w:vAlign w:val="center"/>
          </w:tcPr>
          <w:p w14:paraId="7BC1F276">
            <w:pPr>
              <w:jc w:val="center"/>
              <w:rPr>
                <w:color w:val="auto"/>
                <w:sz w:val="18"/>
                <w:szCs w:val="18"/>
              </w:rPr>
            </w:pPr>
            <w:r>
              <w:rPr>
                <w:rFonts w:hint="eastAsia"/>
                <w:color w:val="auto"/>
                <w:sz w:val="18"/>
                <w:szCs w:val="18"/>
              </w:rPr>
              <w:t>考查</w:t>
            </w:r>
          </w:p>
        </w:tc>
      </w:tr>
      <w:tr w14:paraId="617B54B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59423DD">
            <w:pPr>
              <w:jc w:val="center"/>
              <w:rPr>
                <w:b/>
                <w:color w:val="auto"/>
                <w:sz w:val="18"/>
                <w:szCs w:val="18"/>
              </w:rPr>
            </w:pPr>
          </w:p>
        </w:tc>
        <w:tc>
          <w:tcPr>
            <w:tcW w:w="1226" w:type="dxa"/>
            <w:vMerge w:val="continue"/>
            <w:vAlign w:val="center"/>
          </w:tcPr>
          <w:p w14:paraId="30CF8960">
            <w:pPr>
              <w:jc w:val="left"/>
              <w:rPr>
                <w:b/>
                <w:bCs/>
                <w:color w:val="auto"/>
                <w:sz w:val="18"/>
                <w:szCs w:val="18"/>
              </w:rPr>
            </w:pPr>
          </w:p>
        </w:tc>
        <w:tc>
          <w:tcPr>
            <w:tcW w:w="3516" w:type="dxa"/>
            <w:vAlign w:val="center"/>
          </w:tcPr>
          <w:p w14:paraId="36AE7AAA">
            <w:pPr>
              <w:rPr>
                <w:color w:val="auto"/>
                <w:sz w:val="18"/>
                <w:szCs w:val="18"/>
              </w:rPr>
            </w:pPr>
            <w:r>
              <w:rPr>
                <w:color w:val="000000" w:themeColor="text1"/>
                <w:sz w:val="18"/>
                <w:szCs w:val="18"/>
                <w14:textFill>
                  <w14:solidFill>
                    <w14:schemeClr w14:val="tx1"/>
                  </w14:solidFill>
                </w14:textFill>
              </w:rPr>
              <w:t>马克思主义与社会科学方法论</w:t>
            </w:r>
          </w:p>
        </w:tc>
        <w:tc>
          <w:tcPr>
            <w:tcW w:w="1081" w:type="dxa"/>
            <w:shd w:val="clear" w:color="auto" w:fill="auto"/>
            <w:vAlign w:val="center"/>
          </w:tcPr>
          <w:p w14:paraId="5E16126B">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4E2502D4">
            <w:pPr>
              <w:jc w:val="center"/>
              <w:rPr>
                <w:color w:val="auto"/>
                <w:sz w:val="18"/>
                <w:szCs w:val="18"/>
              </w:rPr>
            </w:pPr>
            <w:r>
              <w:rPr>
                <w:color w:val="000000" w:themeColor="text1"/>
                <w:sz w:val="18"/>
                <w:szCs w:val="18"/>
                <w14:textFill>
                  <w14:solidFill>
                    <w14:schemeClr w14:val="tx1"/>
                  </w14:solidFill>
                </w14:textFill>
              </w:rPr>
              <w:t>1</w:t>
            </w:r>
          </w:p>
        </w:tc>
        <w:tc>
          <w:tcPr>
            <w:tcW w:w="709" w:type="dxa"/>
            <w:vAlign w:val="center"/>
          </w:tcPr>
          <w:p w14:paraId="41C7FCB4">
            <w:pPr>
              <w:jc w:val="center"/>
              <w:rPr>
                <w:color w:val="auto"/>
                <w:sz w:val="18"/>
                <w:szCs w:val="18"/>
              </w:rPr>
            </w:pPr>
            <w:r>
              <w:rPr>
                <w:color w:val="000000" w:themeColor="text1"/>
                <w:sz w:val="18"/>
                <w:szCs w:val="18"/>
                <w14:textFill>
                  <w14:solidFill>
                    <w14:schemeClr w14:val="tx1"/>
                  </w14:solidFill>
                </w14:textFill>
              </w:rPr>
              <w:t>2</w:t>
            </w:r>
          </w:p>
        </w:tc>
        <w:tc>
          <w:tcPr>
            <w:tcW w:w="1045" w:type="dxa"/>
            <w:vAlign w:val="center"/>
          </w:tcPr>
          <w:p w14:paraId="69887EDC">
            <w:pPr>
              <w:jc w:val="center"/>
              <w:rPr>
                <w:color w:val="auto"/>
                <w:sz w:val="18"/>
                <w:szCs w:val="18"/>
              </w:rPr>
            </w:pPr>
            <w:r>
              <w:rPr>
                <w:rFonts w:hint="eastAsia"/>
                <w:color w:val="auto"/>
                <w:sz w:val="18"/>
                <w:szCs w:val="18"/>
              </w:rPr>
              <w:t>考查</w:t>
            </w:r>
          </w:p>
        </w:tc>
      </w:tr>
      <w:bookmarkEnd w:id="3"/>
      <w:tr w14:paraId="6793FB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71BE6F">
            <w:pPr>
              <w:rPr>
                <w:b/>
                <w:color w:val="auto"/>
                <w:sz w:val="18"/>
                <w:szCs w:val="18"/>
              </w:rPr>
            </w:pPr>
          </w:p>
        </w:tc>
        <w:tc>
          <w:tcPr>
            <w:tcW w:w="1226" w:type="dxa"/>
            <w:vMerge w:val="restart"/>
            <w:vAlign w:val="center"/>
          </w:tcPr>
          <w:p w14:paraId="252A2E87">
            <w:pPr>
              <w:jc w:val="left"/>
              <w:rPr>
                <w:b/>
                <w:bCs/>
                <w:color w:val="auto"/>
                <w:sz w:val="18"/>
                <w:szCs w:val="18"/>
              </w:rPr>
            </w:pPr>
            <w:r>
              <w:rPr>
                <w:rFonts w:hint="eastAsia"/>
                <w:b/>
                <w:bCs/>
                <w:color w:val="auto"/>
                <w:sz w:val="18"/>
                <w:szCs w:val="18"/>
              </w:rPr>
              <w:t>专业选修课</w:t>
            </w:r>
          </w:p>
          <w:p w14:paraId="650AC778">
            <w:pPr>
              <w:jc w:val="left"/>
              <w:rPr>
                <w:b/>
                <w:bCs/>
                <w:color w:val="auto"/>
                <w:sz w:val="18"/>
                <w:szCs w:val="18"/>
              </w:rPr>
            </w:pPr>
            <w:r>
              <w:rPr>
                <w:rFonts w:hint="eastAsia"/>
                <w:b/>
                <w:bCs/>
                <w:color w:val="auto"/>
                <w:sz w:val="18"/>
                <w:szCs w:val="18"/>
              </w:rPr>
              <w:t>（</w:t>
            </w:r>
            <w:r>
              <w:rPr>
                <w:rFonts w:hint="eastAsia"/>
                <w:b/>
                <w:bCs/>
                <w:color w:val="auto"/>
                <w:sz w:val="18"/>
                <w:szCs w:val="18"/>
                <w:lang w:val="en-US" w:eastAsia="zh-CN"/>
              </w:rPr>
              <w:t>12</w:t>
            </w:r>
            <w:r>
              <w:rPr>
                <w:b/>
                <w:bCs/>
                <w:color w:val="auto"/>
                <w:sz w:val="18"/>
                <w:szCs w:val="18"/>
              </w:rPr>
              <w:t>学分</w:t>
            </w:r>
            <w:r>
              <w:rPr>
                <w:rFonts w:hint="eastAsia"/>
                <w:b/>
                <w:bCs/>
                <w:color w:val="auto"/>
                <w:sz w:val="18"/>
                <w:szCs w:val="18"/>
              </w:rPr>
              <w:t>）</w:t>
            </w:r>
          </w:p>
          <w:p w14:paraId="78F14355">
            <w:pPr>
              <w:jc w:val="left"/>
              <w:rPr>
                <w:b/>
                <w:bCs/>
                <w:color w:val="auto"/>
                <w:sz w:val="18"/>
                <w:szCs w:val="18"/>
              </w:rPr>
            </w:pPr>
          </w:p>
        </w:tc>
        <w:tc>
          <w:tcPr>
            <w:tcW w:w="3516" w:type="dxa"/>
            <w:shd w:val="clear" w:color="auto" w:fill="auto"/>
            <w:vAlign w:val="center"/>
          </w:tcPr>
          <w:p w14:paraId="760FD784">
            <w:pPr>
              <w:spacing w:before="73" w:line="219" w:lineRule="auto"/>
              <w:rPr>
                <w:rFonts w:ascii="宋体" w:hAnsi="宋体" w:cs="宋体"/>
                <w:color w:val="auto"/>
                <w:spacing w:val="-2"/>
                <w:sz w:val="18"/>
                <w:szCs w:val="18"/>
              </w:rPr>
            </w:pPr>
            <w:r>
              <w:rPr>
                <w:rFonts w:hint="eastAsia" w:ascii="宋体" w:hAnsi="宋体" w:cs="宋体"/>
                <w:color w:val="auto"/>
                <w:spacing w:val="-2"/>
                <w:sz w:val="18"/>
                <w:szCs w:val="18"/>
              </w:rPr>
              <w:t>质性研究</w:t>
            </w:r>
          </w:p>
        </w:tc>
        <w:tc>
          <w:tcPr>
            <w:tcW w:w="1081" w:type="dxa"/>
            <w:shd w:val="clear" w:color="auto" w:fill="auto"/>
            <w:vAlign w:val="center"/>
          </w:tcPr>
          <w:p w14:paraId="39887533">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10</w:t>
            </w:r>
          </w:p>
        </w:tc>
        <w:tc>
          <w:tcPr>
            <w:tcW w:w="709" w:type="dxa"/>
            <w:vAlign w:val="center"/>
          </w:tcPr>
          <w:p w14:paraId="0A92EFDD">
            <w:pPr>
              <w:jc w:val="center"/>
              <w:rPr>
                <w:color w:val="auto"/>
                <w:sz w:val="18"/>
                <w:szCs w:val="18"/>
              </w:rPr>
            </w:pPr>
            <w:r>
              <w:rPr>
                <w:rFonts w:hint="eastAsia"/>
                <w:color w:val="auto"/>
                <w:sz w:val="18"/>
                <w:szCs w:val="18"/>
              </w:rPr>
              <w:t>2</w:t>
            </w:r>
          </w:p>
        </w:tc>
        <w:tc>
          <w:tcPr>
            <w:tcW w:w="709" w:type="dxa"/>
            <w:vAlign w:val="center"/>
          </w:tcPr>
          <w:p w14:paraId="3B4DBE6D">
            <w:pPr>
              <w:jc w:val="center"/>
              <w:rPr>
                <w:color w:val="auto"/>
                <w:sz w:val="18"/>
                <w:szCs w:val="18"/>
              </w:rPr>
            </w:pPr>
            <w:r>
              <w:rPr>
                <w:rFonts w:hint="eastAsia"/>
                <w:color w:val="auto"/>
                <w:sz w:val="18"/>
                <w:szCs w:val="18"/>
              </w:rPr>
              <w:t>2</w:t>
            </w:r>
          </w:p>
        </w:tc>
        <w:tc>
          <w:tcPr>
            <w:tcW w:w="1045" w:type="dxa"/>
            <w:vMerge w:val="restart"/>
            <w:shd w:val="clear" w:color="auto" w:fill="auto"/>
            <w:vAlign w:val="center"/>
          </w:tcPr>
          <w:p w14:paraId="43B2A54E">
            <w:pPr>
              <w:jc w:val="center"/>
              <w:rPr>
                <w:rFonts w:hint="default" w:eastAsia="宋体"/>
                <w:color w:val="auto"/>
                <w:sz w:val="18"/>
                <w:szCs w:val="18"/>
                <w:lang w:val="en-US" w:eastAsia="zh-CN"/>
              </w:rPr>
            </w:pPr>
            <w:r>
              <w:rPr>
                <w:rFonts w:hint="eastAsia"/>
                <w:color w:val="auto"/>
                <w:sz w:val="18"/>
                <w:szCs w:val="18"/>
                <w:lang w:val="en-US" w:eastAsia="zh-CN"/>
              </w:rPr>
              <w:t>至少选修12学分</w:t>
            </w:r>
          </w:p>
        </w:tc>
      </w:tr>
      <w:tr w14:paraId="4C48DE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8934B9">
            <w:pPr>
              <w:rPr>
                <w:b/>
                <w:color w:val="auto"/>
                <w:sz w:val="18"/>
                <w:szCs w:val="18"/>
              </w:rPr>
            </w:pPr>
          </w:p>
        </w:tc>
        <w:tc>
          <w:tcPr>
            <w:tcW w:w="1226" w:type="dxa"/>
            <w:vMerge w:val="continue"/>
            <w:vAlign w:val="center"/>
          </w:tcPr>
          <w:p w14:paraId="7B99250A">
            <w:pPr>
              <w:adjustRightInd w:val="0"/>
              <w:snapToGrid w:val="0"/>
              <w:jc w:val="center"/>
              <w:rPr>
                <w:b/>
                <w:color w:val="auto"/>
                <w:sz w:val="18"/>
                <w:szCs w:val="18"/>
              </w:rPr>
            </w:pPr>
          </w:p>
        </w:tc>
        <w:tc>
          <w:tcPr>
            <w:tcW w:w="3516" w:type="dxa"/>
            <w:shd w:val="clear" w:color="auto" w:fill="auto"/>
            <w:vAlign w:val="center"/>
          </w:tcPr>
          <w:p w14:paraId="0227C8D9">
            <w:pPr>
              <w:spacing w:before="73" w:line="219" w:lineRule="auto"/>
              <w:rPr>
                <w:rFonts w:ascii="宋体" w:hAnsi="宋体" w:cs="宋体"/>
                <w:color w:val="auto"/>
                <w:spacing w:val="-2"/>
                <w:sz w:val="18"/>
                <w:szCs w:val="18"/>
              </w:rPr>
            </w:pPr>
            <w:r>
              <w:rPr>
                <w:rFonts w:hint="eastAsia" w:ascii="宋体" w:hAnsi="宋体" w:cs="宋体"/>
                <w:color w:val="auto"/>
                <w:spacing w:val="-2"/>
                <w:sz w:val="18"/>
                <w:szCs w:val="18"/>
              </w:rPr>
              <w:t>SPSS软件应用</w:t>
            </w:r>
          </w:p>
        </w:tc>
        <w:tc>
          <w:tcPr>
            <w:tcW w:w="1081" w:type="dxa"/>
            <w:shd w:val="clear" w:color="auto" w:fill="auto"/>
            <w:vAlign w:val="center"/>
          </w:tcPr>
          <w:p w14:paraId="4344E0DB">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11</w:t>
            </w:r>
          </w:p>
        </w:tc>
        <w:tc>
          <w:tcPr>
            <w:tcW w:w="709" w:type="dxa"/>
            <w:vAlign w:val="center"/>
          </w:tcPr>
          <w:p w14:paraId="2D03D71A">
            <w:pPr>
              <w:jc w:val="center"/>
              <w:rPr>
                <w:color w:val="auto"/>
                <w:sz w:val="18"/>
                <w:szCs w:val="18"/>
              </w:rPr>
            </w:pPr>
            <w:r>
              <w:rPr>
                <w:rFonts w:hint="eastAsia"/>
                <w:color w:val="auto"/>
                <w:sz w:val="18"/>
                <w:szCs w:val="18"/>
              </w:rPr>
              <w:t>2</w:t>
            </w:r>
          </w:p>
        </w:tc>
        <w:tc>
          <w:tcPr>
            <w:tcW w:w="709" w:type="dxa"/>
            <w:vAlign w:val="center"/>
          </w:tcPr>
          <w:p w14:paraId="173D29B5">
            <w:pPr>
              <w:jc w:val="center"/>
              <w:rPr>
                <w:color w:val="auto"/>
                <w:sz w:val="18"/>
                <w:szCs w:val="18"/>
              </w:rPr>
            </w:pPr>
            <w:r>
              <w:rPr>
                <w:rFonts w:hint="eastAsia"/>
                <w:color w:val="auto"/>
                <w:sz w:val="18"/>
                <w:szCs w:val="18"/>
              </w:rPr>
              <w:t>2</w:t>
            </w:r>
          </w:p>
        </w:tc>
        <w:tc>
          <w:tcPr>
            <w:tcW w:w="1045" w:type="dxa"/>
            <w:vMerge w:val="continue"/>
            <w:shd w:val="clear" w:color="auto" w:fill="auto"/>
            <w:vAlign w:val="center"/>
          </w:tcPr>
          <w:p w14:paraId="52020104">
            <w:pPr>
              <w:jc w:val="center"/>
              <w:rPr>
                <w:color w:val="auto"/>
                <w:sz w:val="18"/>
                <w:szCs w:val="18"/>
              </w:rPr>
            </w:pPr>
          </w:p>
        </w:tc>
      </w:tr>
      <w:tr w14:paraId="3590F4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56FD715">
            <w:pPr>
              <w:rPr>
                <w:b/>
                <w:color w:val="auto"/>
                <w:sz w:val="18"/>
                <w:szCs w:val="18"/>
              </w:rPr>
            </w:pPr>
          </w:p>
        </w:tc>
        <w:tc>
          <w:tcPr>
            <w:tcW w:w="1226" w:type="dxa"/>
            <w:vMerge w:val="continue"/>
            <w:vAlign w:val="center"/>
          </w:tcPr>
          <w:p w14:paraId="018BB9C2">
            <w:pPr>
              <w:adjustRightInd w:val="0"/>
              <w:snapToGrid w:val="0"/>
              <w:jc w:val="center"/>
              <w:rPr>
                <w:b/>
                <w:color w:val="auto"/>
                <w:sz w:val="18"/>
                <w:szCs w:val="18"/>
              </w:rPr>
            </w:pPr>
          </w:p>
        </w:tc>
        <w:tc>
          <w:tcPr>
            <w:tcW w:w="3516" w:type="dxa"/>
            <w:shd w:val="clear" w:color="auto" w:fill="auto"/>
            <w:vAlign w:val="center"/>
          </w:tcPr>
          <w:p w14:paraId="190704A3">
            <w:pPr>
              <w:spacing w:before="73" w:line="219" w:lineRule="auto"/>
              <w:rPr>
                <w:rFonts w:ascii="宋体" w:hAnsi="宋体" w:cs="宋体"/>
                <w:color w:val="auto"/>
                <w:spacing w:val="-2"/>
                <w:sz w:val="18"/>
                <w:szCs w:val="18"/>
              </w:rPr>
            </w:pPr>
            <w:r>
              <w:rPr>
                <w:rFonts w:hint="eastAsia" w:ascii="宋体" w:hAnsi="宋体" w:cs="宋体"/>
                <w:color w:val="auto"/>
                <w:spacing w:val="-2"/>
                <w:sz w:val="18"/>
                <w:szCs w:val="18"/>
              </w:rPr>
              <w:t>人口社会学</w:t>
            </w:r>
          </w:p>
        </w:tc>
        <w:tc>
          <w:tcPr>
            <w:tcW w:w="1081" w:type="dxa"/>
            <w:shd w:val="clear" w:color="auto" w:fill="auto"/>
            <w:vAlign w:val="center"/>
          </w:tcPr>
          <w:p w14:paraId="71785B31">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12</w:t>
            </w:r>
          </w:p>
        </w:tc>
        <w:tc>
          <w:tcPr>
            <w:tcW w:w="709" w:type="dxa"/>
            <w:vAlign w:val="center"/>
          </w:tcPr>
          <w:p w14:paraId="7CAF9088">
            <w:pPr>
              <w:jc w:val="center"/>
              <w:rPr>
                <w:color w:val="auto"/>
                <w:sz w:val="18"/>
                <w:szCs w:val="18"/>
              </w:rPr>
            </w:pPr>
            <w:r>
              <w:rPr>
                <w:rFonts w:hint="eastAsia"/>
                <w:color w:val="auto"/>
                <w:sz w:val="18"/>
                <w:szCs w:val="18"/>
              </w:rPr>
              <w:t>2</w:t>
            </w:r>
          </w:p>
        </w:tc>
        <w:tc>
          <w:tcPr>
            <w:tcW w:w="709" w:type="dxa"/>
            <w:vAlign w:val="center"/>
          </w:tcPr>
          <w:p w14:paraId="55CA9418">
            <w:pPr>
              <w:jc w:val="center"/>
              <w:rPr>
                <w:color w:val="auto"/>
                <w:sz w:val="18"/>
                <w:szCs w:val="18"/>
              </w:rPr>
            </w:pPr>
            <w:r>
              <w:rPr>
                <w:rFonts w:hint="eastAsia"/>
                <w:color w:val="auto"/>
                <w:sz w:val="18"/>
                <w:szCs w:val="18"/>
              </w:rPr>
              <w:t>2</w:t>
            </w:r>
          </w:p>
        </w:tc>
        <w:tc>
          <w:tcPr>
            <w:tcW w:w="1045" w:type="dxa"/>
            <w:vMerge w:val="continue"/>
            <w:shd w:val="clear" w:color="auto" w:fill="auto"/>
            <w:vAlign w:val="center"/>
          </w:tcPr>
          <w:p w14:paraId="4D2CEC49">
            <w:pPr>
              <w:jc w:val="center"/>
              <w:rPr>
                <w:color w:val="auto"/>
                <w:sz w:val="18"/>
                <w:szCs w:val="18"/>
              </w:rPr>
            </w:pPr>
          </w:p>
        </w:tc>
      </w:tr>
      <w:tr w14:paraId="6BDBCC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5B00028">
            <w:pPr>
              <w:rPr>
                <w:b/>
                <w:color w:val="auto"/>
                <w:sz w:val="18"/>
                <w:szCs w:val="18"/>
              </w:rPr>
            </w:pPr>
          </w:p>
        </w:tc>
        <w:tc>
          <w:tcPr>
            <w:tcW w:w="1226" w:type="dxa"/>
            <w:vMerge w:val="continue"/>
            <w:vAlign w:val="center"/>
          </w:tcPr>
          <w:p w14:paraId="489F4C11">
            <w:pPr>
              <w:adjustRightInd w:val="0"/>
              <w:snapToGrid w:val="0"/>
              <w:jc w:val="center"/>
              <w:rPr>
                <w:b/>
                <w:color w:val="auto"/>
                <w:sz w:val="18"/>
                <w:szCs w:val="18"/>
              </w:rPr>
            </w:pPr>
          </w:p>
        </w:tc>
        <w:tc>
          <w:tcPr>
            <w:tcW w:w="3516" w:type="dxa"/>
            <w:shd w:val="clear" w:color="auto" w:fill="auto"/>
            <w:vAlign w:val="center"/>
          </w:tcPr>
          <w:p w14:paraId="6E34A4DD">
            <w:pPr>
              <w:spacing w:before="73" w:line="219" w:lineRule="auto"/>
              <w:rPr>
                <w:rFonts w:ascii="宋体" w:hAnsi="宋体" w:cs="宋体"/>
                <w:color w:val="auto"/>
                <w:spacing w:val="-2"/>
                <w:sz w:val="18"/>
                <w:szCs w:val="18"/>
              </w:rPr>
            </w:pPr>
            <w:r>
              <w:rPr>
                <w:rFonts w:ascii="宋体" w:hAnsi="宋体" w:cs="宋体"/>
                <w:color w:val="auto"/>
                <w:spacing w:val="-2"/>
                <w:sz w:val="18"/>
                <w:szCs w:val="18"/>
              </w:rPr>
              <w:t>人口老龄化与社会保障</w:t>
            </w:r>
          </w:p>
        </w:tc>
        <w:tc>
          <w:tcPr>
            <w:tcW w:w="1081" w:type="dxa"/>
            <w:shd w:val="clear" w:color="auto" w:fill="auto"/>
            <w:vAlign w:val="center"/>
          </w:tcPr>
          <w:p w14:paraId="6FAF9FA1">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13</w:t>
            </w:r>
          </w:p>
        </w:tc>
        <w:tc>
          <w:tcPr>
            <w:tcW w:w="709" w:type="dxa"/>
            <w:vAlign w:val="center"/>
          </w:tcPr>
          <w:p w14:paraId="7AC61C2C">
            <w:pPr>
              <w:jc w:val="center"/>
              <w:rPr>
                <w:color w:val="auto"/>
                <w:sz w:val="18"/>
                <w:szCs w:val="18"/>
              </w:rPr>
            </w:pPr>
            <w:r>
              <w:rPr>
                <w:rFonts w:hint="eastAsia"/>
                <w:color w:val="auto"/>
                <w:sz w:val="18"/>
                <w:szCs w:val="18"/>
              </w:rPr>
              <w:t>2</w:t>
            </w:r>
          </w:p>
        </w:tc>
        <w:tc>
          <w:tcPr>
            <w:tcW w:w="709" w:type="dxa"/>
            <w:vAlign w:val="center"/>
          </w:tcPr>
          <w:p w14:paraId="051A6E7E">
            <w:pPr>
              <w:jc w:val="center"/>
              <w:rPr>
                <w:color w:val="auto"/>
                <w:sz w:val="18"/>
                <w:szCs w:val="18"/>
              </w:rPr>
            </w:pPr>
            <w:r>
              <w:rPr>
                <w:rFonts w:hint="eastAsia"/>
                <w:color w:val="auto"/>
                <w:sz w:val="18"/>
                <w:szCs w:val="18"/>
              </w:rPr>
              <w:t>3</w:t>
            </w:r>
          </w:p>
        </w:tc>
        <w:tc>
          <w:tcPr>
            <w:tcW w:w="1045" w:type="dxa"/>
            <w:vMerge w:val="continue"/>
            <w:shd w:val="clear" w:color="auto" w:fill="auto"/>
            <w:vAlign w:val="center"/>
          </w:tcPr>
          <w:p w14:paraId="5A4CF22C">
            <w:pPr>
              <w:jc w:val="center"/>
              <w:rPr>
                <w:color w:val="auto"/>
                <w:sz w:val="18"/>
                <w:szCs w:val="18"/>
              </w:rPr>
            </w:pPr>
          </w:p>
        </w:tc>
      </w:tr>
      <w:tr w14:paraId="19FCC8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0" w:hRule="atLeast"/>
          <w:jc w:val="center"/>
        </w:trPr>
        <w:tc>
          <w:tcPr>
            <w:tcW w:w="571" w:type="dxa"/>
            <w:vMerge w:val="continue"/>
          </w:tcPr>
          <w:p w14:paraId="530A86AF">
            <w:pPr>
              <w:rPr>
                <w:b/>
                <w:color w:val="auto"/>
                <w:sz w:val="18"/>
                <w:szCs w:val="18"/>
              </w:rPr>
            </w:pPr>
          </w:p>
        </w:tc>
        <w:tc>
          <w:tcPr>
            <w:tcW w:w="1226" w:type="dxa"/>
            <w:vMerge w:val="continue"/>
          </w:tcPr>
          <w:p w14:paraId="7199BD87">
            <w:pPr>
              <w:jc w:val="center"/>
              <w:rPr>
                <w:b/>
                <w:color w:val="auto"/>
                <w:sz w:val="18"/>
                <w:szCs w:val="18"/>
              </w:rPr>
            </w:pPr>
          </w:p>
        </w:tc>
        <w:tc>
          <w:tcPr>
            <w:tcW w:w="3516" w:type="dxa"/>
            <w:shd w:val="clear" w:color="auto" w:fill="auto"/>
            <w:vAlign w:val="center"/>
          </w:tcPr>
          <w:p w14:paraId="19A5929C">
            <w:pPr>
              <w:spacing w:before="73" w:line="219" w:lineRule="auto"/>
              <w:rPr>
                <w:rFonts w:ascii="宋体" w:hAnsi="宋体" w:cs="宋体"/>
                <w:color w:val="auto"/>
                <w:spacing w:val="-2"/>
                <w:sz w:val="18"/>
                <w:szCs w:val="18"/>
              </w:rPr>
            </w:pPr>
            <w:r>
              <w:rPr>
                <w:rFonts w:hint="eastAsia" w:ascii="宋体" w:hAnsi="宋体" w:cs="宋体"/>
                <w:color w:val="auto"/>
                <w:spacing w:val="-2"/>
                <w:sz w:val="18"/>
                <w:szCs w:val="18"/>
              </w:rPr>
              <w:t>社会工作与社会政策</w:t>
            </w:r>
          </w:p>
        </w:tc>
        <w:tc>
          <w:tcPr>
            <w:tcW w:w="1081" w:type="dxa"/>
            <w:shd w:val="clear" w:color="auto" w:fill="auto"/>
            <w:vAlign w:val="center"/>
          </w:tcPr>
          <w:p w14:paraId="0B045238">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14</w:t>
            </w:r>
          </w:p>
        </w:tc>
        <w:tc>
          <w:tcPr>
            <w:tcW w:w="709" w:type="dxa"/>
            <w:vAlign w:val="center"/>
          </w:tcPr>
          <w:p w14:paraId="4D7998E2">
            <w:pPr>
              <w:jc w:val="center"/>
              <w:rPr>
                <w:color w:val="auto"/>
                <w:sz w:val="18"/>
                <w:szCs w:val="18"/>
              </w:rPr>
            </w:pPr>
            <w:r>
              <w:rPr>
                <w:rFonts w:hint="eastAsia"/>
                <w:color w:val="auto"/>
                <w:sz w:val="18"/>
                <w:szCs w:val="18"/>
              </w:rPr>
              <w:t>2</w:t>
            </w:r>
          </w:p>
        </w:tc>
        <w:tc>
          <w:tcPr>
            <w:tcW w:w="709" w:type="dxa"/>
            <w:vAlign w:val="center"/>
          </w:tcPr>
          <w:p w14:paraId="7CAF9869">
            <w:pPr>
              <w:jc w:val="center"/>
              <w:rPr>
                <w:color w:val="auto"/>
                <w:sz w:val="18"/>
                <w:szCs w:val="18"/>
              </w:rPr>
            </w:pPr>
            <w:r>
              <w:rPr>
                <w:rFonts w:hint="eastAsia"/>
                <w:color w:val="auto"/>
                <w:sz w:val="18"/>
                <w:szCs w:val="18"/>
              </w:rPr>
              <w:t>3</w:t>
            </w:r>
          </w:p>
        </w:tc>
        <w:tc>
          <w:tcPr>
            <w:tcW w:w="1045" w:type="dxa"/>
            <w:vMerge w:val="continue"/>
            <w:shd w:val="clear" w:color="auto" w:fill="auto"/>
            <w:vAlign w:val="center"/>
          </w:tcPr>
          <w:p w14:paraId="792B0FA7">
            <w:pPr>
              <w:jc w:val="center"/>
              <w:rPr>
                <w:color w:val="auto"/>
                <w:sz w:val="18"/>
                <w:szCs w:val="18"/>
              </w:rPr>
            </w:pPr>
          </w:p>
        </w:tc>
      </w:tr>
      <w:tr w14:paraId="5034E6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D84AFB">
            <w:pPr>
              <w:rPr>
                <w:b/>
                <w:color w:val="auto"/>
                <w:sz w:val="18"/>
                <w:szCs w:val="18"/>
              </w:rPr>
            </w:pPr>
          </w:p>
        </w:tc>
        <w:tc>
          <w:tcPr>
            <w:tcW w:w="1226" w:type="dxa"/>
            <w:vMerge w:val="continue"/>
          </w:tcPr>
          <w:p w14:paraId="6BCA7210">
            <w:pPr>
              <w:jc w:val="center"/>
              <w:rPr>
                <w:b/>
                <w:color w:val="auto"/>
                <w:sz w:val="18"/>
                <w:szCs w:val="18"/>
              </w:rPr>
            </w:pPr>
          </w:p>
        </w:tc>
        <w:tc>
          <w:tcPr>
            <w:tcW w:w="3516" w:type="dxa"/>
            <w:shd w:val="clear" w:color="auto" w:fill="auto"/>
            <w:vAlign w:val="center"/>
          </w:tcPr>
          <w:p w14:paraId="28484703">
            <w:pPr>
              <w:spacing w:before="73" w:line="219" w:lineRule="auto"/>
              <w:rPr>
                <w:rFonts w:ascii="宋体" w:hAnsi="宋体" w:cs="宋体"/>
                <w:color w:val="auto"/>
                <w:spacing w:val="-2"/>
                <w:sz w:val="18"/>
                <w:szCs w:val="18"/>
              </w:rPr>
            </w:pPr>
            <w:r>
              <w:rPr>
                <w:rFonts w:hint="eastAsia" w:ascii="宋体" w:hAnsi="宋体" w:cs="宋体"/>
                <w:color w:val="auto"/>
                <w:spacing w:val="-2"/>
                <w:sz w:val="18"/>
                <w:szCs w:val="18"/>
              </w:rPr>
              <w:t>社会问题</w:t>
            </w:r>
          </w:p>
        </w:tc>
        <w:tc>
          <w:tcPr>
            <w:tcW w:w="1081" w:type="dxa"/>
            <w:shd w:val="clear" w:color="auto" w:fill="auto"/>
            <w:vAlign w:val="center"/>
          </w:tcPr>
          <w:p w14:paraId="109CEF28">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15</w:t>
            </w:r>
          </w:p>
        </w:tc>
        <w:tc>
          <w:tcPr>
            <w:tcW w:w="709" w:type="dxa"/>
            <w:vAlign w:val="center"/>
          </w:tcPr>
          <w:p w14:paraId="481C6558">
            <w:pPr>
              <w:jc w:val="center"/>
              <w:rPr>
                <w:color w:val="auto"/>
                <w:sz w:val="18"/>
                <w:szCs w:val="18"/>
              </w:rPr>
            </w:pPr>
            <w:r>
              <w:rPr>
                <w:rFonts w:hint="eastAsia"/>
                <w:color w:val="auto"/>
                <w:sz w:val="18"/>
                <w:szCs w:val="18"/>
              </w:rPr>
              <w:t>2</w:t>
            </w:r>
          </w:p>
        </w:tc>
        <w:tc>
          <w:tcPr>
            <w:tcW w:w="709" w:type="dxa"/>
            <w:vAlign w:val="center"/>
          </w:tcPr>
          <w:p w14:paraId="5CB11FAA">
            <w:pPr>
              <w:jc w:val="center"/>
              <w:rPr>
                <w:color w:val="auto"/>
                <w:sz w:val="18"/>
                <w:szCs w:val="18"/>
              </w:rPr>
            </w:pPr>
            <w:r>
              <w:rPr>
                <w:rFonts w:hint="eastAsia"/>
                <w:color w:val="auto"/>
                <w:sz w:val="18"/>
                <w:szCs w:val="18"/>
              </w:rPr>
              <w:t>2</w:t>
            </w:r>
          </w:p>
        </w:tc>
        <w:tc>
          <w:tcPr>
            <w:tcW w:w="1045" w:type="dxa"/>
            <w:vMerge w:val="continue"/>
            <w:shd w:val="clear" w:color="auto" w:fill="auto"/>
            <w:vAlign w:val="center"/>
          </w:tcPr>
          <w:p w14:paraId="1A660895">
            <w:pPr>
              <w:jc w:val="center"/>
              <w:rPr>
                <w:color w:val="auto"/>
                <w:sz w:val="18"/>
                <w:szCs w:val="18"/>
              </w:rPr>
            </w:pPr>
          </w:p>
        </w:tc>
      </w:tr>
      <w:tr w14:paraId="777539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7BD59C6">
            <w:pPr>
              <w:rPr>
                <w:b/>
                <w:color w:val="auto"/>
                <w:sz w:val="18"/>
                <w:szCs w:val="18"/>
              </w:rPr>
            </w:pPr>
          </w:p>
        </w:tc>
        <w:tc>
          <w:tcPr>
            <w:tcW w:w="1226" w:type="dxa"/>
            <w:vMerge w:val="continue"/>
          </w:tcPr>
          <w:p w14:paraId="2DB1513D">
            <w:pPr>
              <w:jc w:val="center"/>
              <w:rPr>
                <w:b/>
                <w:color w:val="auto"/>
                <w:sz w:val="18"/>
                <w:szCs w:val="18"/>
              </w:rPr>
            </w:pPr>
          </w:p>
        </w:tc>
        <w:tc>
          <w:tcPr>
            <w:tcW w:w="3516" w:type="dxa"/>
            <w:shd w:val="clear" w:color="auto" w:fill="auto"/>
            <w:vAlign w:val="center"/>
          </w:tcPr>
          <w:p w14:paraId="76E219A5">
            <w:pPr>
              <w:spacing w:before="73" w:line="219" w:lineRule="auto"/>
              <w:rPr>
                <w:rFonts w:ascii="宋体" w:hAnsi="宋体" w:cs="宋体"/>
                <w:color w:val="auto"/>
                <w:spacing w:val="-2"/>
                <w:sz w:val="18"/>
                <w:szCs w:val="18"/>
              </w:rPr>
            </w:pPr>
            <w:r>
              <w:rPr>
                <w:rFonts w:hint="eastAsia" w:ascii="宋体" w:hAnsi="宋体" w:cs="宋体"/>
                <w:color w:val="auto"/>
                <w:spacing w:val="-2"/>
                <w:sz w:val="18"/>
                <w:szCs w:val="18"/>
              </w:rPr>
              <w:t>社会人类学</w:t>
            </w:r>
          </w:p>
        </w:tc>
        <w:tc>
          <w:tcPr>
            <w:tcW w:w="1081" w:type="dxa"/>
            <w:shd w:val="clear" w:color="auto" w:fill="auto"/>
            <w:vAlign w:val="center"/>
          </w:tcPr>
          <w:p w14:paraId="7612F4E0">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16</w:t>
            </w:r>
          </w:p>
        </w:tc>
        <w:tc>
          <w:tcPr>
            <w:tcW w:w="709" w:type="dxa"/>
            <w:vAlign w:val="center"/>
          </w:tcPr>
          <w:p w14:paraId="156B0F98">
            <w:pPr>
              <w:jc w:val="center"/>
              <w:rPr>
                <w:color w:val="auto"/>
                <w:sz w:val="18"/>
                <w:szCs w:val="18"/>
              </w:rPr>
            </w:pPr>
            <w:r>
              <w:rPr>
                <w:rFonts w:hint="eastAsia"/>
                <w:color w:val="auto"/>
                <w:sz w:val="18"/>
                <w:szCs w:val="18"/>
              </w:rPr>
              <w:t>2</w:t>
            </w:r>
          </w:p>
        </w:tc>
        <w:tc>
          <w:tcPr>
            <w:tcW w:w="709" w:type="dxa"/>
            <w:vAlign w:val="center"/>
          </w:tcPr>
          <w:p w14:paraId="00D2A924">
            <w:pPr>
              <w:jc w:val="center"/>
              <w:rPr>
                <w:color w:val="auto"/>
                <w:sz w:val="18"/>
                <w:szCs w:val="18"/>
              </w:rPr>
            </w:pPr>
            <w:r>
              <w:rPr>
                <w:rFonts w:hint="eastAsia"/>
                <w:color w:val="auto"/>
                <w:sz w:val="18"/>
                <w:szCs w:val="18"/>
              </w:rPr>
              <w:t>1</w:t>
            </w:r>
          </w:p>
        </w:tc>
        <w:tc>
          <w:tcPr>
            <w:tcW w:w="1045" w:type="dxa"/>
            <w:vMerge w:val="continue"/>
            <w:shd w:val="clear" w:color="auto" w:fill="auto"/>
            <w:vAlign w:val="center"/>
          </w:tcPr>
          <w:p w14:paraId="2F9CE198">
            <w:pPr>
              <w:jc w:val="center"/>
              <w:rPr>
                <w:color w:val="auto"/>
                <w:sz w:val="18"/>
                <w:szCs w:val="18"/>
              </w:rPr>
            </w:pPr>
          </w:p>
        </w:tc>
      </w:tr>
      <w:tr w14:paraId="0CEFAF7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B0665C5">
            <w:pPr>
              <w:rPr>
                <w:b/>
                <w:color w:val="auto"/>
                <w:sz w:val="18"/>
                <w:szCs w:val="18"/>
              </w:rPr>
            </w:pPr>
          </w:p>
        </w:tc>
        <w:tc>
          <w:tcPr>
            <w:tcW w:w="1226" w:type="dxa"/>
            <w:vMerge w:val="continue"/>
          </w:tcPr>
          <w:p w14:paraId="032B4289">
            <w:pPr>
              <w:jc w:val="center"/>
              <w:rPr>
                <w:b/>
                <w:color w:val="auto"/>
                <w:sz w:val="18"/>
                <w:szCs w:val="18"/>
              </w:rPr>
            </w:pPr>
          </w:p>
        </w:tc>
        <w:tc>
          <w:tcPr>
            <w:tcW w:w="3516" w:type="dxa"/>
            <w:shd w:val="clear" w:color="auto" w:fill="auto"/>
            <w:vAlign w:val="center"/>
          </w:tcPr>
          <w:p w14:paraId="570447B3">
            <w:pPr>
              <w:spacing w:before="73" w:line="219" w:lineRule="auto"/>
              <w:rPr>
                <w:rFonts w:ascii="宋体" w:hAnsi="宋体" w:cs="宋体"/>
                <w:color w:val="auto"/>
                <w:spacing w:val="-2"/>
                <w:sz w:val="18"/>
                <w:szCs w:val="18"/>
              </w:rPr>
            </w:pPr>
            <w:r>
              <w:rPr>
                <w:rFonts w:hint="eastAsia" w:ascii="宋体" w:hAnsi="宋体" w:cs="宋体"/>
                <w:color w:val="auto"/>
                <w:spacing w:val="-2"/>
                <w:sz w:val="18"/>
                <w:szCs w:val="18"/>
              </w:rPr>
              <w:t>生育文化学</w:t>
            </w:r>
          </w:p>
        </w:tc>
        <w:tc>
          <w:tcPr>
            <w:tcW w:w="1081" w:type="dxa"/>
            <w:vAlign w:val="center"/>
          </w:tcPr>
          <w:p w14:paraId="122029FC">
            <w:pPr>
              <w:jc w:val="center"/>
              <w:rPr>
                <w:rFonts w:hint="default" w:eastAsia="宋体"/>
                <w:i/>
                <w:color w:val="auto"/>
                <w:sz w:val="18"/>
                <w:szCs w:val="18"/>
                <w:lang w:val="en-US" w:eastAsia="zh-CN"/>
              </w:rPr>
            </w:pPr>
            <w:r>
              <w:rPr>
                <w:rFonts w:hint="eastAsia"/>
                <w:color w:val="auto"/>
                <w:sz w:val="18"/>
                <w:szCs w:val="18"/>
              </w:rPr>
              <w:t>XS290</w:t>
            </w:r>
            <w:r>
              <w:rPr>
                <w:rFonts w:hint="eastAsia"/>
                <w:color w:val="auto"/>
                <w:sz w:val="18"/>
                <w:szCs w:val="18"/>
                <w:lang w:val="en-US" w:eastAsia="zh-CN"/>
              </w:rPr>
              <w:t>7</w:t>
            </w:r>
            <w:r>
              <w:rPr>
                <w:rFonts w:hint="eastAsia"/>
                <w:color w:val="auto"/>
                <w:sz w:val="18"/>
                <w:szCs w:val="18"/>
              </w:rPr>
              <w:t>2</w:t>
            </w:r>
            <w:r>
              <w:rPr>
                <w:rFonts w:hint="eastAsia"/>
                <w:color w:val="auto"/>
                <w:sz w:val="18"/>
                <w:szCs w:val="18"/>
                <w:lang w:val="en-US" w:eastAsia="zh-CN"/>
              </w:rPr>
              <w:t>17</w:t>
            </w:r>
          </w:p>
        </w:tc>
        <w:tc>
          <w:tcPr>
            <w:tcW w:w="709" w:type="dxa"/>
            <w:vAlign w:val="center"/>
          </w:tcPr>
          <w:p w14:paraId="0AE35ED6">
            <w:pPr>
              <w:jc w:val="center"/>
              <w:rPr>
                <w:color w:val="auto"/>
                <w:sz w:val="18"/>
                <w:szCs w:val="18"/>
              </w:rPr>
            </w:pPr>
            <w:r>
              <w:rPr>
                <w:rFonts w:hint="eastAsia"/>
                <w:color w:val="auto"/>
                <w:sz w:val="18"/>
                <w:szCs w:val="18"/>
              </w:rPr>
              <w:t>2</w:t>
            </w:r>
          </w:p>
        </w:tc>
        <w:tc>
          <w:tcPr>
            <w:tcW w:w="709" w:type="dxa"/>
            <w:vAlign w:val="center"/>
          </w:tcPr>
          <w:p w14:paraId="0260EA84">
            <w:pPr>
              <w:jc w:val="center"/>
              <w:rPr>
                <w:color w:val="auto"/>
                <w:sz w:val="18"/>
                <w:szCs w:val="18"/>
              </w:rPr>
            </w:pPr>
            <w:r>
              <w:rPr>
                <w:rFonts w:hint="eastAsia"/>
                <w:color w:val="auto"/>
                <w:sz w:val="18"/>
                <w:szCs w:val="18"/>
              </w:rPr>
              <w:t>2</w:t>
            </w:r>
          </w:p>
        </w:tc>
        <w:tc>
          <w:tcPr>
            <w:tcW w:w="1045" w:type="dxa"/>
            <w:vMerge w:val="continue"/>
            <w:shd w:val="clear" w:color="auto" w:fill="auto"/>
            <w:vAlign w:val="center"/>
          </w:tcPr>
          <w:p w14:paraId="39FDAB9A">
            <w:pPr>
              <w:jc w:val="center"/>
              <w:rPr>
                <w:color w:val="auto"/>
                <w:sz w:val="18"/>
                <w:szCs w:val="18"/>
              </w:rPr>
            </w:pPr>
          </w:p>
        </w:tc>
      </w:tr>
      <w:tr w14:paraId="4D8E0C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BFD69BA">
            <w:pPr>
              <w:jc w:val="center"/>
              <w:rPr>
                <w:b/>
                <w:color w:val="auto"/>
                <w:sz w:val="18"/>
                <w:szCs w:val="18"/>
              </w:rPr>
            </w:pPr>
            <w:r>
              <w:rPr>
                <w:b/>
                <w:color w:val="auto"/>
                <w:sz w:val="18"/>
                <w:szCs w:val="18"/>
              </w:rPr>
              <w:t>必修环节</w:t>
            </w:r>
          </w:p>
          <w:p w14:paraId="237003BF">
            <w:pPr>
              <w:jc w:val="center"/>
              <w:rPr>
                <w:b/>
                <w:color w:val="auto"/>
                <w:sz w:val="18"/>
                <w:szCs w:val="18"/>
              </w:rPr>
            </w:pPr>
          </w:p>
        </w:tc>
        <w:tc>
          <w:tcPr>
            <w:tcW w:w="1226" w:type="dxa"/>
            <w:vMerge w:val="restart"/>
            <w:vAlign w:val="center"/>
          </w:tcPr>
          <w:p w14:paraId="2B8D9F48">
            <w:pPr>
              <w:jc w:val="center"/>
              <w:rPr>
                <w:b/>
                <w:color w:val="auto"/>
                <w:sz w:val="18"/>
                <w:szCs w:val="18"/>
              </w:rPr>
            </w:pPr>
            <w:r>
              <w:rPr>
                <w:b/>
                <w:color w:val="auto"/>
                <w:sz w:val="18"/>
                <w:szCs w:val="18"/>
              </w:rPr>
              <w:t>素质拓展</w:t>
            </w:r>
          </w:p>
        </w:tc>
        <w:tc>
          <w:tcPr>
            <w:tcW w:w="3516" w:type="dxa"/>
            <w:vAlign w:val="center"/>
          </w:tcPr>
          <w:p w14:paraId="23C77EF8">
            <w:pPr>
              <w:rPr>
                <w:color w:val="auto"/>
                <w:sz w:val="18"/>
                <w:szCs w:val="18"/>
              </w:rPr>
            </w:pPr>
            <w:r>
              <w:rPr>
                <w:color w:val="auto"/>
                <w:sz w:val="18"/>
                <w:szCs w:val="18"/>
              </w:rPr>
              <w:t>入学教育</w:t>
            </w:r>
          </w:p>
        </w:tc>
        <w:tc>
          <w:tcPr>
            <w:tcW w:w="1081" w:type="dxa"/>
            <w:vAlign w:val="center"/>
          </w:tcPr>
          <w:p w14:paraId="5B918D6A">
            <w:pPr>
              <w:jc w:val="center"/>
              <w:rPr>
                <w:color w:val="auto"/>
                <w:sz w:val="18"/>
                <w:szCs w:val="18"/>
              </w:rPr>
            </w:pPr>
          </w:p>
        </w:tc>
        <w:tc>
          <w:tcPr>
            <w:tcW w:w="709" w:type="dxa"/>
            <w:vAlign w:val="center"/>
          </w:tcPr>
          <w:p w14:paraId="76FE908F">
            <w:pPr>
              <w:jc w:val="center"/>
              <w:rPr>
                <w:color w:val="auto"/>
                <w:sz w:val="18"/>
                <w:szCs w:val="18"/>
              </w:rPr>
            </w:pPr>
          </w:p>
        </w:tc>
        <w:tc>
          <w:tcPr>
            <w:tcW w:w="709" w:type="dxa"/>
            <w:vAlign w:val="center"/>
          </w:tcPr>
          <w:p w14:paraId="67B107C3">
            <w:pPr>
              <w:jc w:val="center"/>
              <w:rPr>
                <w:color w:val="auto"/>
                <w:sz w:val="18"/>
                <w:szCs w:val="18"/>
              </w:rPr>
            </w:pPr>
            <w:r>
              <w:rPr>
                <w:color w:val="auto"/>
                <w:sz w:val="18"/>
                <w:szCs w:val="18"/>
              </w:rPr>
              <w:t>1</w:t>
            </w:r>
          </w:p>
        </w:tc>
        <w:tc>
          <w:tcPr>
            <w:tcW w:w="1045" w:type="dxa"/>
            <w:vMerge w:val="restart"/>
            <w:vAlign w:val="center"/>
          </w:tcPr>
          <w:p w14:paraId="7831AFAB">
            <w:pPr>
              <w:jc w:val="center"/>
              <w:rPr>
                <w:i/>
                <w:color w:val="auto"/>
                <w:sz w:val="18"/>
                <w:szCs w:val="18"/>
              </w:rPr>
            </w:pPr>
          </w:p>
        </w:tc>
      </w:tr>
      <w:tr w14:paraId="4BB66D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1EC5DF5F">
            <w:pPr>
              <w:jc w:val="center"/>
              <w:rPr>
                <w:b/>
                <w:color w:val="auto"/>
                <w:sz w:val="18"/>
                <w:szCs w:val="18"/>
              </w:rPr>
            </w:pPr>
          </w:p>
        </w:tc>
        <w:tc>
          <w:tcPr>
            <w:tcW w:w="1226" w:type="dxa"/>
            <w:vMerge w:val="continue"/>
            <w:vAlign w:val="center"/>
          </w:tcPr>
          <w:p w14:paraId="0F7D71FE">
            <w:pPr>
              <w:jc w:val="center"/>
              <w:rPr>
                <w:b/>
                <w:color w:val="auto"/>
                <w:sz w:val="18"/>
                <w:szCs w:val="18"/>
              </w:rPr>
            </w:pPr>
          </w:p>
        </w:tc>
        <w:tc>
          <w:tcPr>
            <w:tcW w:w="3516" w:type="dxa"/>
            <w:vAlign w:val="center"/>
          </w:tcPr>
          <w:p w14:paraId="01BEFED1">
            <w:pPr>
              <w:rPr>
                <w:color w:val="auto"/>
                <w:sz w:val="18"/>
                <w:szCs w:val="18"/>
              </w:rPr>
            </w:pPr>
            <w:r>
              <w:rPr>
                <w:color w:val="auto"/>
                <w:sz w:val="18"/>
                <w:szCs w:val="18"/>
              </w:rPr>
              <w:t>学术活动</w:t>
            </w:r>
          </w:p>
        </w:tc>
        <w:tc>
          <w:tcPr>
            <w:tcW w:w="1081" w:type="dxa"/>
            <w:shd w:val="clear" w:color="auto" w:fill="auto"/>
            <w:vAlign w:val="center"/>
          </w:tcPr>
          <w:p w14:paraId="4D680DC6">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vAlign w:val="center"/>
          </w:tcPr>
          <w:p w14:paraId="6BE075F4">
            <w:pPr>
              <w:jc w:val="center"/>
              <w:rPr>
                <w:color w:val="auto"/>
                <w:sz w:val="18"/>
                <w:szCs w:val="18"/>
              </w:rPr>
            </w:pPr>
            <w:r>
              <w:rPr>
                <w:color w:val="auto"/>
                <w:sz w:val="18"/>
                <w:szCs w:val="18"/>
              </w:rPr>
              <w:t>1</w:t>
            </w:r>
          </w:p>
        </w:tc>
        <w:tc>
          <w:tcPr>
            <w:tcW w:w="709" w:type="dxa"/>
            <w:vAlign w:val="center"/>
          </w:tcPr>
          <w:p w14:paraId="43196F9E">
            <w:pPr>
              <w:jc w:val="center"/>
              <w:rPr>
                <w:color w:val="auto"/>
                <w:sz w:val="18"/>
                <w:szCs w:val="18"/>
              </w:rPr>
            </w:pPr>
            <w:r>
              <w:rPr>
                <w:rFonts w:hint="eastAsia"/>
                <w:color w:val="auto"/>
                <w:sz w:val="18"/>
                <w:szCs w:val="18"/>
              </w:rPr>
              <w:t>3-5</w:t>
            </w:r>
          </w:p>
        </w:tc>
        <w:tc>
          <w:tcPr>
            <w:tcW w:w="1045" w:type="dxa"/>
            <w:vMerge w:val="continue"/>
            <w:vAlign w:val="center"/>
          </w:tcPr>
          <w:p w14:paraId="4724E5FE">
            <w:pPr>
              <w:jc w:val="center"/>
              <w:rPr>
                <w:color w:val="auto"/>
                <w:sz w:val="18"/>
                <w:szCs w:val="18"/>
              </w:rPr>
            </w:pPr>
          </w:p>
        </w:tc>
      </w:tr>
      <w:tr w14:paraId="1A37E2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E2706D">
            <w:pPr>
              <w:rPr>
                <w:b/>
                <w:color w:val="auto"/>
                <w:sz w:val="18"/>
                <w:szCs w:val="18"/>
              </w:rPr>
            </w:pPr>
          </w:p>
        </w:tc>
        <w:tc>
          <w:tcPr>
            <w:tcW w:w="1226" w:type="dxa"/>
            <w:vMerge w:val="restart"/>
            <w:vAlign w:val="center"/>
          </w:tcPr>
          <w:p w14:paraId="35879714">
            <w:pPr>
              <w:jc w:val="center"/>
              <w:rPr>
                <w:b/>
                <w:color w:val="auto"/>
                <w:sz w:val="18"/>
                <w:szCs w:val="18"/>
              </w:rPr>
            </w:pPr>
            <w:r>
              <w:rPr>
                <w:b/>
                <w:color w:val="auto"/>
                <w:sz w:val="18"/>
                <w:szCs w:val="18"/>
              </w:rPr>
              <w:t>学术训练</w:t>
            </w:r>
          </w:p>
        </w:tc>
        <w:tc>
          <w:tcPr>
            <w:tcW w:w="3516" w:type="dxa"/>
            <w:vAlign w:val="center"/>
          </w:tcPr>
          <w:p w14:paraId="73B511B2">
            <w:pPr>
              <w:rPr>
                <w:color w:val="auto"/>
                <w:sz w:val="18"/>
                <w:szCs w:val="18"/>
              </w:rPr>
            </w:pPr>
            <w:r>
              <w:rPr>
                <w:color w:val="auto"/>
                <w:sz w:val="18"/>
                <w:szCs w:val="18"/>
              </w:rPr>
              <w:t>中期筛选</w:t>
            </w:r>
          </w:p>
        </w:tc>
        <w:tc>
          <w:tcPr>
            <w:tcW w:w="1081" w:type="dxa"/>
            <w:vAlign w:val="center"/>
          </w:tcPr>
          <w:p w14:paraId="228FF845">
            <w:pPr>
              <w:jc w:val="center"/>
              <w:rPr>
                <w:color w:val="auto"/>
                <w:sz w:val="18"/>
                <w:szCs w:val="18"/>
              </w:rPr>
            </w:pPr>
          </w:p>
        </w:tc>
        <w:tc>
          <w:tcPr>
            <w:tcW w:w="709" w:type="dxa"/>
            <w:vAlign w:val="center"/>
          </w:tcPr>
          <w:p w14:paraId="3D8490EF">
            <w:pPr>
              <w:jc w:val="center"/>
              <w:rPr>
                <w:color w:val="auto"/>
                <w:sz w:val="18"/>
                <w:szCs w:val="18"/>
              </w:rPr>
            </w:pPr>
          </w:p>
        </w:tc>
        <w:tc>
          <w:tcPr>
            <w:tcW w:w="709" w:type="dxa"/>
            <w:vAlign w:val="center"/>
          </w:tcPr>
          <w:p w14:paraId="4C8AE315">
            <w:pPr>
              <w:jc w:val="center"/>
              <w:rPr>
                <w:color w:val="auto"/>
                <w:sz w:val="18"/>
                <w:szCs w:val="18"/>
              </w:rPr>
            </w:pPr>
            <w:r>
              <w:rPr>
                <w:rFonts w:hint="eastAsia"/>
                <w:color w:val="auto"/>
                <w:sz w:val="18"/>
                <w:szCs w:val="18"/>
              </w:rPr>
              <w:t>2-3</w:t>
            </w:r>
          </w:p>
        </w:tc>
        <w:tc>
          <w:tcPr>
            <w:tcW w:w="1045" w:type="dxa"/>
            <w:vMerge w:val="restart"/>
            <w:vAlign w:val="center"/>
          </w:tcPr>
          <w:p w14:paraId="73C7AF0C">
            <w:pPr>
              <w:jc w:val="center"/>
              <w:rPr>
                <w:color w:val="auto"/>
                <w:sz w:val="18"/>
                <w:szCs w:val="18"/>
              </w:rPr>
            </w:pPr>
            <w:r>
              <w:rPr>
                <w:color w:val="auto"/>
                <w:sz w:val="18"/>
                <w:szCs w:val="18"/>
              </w:rPr>
              <w:t>过程管理</w:t>
            </w:r>
          </w:p>
          <w:p w14:paraId="1EFF761B">
            <w:pPr>
              <w:jc w:val="center"/>
              <w:rPr>
                <w:color w:val="auto"/>
                <w:sz w:val="18"/>
                <w:szCs w:val="18"/>
              </w:rPr>
            </w:pPr>
            <w:r>
              <w:rPr>
                <w:color w:val="auto"/>
                <w:sz w:val="18"/>
                <w:szCs w:val="18"/>
              </w:rPr>
              <w:t>无学分</w:t>
            </w:r>
          </w:p>
        </w:tc>
      </w:tr>
      <w:tr w14:paraId="798DB7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57F6E7">
            <w:pPr>
              <w:rPr>
                <w:b/>
                <w:color w:val="auto"/>
                <w:sz w:val="18"/>
                <w:szCs w:val="18"/>
              </w:rPr>
            </w:pPr>
          </w:p>
        </w:tc>
        <w:tc>
          <w:tcPr>
            <w:tcW w:w="1226" w:type="dxa"/>
            <w:vMerge w:val="continue"/>
            <w:vAlign w:val="center"/>
          </w:tcPr>
          <w:p w14:paraId="3F87E251">
            <w:pPr>
              <w:jc w:val="center"/>
              <w:rPr>
                <w:b/>
                <w:color w:val="auto"/>
                <w:sz w:val="18"/>
                <w:szCs w:val="18"/>
              </w:rPr>
            </w:pPr>
          </w:p>
        </w:tc>
        <w:tc>
          <w:tcPr>
            <w:tcW w:w="3516" w:type="dxa"/>
            <w:vAlign w:val="center"/>
          </w:tcPr>
          <w:p w14:paraId="4D1E3E66">
            <w:pPr>
              <w:rPr>
                <w:color w:val="auto"/>
                <w:sz w:val="18"/>
                <w:szCs w:val="18"/>
              </w:rPr>
            </w:pPr>
            <w:r>
              <w:rPr>
                <w:color w:val="auto"/>
                <w:sz w:val="18"/>
                <w:szCs w:val="18"/>
              </w:rPr>
              <w:t>论文开题</w:t>
            </w:r>
          </w:p>
        </w:tc>
        <w:tc>
          <w:tcPr>
            <w:tcW w:w="1081" w:type="dxa"/>
            <w:vAlign w:val="center"/>
          </w:tcPr>
          <w:p w14:paraId="0DE36374">
            <w:pPr>
              <w:jc w:val="center"/>
              <w:rPr>
                <w:color w:val="auto"/>
                <w:sz w:val="18"/>
                <w:szCs w:val="18"/>
              </w:rPr>
            </w:pPr>
          </w:p>
        </w:tc>
        <w:tc>
          <w:tcPr>
            <w:tcW w:w="709" w:type="dxa"/>
            <w:vAlign w:val="center"/>
          </w:tcPr>
          <w:p w14:paraId="5B349D27">
            <w:pPr>
              <w:jc w:val="center"/>
              <w:rPr>
                <w:color w:val="auto"/>
                <w:sz w:val="18"/>
                <w:szCs w:val="18"/>
              </w:rPr>
            </w:pPr>
          </w:p>
        </w:tc>
        <w:tc>
          <w:tcPr>
            <w:tcW w:w="709" w:type="dxa"/>
            <w:vAlign w:val="center"/>
          </w:tcPr>
          <w:p w14:paraId="041830D3">
            <w:pPr>
              <w:jc w:val="center"/>
              <w:rPr>
                <w:color w:val="auto"/>
                <w:sz w:val="18"/>
                <w:szCs w:val="18"/>
              </w:rPr>
            </w:pPr>
            <w:r>
              <w:rPr>
                <w:rFonts w:hint="eastAsia"/>
                <w:color w:val="auto"/>
                <w:sz w:val="18"/>
                <w:szCs w:val="18"/>
              </w:rPr>
              <w:t>3</w:t>
            </w:r>
          </w:p>
        </w:tc>
        <w:tc>
          <w:tcPr>
            <w:tcW w:w="1045" w:type="dxa"/>
            <w:vMerge w:val="continue"/>
            <w:vAlign w:val="center"/>
          </w:tcPr>
          <w:p w14:paraId="7B492E2A">
            <w:pPr>
              <w:jc w:val="center"/>
              <w:rPr>
                <w:color w:val="auto"/>
                <w:sz w:val="18"/>
                <w:szCs w:val="18"/>
              </w:rPr>
            </w:pPr>
          </w:p>
        </w:tc>
      </w:tr>
      <w:tr w14:paraId="34B9AA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D15D0A">
            <w:pPr>
              <w:rPr>
                <w:b/>
                <w:color w:val="auto"/>
                <w:sz w:val="18"/>
                <w:szCs w:val="18"/>
              </w:rPr>
            </w:pPr>
          </w:p>
        </w:tc>
        <w:tc>
          <w:tcPr>
            <w:tcW w:w="1226" w:type="dxa"/>
            <w:vMerge w:val="continue"/>
            <w:vAlign w:val="center"/>
          </w:tcPr>
          <w:p w14:paraId="38B8F5F3">
            <w:pPr>
              <w:jc w:val="center"/>
              <w:rPr>
                <w:b/>
                <w:color w:val="auto"/>
                <w:sz w:val="18"/>
                <w:szCs w:val="18"/>
              </w:rPr>
            </w:pPr>
          </w:p>
        </w:tc>
        <w:tc>
          <w:tcPr>
            <w:tcW w:w="3516" w:type="dxa"/>
            <w:vAlign w:val="center"/>
          </w:tcPr>
          <w:p w14:paraId="7BDD4D86">
            <w:pPr>
              <w:rPr>
                <w:color w:val="auto"/>
                <w:sz w:val="18"/>
                <w:szCs w:val="18"/>
              </w:rPr>
            </w:pPr>
            <w:r>
              <w:rPr>
                <w:color w:val="auto"/>
                <w:sz w:val="18"/>
                <w:szCs w:val="18"/>
              </w:rPr>
              <w:t>论文中期进展报告</w:t>
            </w:r>
          </w:p>
        </w:tc>
        <w:tc>
          <w:tcPr>
            <w:tcW w:w="1081" w:type="dxa"/>
            <w:vAlign w:val="center"/>
          </w:tcPr>
          <w:p w14:paraId="09F0EBCD">
            <w:pPr>
              <w:jc w:val="center"/>
              <w:rPr>
                <w:color w:val="auto"/>
                <w:sz w:val="18"/>
                <w:szCs w:val="18"/>
              </w:rPr>
            </w:pPr>
          </w:p>
        </w:tc>
        <w:tc>
          <w:tcPr>
            <w:tcW w:w="709" w:type="dxa"/>
            <w:vAlign w:val="center"/>
          </w:tcPr>
          <w:p w14:paraId="7EC07878">
            <w:pPr>
              <w:jc w:val="center"/>
              <w:rPr>
                <w:color w:val="auto"/>
                <w:sz w:val="18"/>
                <w:szCs w:val="18"/>
              </w:rPr>
            </w:pPr>
          </w:p>
        </w:tc>
        <w:tc>
          <w:tcPr>
            <w:tcW w:w="709" w:type="dxa"/>
            <w:vAlign w:val="center"/>
          </w:tcPr>
          <w:p w14:paraId="00DA3CA6">
            <w:pPr>
              <w:jc w:val="center"/>
              <w:rPr>
                <w:color w:val="auto"/>
                <w:sz w:val="18"/>
                <w:szCs w:val="18"/>
              </w:rPr>
            </w:pPr>
            <w:r>
              <w:rPr>
                <w:rFonts w:hint="eastAsia"/>
                <w:color w:val="auto"/>
                <w:sz w:val="18"/>
                <w:szCs w:val="18"/>
              </w:rPr>
              <w:t>5</w:t>
            </w:r>
          </w:p>
        </w:tc>
        <w:tc>
          <w:tcPr>
            <w:tcW w:w="1045" w:type="dxa"/>
            <w:vMerge w:val="continue"/>
          </w:tcPr>
          <w:p w14:paraId="7F9F2DB4">
            <w:pPr>
              <w:jc w:val="center"/>
              <w:rPr>
                <w:color w:val="auto"/>
                <w:sz w:val="18"/>
                <w:szCs w:val="18"/>
              </w:rPr>
            </w:pPr>
          </w:p>
        </w:tc>
      </w:tr>
      <w:tr w14:paraId="2DB51C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68CF8C7">
            <w:pPr>
              <w:rPr>
                <w:b/>
                <w:color w:val="auto"/>
                <w:sz w:val="18"/>
                <w:szCs w:val="18"/>
              </w:rPr>
            </w:pPr>
          </w:p>
        </w:tc>
        <w:tc>
          <w:tcPr>
            <w:tcW w:w="1226" w:type="dxa"/>
            <w:vMerge w:val="continue"/>
            <w:vAlign w:val="center"/>
          </w:tcPr>
          <w:p w14:paraId="182353A9">
            <w:pPr>
              <w:jc w:val="center"/>
              <w:rPr>
                <w:b/>
                <w:color w:val="auto"/>
                <w:sz w:val="18"/>
                <w:szCs w:val="18"/>
              </w:rPr>
            </w:pPr>
          </w:p>
        </w:tc>
        <w:tc>
          <w:tcPr>
            <w:tcW w:w="3516" w:type="dxa"/>
            <w:vAlign w:val="center"/>
          </w:tcPr>
          <w:p w14:paraId="1D7901EC">
            <w:pPr>
              <w:rPr>
                <w:color w:val="auto"/>
                <w:sz w:val="18"/>
                <w:szCs w:val="18"/>
              </w:rPr>
            </w:pPr>
            <w:r>
              <w:rPr>
                <w:color w:val="auto"/>
                <w:sz w:val="18"/>
                <w:szCs w:val="18"/>
              </w:rPr>
              <w:t>论文预答辩</w:t>
            </w:r>
          </w:p>
        </w:tc>
        <w:tc>
          <w:tcPr>
            <w:tcW w:w="1081" w:type="dxa"/>
            <w:vAlign w:val="center"/>
          </w:tcPr>
          <w:p w14:paraId="716AAAD4">
            <w:pPr>
              <w:jc w:val="center"/>
              <w:rPr>
                <w:color w:val="auto"/>
                <w:sz w:val="18"/>
                <w:szCs w:val="18"/>
              </w:rPr>
            </w:pPr>
          </w:p>
        </w:tc>
        <w:tc>
          <w:tcPr>
            <w:tcW w:w="709" w:type="dxa"/>
            <w:vAlign w:val="center"/>
          </w:tcPr>
          <w:p w14:paraId="710074E8">
            <w:pPr>
              <w:jc w:val="center"/>
              <w:rPr>
                <w:color w:val="auto"/>
                <w:sz w:val="18"/>
                <w:szCs w:val="18"/>
              </w:rPr>
            </w:pPr>
          </w:p>
        </w:tc>
        <w:tc>
          <w:tcPr>
            <w:tcW w:w="709" w:type="dxa"/>
            <w:vAlign w:val="center"/>
          </w:tcPr>
          <w:p w14:paraId="6AE744B6">
            <w:pPr>
              <w:jc w:val="center"/>
              <w:rPr>
                <w:color w:val="auto"/>
                <w:sz w:val="18"/>
                <w:szCs w:val="18"/>
              </w:rPr>
            </w:pPr>
            <w:r>
              <w:rPr>
                <w:rFonts w:hint="eastAsia"/>
                <w:color w:val="auto"/>
                <w:sz w:val="18"/>
                <w:szCs w:val="18"/>
              </w:rPr>
              <w:t>5</w:t>
            </w:r>
          </w:p>
        </w:tc>
        <w:tc>
          <w:tcPr>
            <w:tcW w:w="1045" w:type="dxa"/>
            <w:vMerge w:val="continue"/>
          </w:tcPr>
          <w:p w14:paraId="073AF21D">
            <w:pPr>
              <w:jc w:val="center"/>
              <w:rPr>
                <w:color w:val="auto"/>
                <w:sz w:val="18"/>
                <w:szCs w:val="18"/>
              </w:rPr>
            </w:pPr>
          </w:p>
        </w:tc>
      </w:tr>
      <w:tr w14:paraId="2CA1A0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4B65A6">
            <w:pPr>
              <w:rPr>
                <w:color w:val="auto"/>
                <w:sz w:val="18"/>
                <w:szCs w:val="18"/>
              </w:rPr>
            </w:pPr>
          </w:p>
        </w:tc>
        <w:tc>
          <w:tcPr>
            <w:tcW w:w="1226" w:type="dxa"/>
            <w:vMerge w:val="continue"/>
          </w:tcPr>
          <w:p w14:paraId="015C6E53">
            <w:pPr>
              <w:jc w:val="center"/>
              <w:rPr>
                <w:color w:val="auto"/>
                <w:sz w:val="18"/>
                <w:szCs w:val="18"/>
              </w:rPr>
            </w:pPr>
          </w:p>
        </w:tc>
        <w:tc>
          <w:tcPr>
            <w:tcW w:w="3516" w:type="dxa"/>
            <w:vAlign w:val="center"/>
          </w:tcPr>
          <w:p w14:paraId="78807A45">
            <w:pPr>
              <w:rPr>
                <w:color w:val="auto"/>
                <w:sz w:val="18"/>
                <w:szCs w:val="18"/>
              </w:rPr>
            </w:pPr>
            <w:r>
              <w:rPr>
                <w:color w:val="auto"/>
                <w:sz w:val="18"/>
                <w:szCs w:val="18"/>
              </w:rPr>
              <w:t>论文评审</w:t>
            </w:r>
          </w:p>
        </w:tc>
        <w:tc>
          <w:tcPr>
            <w:tcW w:w="1081" w:type="dxa"/>
            <w:vAlign w:val="center"/>
          </w:tcPr>
          <w:p w14:paraId="139D8EAF">
            <w:pPr>
              <w:jc w:val="center"/>
              <w:rPr>
                <w:color w:val="auto"/>
                <w:sz w:val="18"/>
                <w:szCs w:val="18"/>
              </w:rPr>
            </w:pPr>
          </w:p>
        </w:tc>
        <w:tc>
          <w:tcPr>
            <w:tcW w:w="709" w:type="dxa"/>
            <w:vAlign w:val="center"/>
          </w:tcPr>
          <w:p w14:paraId="5395466B">
            <w:pPr>
              <w:jc w:val="center"/>
              <w:rPr>
                <w:color w:val="auto"/>
                <w:sz w:val="18"/>
                <w:szCs w:val="18"/>
              </w:rPr>
            </w:pPr>
          </w:p>
        </w:tc>
        <w:tc>
          <w:tcPr>
            <w:tcW w:w="709" w:type="dxa"/>
            <w:vAlign w:val="center"/>
          </w:tcPr>
          <w:p w14:paraId="0A66B81A">
            <w:pPr>
              <w:jc w:val="center"/>
              <w:rPr>
                <w:color w:val="auto"/>
                <w:sz w:val="18"/>
                <w:szCs w:val="18"/>
              </w:rPr>
            </w:pPr>
            <w:r>
              <w:rPr>
                <w:rFonts w:hint="eastAsia"/>
                <w:color w:val="auto"/>
                <w:sz w:val="18"/>
                <w:szCs w:val="18"/>
              </w:rPr>
              <w:t>6</w:t>
            </w:r>
          </w:p>
        </w:tc>
        <w:tc>
          <w:tcPr>
            <w:tcW w:w="1045" w:type="dxa"/>
            <w:vMerge w:val="continue"/>
          </w:tcPr>
          <w:p w14:paraId="1177A652">
            <w:pPr>
              <w:jc w:val="center"/>
              <w:rPr>
                <w:color w:val="auto"/>
                <w:sz w:val="18"/>
                <w:szCs w:val="18"/>
              </w:rPr>
            </w:pPr>
          </w:p>
        </w:tc>
      </w:tr>
      <w:tr w14:paraId="7D0333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1BD710">
            <w:pPr>
              <w:rPr>
                <w:color w:val="auto"/>
                <w:sz w:val="18"/>
                <w:szCs w:val="18"/>
              </w:rPr>
            </w:pPr>
          </w:p>
        </w:tc>
        <w:tc>
          <w:tcPr>
            <w:tcW w:w="1226" w:type="dxa"/>
            <w:vMerge w:val="continue"/>
          </w:tcPr>
          <w:p w14:paraId="05754D25">
            <w:pPr>
              <w:jc w:val="center"/>
              <w:rPr>
                <w:color w:val="auto"/>
                <w:sz w:val="18"/>
                <w:szCs w:val="18"/>
              </w:rPr>
            </w:pPr>
          </w:p>
        </w:tc>
        <w:tc>
          <w:tcPr>
            <w:tcW w:w="3516" w:type="dxa"/>
            <w:vAlign w:val="center"/>
          </w:tcPr>
          <w:p w14:paraId="148AFE70">
            <w:pPr>
              <w:rPr>
                <w:color w:val="auto"/>
                <w:sz w:val="18"/>
                <w:szCs w:val="18"/>
              </w:rPr>
            </w:pPr>
            <w:r>
              <w:rPr>
                <w:color w:val="auto"/>
                <w:sz w:val="18"/>
                <w:szCs w:val="18"/>
              </w:rPr>
              <w:t>论文答辩</w:t>
            </w:r>
          </w:p>
        </w:tc>
        <w:tc>
          <w:tcPr>
            <w:tcW w:w="1081" w:type="dxa"/>
            <w:vAlign w:val="center"/>
          </w:tcPr>
          <w:p w14:paraId="09CC22A5">
            <w:pPr>
              <w:jc w:val="center"/>
              <w:rPr>
                <w:color w:val="auto"/>
                <w:sz w:val="18"/>
                <w:szCs w:val="18"/>
              </w:rPr>
            </w:pPr>
          </w:p>
        </w:tc>
        <w:tc>
          <w:tcPr>
            <w:tcW w:w="709" w:type="dxa"/>
            <w:vAlign w:val="center"/>
          </w:tcPr>
          <w:p w14:paraId="23ADFDA4">
            <w:pPr>
              <w:jc w:val="center"/>
              <w:rPr>
                <w:color w:val="auto"/>
                <w:sz w:val="18"/>
                <w:szCs w:val="18"/>
              </w:rPr>
            </w:pPr>
          </w:p>
        </w:tc>
        <w:tc>
          <w:tcPr>
            <w:tcW w:w="709" w:type="dxa"/>
            <w:vAlign w:val="center"/>
          </w:tcPr>
          <w:p w14:paraId="6992DECC">
            <w:pPr>
              <w:jc w:val="center"/>
              <w:rPr>
                <w:color w:val="auto"/>
                <w:sz w:val="18"/>
                <w:szCs w:val="18"/>
              </w:rPr>
            </w:pPr>
            <w:r>
              <w:rPr>
                <w:rFonts w:hint="eastAsia"/>
                <w:color w:val="auto"/>
                <w:sz w:val="18"/>
                <w:szCs w:val="18"/>
              </w:rPr>
              <w:t>6</w:t>
            </w:r>
          </w:p>
        </w:tc>
        <w:tc>
          <w:tcPr>
            <w:tcW w:w="1045" w:type="dxa"/>
            <w:vMerge w:val="continue"/>
          </w:tcPr>
          <w:p w14:paraId="13FEA8E7">
            <w:pPr>
              <w:jc w:val="center"/>
              <w:rPr>
                <w:color w:val="auto"/>
                <w:sz w:val="18"/>
                <w:szCs w:val="18"/>
              </w:rPr>
            </w:pPr>
          </w:p>
        </w:tc>
      </w:tr>
    </w:tbl>
    <w:p w14:paraId="6A4E126D">
      <w:pPr>
        <w:spacing w:line="440" w:lineRule="exact"/>
        <w:ind w:firstLine="480" w:firstLineChars="200"/>
        <w:rPr>
          <w:rFonts w:eastAsiaTheme="minorEastAsia"/>
          <w:bCs/>
          <w:color w:val="auto"/>
          <w:sz w:val="24"/>
        </w:rPr>
      </w:pPr>
      <w:r>
        <w:rPr>
          <w:rFonts w:eastAsiaTheme="minorEastAsia"/>
          <w:bCs/>
          <w:color w:val="auto"/>
          <w:sz w:val="24"/>
        </w:rPr>
        <w:t>*公共外语课程按入学时的外国语考试科目修读相关语种。</w:t>
      </w:r>
    </w:p>
    <w:p w14:paraId="44F81BF5">
      <w:pPr>
        <w:spacing w:line="440" w:lineRule="exact"/>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三</w:t>
      </w:r>
      <w:r>
        <w:rPr>
          <w:rFonts w:eastAsia="黑体"/>
          <w:bCs/>
          <w:color w:val="auto"/>
          <w:sz w:val="28"/>
          <w:szCs w:val="28"/>
        </w:rPr>
        <w:t>、其他需要说明事项</w:t>
      </w:r>
    </w:p>
    <w:p w14:paraId="78B46D9E">
      <w:pPr>
        <w:spacing w:line="440" w:lineRule="exact"/>
        <w:ind w:firstLine="480" w:firstLineChars="200"/>
        <w:rPr>
          <w:rFonts w:eastAsiaTheme="minorEastAsia"/>
          <w:bCs/>
          <w:color w:val="auto"/>
          <w:sz w:val="24"/>
        </w:rPr>
      </w:pPr>
      <w:r>
        <w:rPr>
          <w:rFonts w:eastAsiaTheme="minorEastAsia"/>
          <w:bCs/>
          <w:color w:val="auto"/>
          <w:sz w:val="24"/>
        </w:rPr>
        <w:t>1.非学位课中的方向选修课模块由各培养单位自行设置，并给出具体选修学分要求。</w:t>
      </w:r>
    </w:p>
    <w:p w14:paraId="56B860EB">
      <w:pPr>
        <w:ind w:firstLine="480" w:firstLineChars="200"/>
        <w:rPr>
          <w:color w:val="auto"/>
        </w:rPr>
      </w:pPr>
      <w:r>
        <w:rPr>
          <w:rFonts w:eastAsiaTheme="minorEastAsia"/>
          <w:bCs/>
          <w:color w:val="auto"/>
          <w:sz w:val="24"/>
        </w:rPr>
        <w:t>2.毕业总学分：</w:t>
      </w:r>
      <w:r>
        <w:rPr>
          <w:rFonts w:hint="eastAsia" w:eastAsiaTheme="minorEastAsia"/>
          <w:bCs/>
          <w:color w:val="auto"/>
          <w:sz w:val="24"/>
        </w:rPr>
        <w:t>学位课</w:t>
      </w:r>
      <w:r>
        <w:rPr>
          <w:rFonts w:eastAsiaTheme="minorEastAsia"/>
          <w:bCs/>
          <w:color w:val="auto"/>
          <w:sz w:val="24"/>
        </w:rPr>
        <w:t>+</w:t>
      </w:r>
      <w:r>
        <w:rPr>
          <w:rFonts w:hint="eastAsia" w:eastAsiaTheme="minorEastAsia"/>
          <w:bCs/>
          <w:color w:val="auto"/>
          <w:sz w:val="24"/>
        </w:rPr>
        <w:t>非学位课</w:t>
      </w:r>
      <w:r>
        <w:rPr>
          <w:rFonts w:eastAsiaTheme="minorEastAsia"/>
          <w:bCs/>
          <w:color w:val="auto"/>
          <w:sz w:val="24"/>
        </w:rPr>
        <w:t>+必修环节。</w:t>
      </w:r>
    </w:p>
    <w:p w14:paraId="6089F7E4">
      <w:pPr>
        <w:rPr>
          <w:color w:val="auto"/>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F913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E067B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4E067B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3F0771"/>
    <w:rsid w:val="00141413"/>
    <w:rsid w:val="004F0AB7"/>
    <w:rsid w:val="00687F57"/>
    <w:rsid w:val="007F43F2"/>
    <w:rsid w:val="0082379E"/>
    <w:rsid w:val="01CA3F1A"/>
    <w:rsid w:val="079528D4"/>
    <w:rsid w:val="08DA0EE6"/>
    <w:rsid w:val="091121B6"/>
    <w:rsid w:val="0A677AAB"/>
    <w:rsid w:val="0DCA3598"/>
    <w:rsid w:val="0E7F4AFC"/>
    <w:rsid w:val="0FCB77DB"/>
    <w:rsid w:val="121A67F7"/>
    <w:rsid w:val="138A0BB7"/>
    <w:rsid w:val="14F050B9"/>
    <w:rsid w:val="17143815"/>
    <w:rsid w:val="1732013F"/>
    <w:rsid w:val="17F17BAB"/>
    <w:rsid w:val="19A753EF"/>
    <w:rsid w:val="1A54600C"/>
    <w:rsid w:val="21A7272C"/>
    <w:rsid w:val="257E6A45"/>
    <w:rsid w:val="25A42208"/>
    <w:rsid w:val="2B396377"/>
    <w:rsid w:val="2E016B8B"/>
    <w:rsid w:val="2F241D2B"/>
    <w:rsid w:val="327D275F"/>
    <w:rsid w:val="352404FD"/>
    <w:rsid w:val="3676199F"/>
    <w:rsid w:val="3AEC2F3B"/>
    <w:rsid w:val="3B686333"/>
    <w:rsid w:val="3B806E1C"/>
    <w:rsid w:val="3FAE03FB"/>
    <w:rsid w:val="403F0771"/>
    <w:rsid w:val="4456696C"/>
    <w:rsid w:val="4588524B"/>
    <w:rsid w:val="4941303B"/>
    <w:rsid w:val="4AFD1087"/>
    <w:rsid w:val="4C07090C"/>
    <w:rsid w:val="4C341C88"/>
    <w:rsid w:val="4D106251"/>
    <w:rsid w:val="4F053468"/>
    <w:rsid w:val="5062546A"/>
    <w:rsid w:val="5373753A"/>
    <w:rsid w:val="57603931"/>
    <w:rsid w:val="5E0B55FD"/>
    <w:rsid w:val="607D37A6"/>
    <w:rsid w:val="61165A37"/>
    <w:rsid w:val="628B1627"/>
    <w:rsid w:val="63464323"/>
    <w:rsid w:val="63523981"/>
    <w:rsid w:val="66DB337E"/>
    <w:rsid w:val="68276CBB"/>
    <w:rsid w:val="685F0B4B"/>
    <w:rsid w:val="6A1A2066"/>
    <w:rsid w:val="6F944668"/>
    <w:rsid w:val="74C952E7"/>
    <w:rsid w:val="76A87ED6"/>
    <w:rsid w:val="76FC1908"/>
    <w:rsid w:val="7C2C0D47"/>
    <w:rsid w:val="7E2366DA"/>
    <w:rsid w:val="7E8F4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w:basedOn w:val="1"/>
    <w:semiHidden/>
    <w:qFormat/>
    <w:uiPriority w:val="0"/>
    <w:rPr>
      <w:rFonts w:ascii="宋体" w:hAnsi="宋体" w:cs="宋体"/>
      <w:sz w:val="24"/>
      <w:lang w:eastAsia="en-US"/>
    </w:r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annotation subject"/>
    <w:basedOn w:val="2"/>
    <w:next w:val="2"/>
    <w:link w:val="13"/>
    <w:qFormat/>
    <w:uiPriority w:val="0"/>
    <w:rPr>
      <w:b/>
      <w:bCs/>
    </w:rPr>
  </w:style>
  <w:style w:type="character" w:styleId="10">
    <w:name w:val="annotation reference"/>
    <w:basedOn w:val="9"/>
    <w:qFormat/>
    <w:uiPriority w:val="0"/>
    <w:rPr>
      <w:sz w:val="21"/>
      <w:szCs w:val="21"/>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批注文字 Char"/>
    <w:basedOn w:val="9"/>
    <w:link w:val="2"/>
    <w:qFormat/>
    <w:uiPriority w:val="0"/>
    <w:rPr>
      <w:rFonts w:ascii="Times New Roman" w:hAnsi="Times New Roman" w:eastAsia="宋体" w:cs="Times New Roman"/>
      <w:kern w:val="2"/>
      <w:sz w:val="21"/>
      <w:szCs w:val="24"/>
    </w:rPr>
  </w:style>
  <w:style w:type="character" w:customStyle="1" w:styleId="13">
    <w:name w:val="批注主题 Char"/>
    <w:basedOn w:val="12"/>
    <w:link w:val="7"/>
    <w:qFormat/>
    <w:uiPriority w:val="0"/>
    <w:rPr>
      <w:rFonts w:ascii="Times New Roman" w:hAnsi="Times New Roman" w:eastAsia="宋体" w:cs="Times New Roman"/>
      <w:b/>
      <w:bCs/>
      <w:kern w:val="2"/>
      <w:sz w:val="21"/>
      <w:szCs w:val="24"/>
    </w:rPr>
  </w:style>
  <w:style w:type="character" w:customStyle="1" w:styleId="14">
    <w:name w:val="批注框文本 Char"/>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3805</Words>
  <Characters>4024</Characters>
  <Lines>29</Lines>
  <Paragraphs>8</Paragraphs>
  <TotalTime>0</TotalTime>
  <ScaleCrop>false</ScaleCrop>
  <LinksUpToDate>false</LinksUpToDate>
  <CharactersWithSpaces>4024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2025-04-16T02:38:00Z</dcterms:created>
  <dc:creator>林顺利</dc:creator>
  <cp:lastModifiedBy>A宋宋</cp:lastModifiedBy>
  <dcterms:modified xsi:type="dcterms:W3CDTF">2025-06-24T02:34:45Z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4273F48B29204DF1B4AFD4C48C038B57_13</vt:lpwstr>
  </property>
  <property fmtid="{D5CDD505-2E9C-101B-9397-08002B2CF9AE}" pid="4" name="KSOTemplateDocerSaveRecord">
    <vt:lpwstr>eyJoZGlkIjoiNTRlMmI4MzVlYjZjZDdhYmNmOTUwMTcwODNhY2JlYzciLCJ1c2VySWQiOiIxMDI1OTcxODgyIn0=</vt:lpwstr>
  </property>
</Properties>
</file>