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C80372">
      <w:pPr>
        <w:ind w:right="227"/>
        <w:rPr>
          <w:rFonts w:eastAsia="黑体"/>
          <w:b/>
          <w:bCs/>
          <w:sz w:val="36"/>
          <w:szCs w:val="36"/>
        </w:rPr>
      </w:pPr>
      <w:bookmarkStart w:id="0" w:name="OLE_LINK6"/>
      <w:bookmarkStart w:id="1" w:name="OLE_LINK7"/>
      <w:r>
        <w:rPr>
          <w:rFonts w:hint="eastAsia" w:eastAsia="黑体"/>
          <w:b/>
          <w:bCs/>
          <w:sz w:val="36"/>
          <w:szCs w:val="36"/>
        </w:rPr>
        <w:t>社会工作</w:t>
      </w:r>
      <w:r>
        <w:rPr>
          <w:rFonts w:eastAsia="黑体"/>
          <w:b/>
          <w:bCs/>
          <w:sz w:val="36"/>
          <w:szCs w:val="36"/>
        </w:rPr>
        <w:t>专业全日制专业学位硕士研究生培养方案</w:t>
      </w:r>
    </w:p>
    <w:p w14:paraId="6E89871C">
      <w:pPr>
        <w:ind w:left="321" w:leftChars="153" w:right="227"/>
        <w:jc w:val="center"/>
        <w:rPr>
          <w:rFonts w:eastAsia="黑体"/>
          <w:b/>
          <w:bCs/>
          <w:sz w:val="28"/>
          <w:szCs w:val="28"/>
        </w:rPr>
      </w:pPr>
      <w:r>
        <w:rPr>
          <w:rFonts w:eastAsia="黑体"/>
          <w:b/>
          <w:bCs/>
          <w:sz w:val="28"/>
          <w:szCs w:val="28"/>
        </w:rPr>
        <w:t>（</w:t>
      </w:r>
      <w:r>
        <w:rPr>
          <w:rFonts w:hint="eastAsia" w:eastAsia="黑体"/>
          <w:b/>
          <w:bCs/>
          <w:sz w:val="28"/>
          <w:szCs w:val="28"/>
        </w:rPr>
        <w:t>哲学与社会学</w:t>
      </w:r>
      <w:r>
        <w:rPr>
          <w:rFonts w:eastAsia="黑体"/>
          <w:b/>
          <w:bCs/>
          <w:sz w:val="28"/>
          <w:szCs w:val="28"/>
        </w:rPr>
        <w:t>学院)</w:t>
      </w:r>
    </w:p>
    <w:p w14:paraId="283F55E2">
      <w:pPr>
        <w:spacing w:line="360" w:lineRule="auto"/>
        <w:ind w:firstLine="560"/>
        <w:rPr>
          <w:rFonts w:eastAsia="黑体"/>
          <w:bCs/>
          <w:sz w:val="28"/>
          <w:szCs w:val="28"/>
        </w:rPr>
      </w:pPr>
      <w:r>
        <w:rPr>
          <w:rFonts w:eastAsia="黑体"/>
          <w:bCs/>
          <w:sz w:val="28"/>
          <w:szCs w:val="28"/>
        </w:rPr>
        <w:t>一、专业名称、代码</w:t>
      </w:r>
    </w:p>
    <w:p w14:paraId="19DDD79F">
      <w:pPr>
        <w:widowControl/>
        <w:spacing w:line="360" w:lineRule="auto"/>
        <w:ind w:firstLine="960" w:firstLineChars="400"/>
        <w:jc w:val="left"/>
        <w:rPr>
          <w:color w:val="222222"/>
          <w:kern w:val="0"/>
          <w:sz w:val="18"/>
          <w:szCs w:val="18"/>
        </w:rPr>
      </w:pPr>
      <w:r>
        <w:rPr>
          <w:color w:val="222222"/>
          <w:kern w:val="0"/>
          <w:sz w:val="24"/>
        </w:rPr>
        <w:t>专业名称：</w:t>
      </w:r>
      <w:r>
        <w:rPr>
          <w:rFonts w:hint="eastAsia"/>
          <w:color w:val="222222"/>
          <w:kern w:val="0"/>
          <w:sz w:val="24"/>
        </w:rPr>
        <w:t>社会工作</w:t>
      </w:r>
    </w:p>
    <w:p w14:paraId="4D3F92C4">
      <w:pPr>
        <w:widowControl/>
        <w:spacing w:line="360" w:lineRule="auto"/>
        <w:ind w:firstLine="960" w:firstLineChars="400"/>
        <w:jc w:val="left"/>
        <w:rPr>
          <w:color w:val="222222"/>
          <w:kern w:val="0"/>
          <w:sz w:val="18"/>
          <w:szCs w:val="18"/>
        </w:rPr>
      </w:pPr>
      <w:r>
        <w:rPr>
          <w:color w:val="222222"/>
          <w:kern w:val="0"/>
          <w:sz w:val="24"/>
        </w:rPr>
        <w:t>专业代码：</w:t>
      </w:r>
      <w:r>
        <w:rPr>
          <w:rFonts w:hint="eastAsia"/>
          <w:color w:val="222222"/>
          <w:kern w:val="0"/>
          <w:sz w:val="24"/>
        </w:rPr>
        <w:t>0352</w:t>
      </w:r>
    </w:p>
    <w:p w14:paraId="51CFB1BB">
      <w:pPr>
        <w:spacing w:line="360" w:lineRule="auto"/>
        <w:ind w:firstLine="560" w:firstLineChars="200"/>
        <w:rPr>
          <w:rFonts w:eastAsia="黑体"/>
          <w:bCs/>
          <w:i/>
          <w:color w:val="FF0000"/>
          <w:sz w:val="28"/>
          <w:szCs w:val="28"/>
        </w:rPr>
      </w:pPr>
      <w:r>
        <w:rPr>
          <w:rFonts w:eastAsia="黑体"/>
          <w:bCs/>
          <w:sz w:val="28"/>
          <w:szCs w:val="28"/>
        </w:rPr>
        <w:t>二、</w:t>
      </w:r>
      <w:r>
        <w:rPr>
          <w:rFonts w:eastAsia="黑体"/>
          <w:bCs/>
          <w:color w:val="000000" w:themeColor="text1"/>
          <w:sz w:val="28"/>
          <w:szCs w:val="28"/>
          <w14:textFill>
            <w14:solidFill>
              <w14:schemeClr w14:val="tx1"/>
            </w14:solidFill>
          </w14:textFill>
        </w:rPr>
        <w:t>专业简介</w:t>
      </w:r>
    </w:p>
    <w:p w14:paraId="49ECECC1">
      <w:pPr>
        <w:widowControl/>
        <w:spacing w:line="360" w:lineRule="auto"/>
        <w:ind w:firstLine="480" w:firstLineChars="200"/>
        <w:jc w:val="left"/>
        <w:rPr>
          <w:color w:val="222222"/>
          <w:kern w:val="0"/>
          <w:sz w:val="24"/>
        </w:rPr>
      </w:pPr>
      <w:r>
        <w:rPr>
          <w:rFonts w:hint="eastAsia"/>
          <w:color w:val="222222"/>
          <w:kern w:val="0"/>
          <w:sz w:val="24"/>
        </w:rPr>
        <w:t>河北大学社会学学科源于20世纪90年代末哲学系与美国艾奥瓦大学州立大学合办社会学师资班。社会工作本科专业于2000年获批，是全国较早设立社会工作专业的院校之一，也是河北省第一个社会工作专业，占据河北省学科建设与专业人才培养龙头地位。2002年河北大学社会工作专业成为全国社会工作教育协会常务理事会员单位；2010年获批社会工作专业硕士学位授权点；2013年获批“国家专业社会工作人才培训基地”；2019年由本学位授权点发起成立中国社会工作历史专业委员会，并成为会长与秘书长所在单位。本学位点在老年社会工作、基层治理与社会服务创新、社会工作历史方面特色优势突出，积极服务于河北省乃至京津冀地区的社会工作行业建设与专业服务，助推本地乡村振兴、基层治理以及雄安新区建设。本学位点坚持“教学—实践—科研—社会服务”四位一体的办学理念，建有现代化实验室和遍布全省的实习实践基地网络，积极致力于培养秉持社会工作的价值理念，运用社会工作专业方法，从事社会服务和管理的高级专门人才。</w:t>
      </w:r>
    </w:p>
    <w:p w14:paraId="312A22A4">
      <w:pPr>
        <w:spacing w:line="360" w:lineRule="auto"/>
        <w:ind w:firstLine="560" w:firstLineChars="200"/>
        <w:rPr>
          <w:rFonts w:eastAsia="黑体"/>
          <w:bCs/>
          <w:sz w:val="28"/>
          <w:szCs w:val="28"/>
        </w:rPr>
      </w:pPr>
      <w:r>
        <w:rPr>
          <w:rFonts w:eastAsia="黑体"/>
          <w:bCs/>
          <w:sz w:val="28"/>
          <w:szCs w:val="28"/>
        </w:rPr>
        <w:t>三、研究方向</w:t>
      </w:r>
    </w:p>
    <w:p w14:paraId="49E98B22">
      <w:pPr>
        <w:widowControl/>
        <w:spacing w:line="360" w:lineRule="auto"/>
        <w:ind w:firstLine="480" w:firstLineChars="200"/>
        <w:jc w:val="left"/>
        <w:rPr>
          <w:color w:val="222222"/>
          <w:kern w:val="0"/>
          <w:sz w:val="24"/>
        </w:rPr>
      </w:pPr>
      <w:r>
        <w:rPr>
          <w:rFonts w:hint="eastAsia"/>
          <w:color w:val="222222"/>
          <w:kern w:val="0"/>
          <w:sz w:val="24"/>
        </w:rPr>
        <w:t>1.老年社会工作</w:t>
      </w:r>
    </w:p>
    <w:p w14:paraId="5CDA3F19">
      <w:pPr>
        <w:widowControl/>
        <w:spacing w:line="360" w:lineRule="auto"/>
        <w:ind w:firstLine="480" w:firstLineChars="200"/>
        <w:jc w:val="left"/>
        <w:rPr>
          <w:color w:val="222222"/>
          <w:kern w:val="0"/>
          <w:sz w:val="24"/>
        </w:rPr>
      </w:pPr>
      <w:r>
        <w:rPr>
          <w:rFonts w:hint="eastAsia"/>
          <w:color w:val="222222"/>
          <w:kern w:val="0"/>
          <w:sz w:val="24"/>
        </w:rPr>
        <w:t>老年社会工作指的是运用老年学与其他相关学科的知识技术，以老年人及其相关人员和系统为工作对象，帮助老年人特别是促进困难的老年人改善社会环境，提高生命和生活质量，使老年人有更强的社会适应能力的社会工作领域和服务方向。本研究方向以老年人的需求和问题为导向，聚焦老年弱势人群与老年公共服务，综合运用社会学与社会工作理论与研究方法，充分发掘中华优秀传统文化，注重社会工作专业技术运用，为化解和应对我国人口老龄化及其引发的社会问题提供专业助力。</w:t>
      </w:r>
    </w:p>
    <w:p w14:paraId="4DF0EC71">
      <w:pPr>
        <w:widowControl/>
        <w:spacing w:line="360" w:lineRule="auto"/>
        <w:ind w:firstLine="480" w:firstLineChars="200"/>
        <w:jc w:val="left"/>
        <w:rPr>
          <w:color w:val="222222"/>
          <w:kern w:val="0"/>
          <w:sz w:val="24"/>
        </w:rPr>
      </w:pPr>
      <w:r>
        <w:rPr>
          <w:rFonts w:hint="eastAsia"/>
          <w:color w:val="222222"/>
          <w:kern w:val="0"/>
          <w:sz w:val="24"/>
        </w:rPr>
        <w:t>2.基层治理与社会服务创新</w:t>
      </w:r>
    </w:p>
    <w:p w14:paraId="7763E746">
      <w:pPr>
        <w:widowControl/>
        <w:spacing w:line="360" w:lineRule="auto"/>
        <w:ind w:firstLine="480" w:firstLineChars="200"/>
        <w:jc w:val="left"/>
        <w:rPr>
          <w:color w:val="222222"/>
          <w:kern w:val="0"/>
          <w:sz w:val="24"/>
        </w:rPr>
      </w:pPr>
      <w:r>
        <w:rPr>
          <w:rFonts w:hint="eastAsia"/>
          <w:color w:val="222222"/>
          <w:kern w:val="0"/>
          <w:sz w:val="24"/>
        </w:rPr>
        <w:t>聚焦基层治理中的多元行动者（政府、乡镇（街道）民政服务站、社区组织、社会组织、居民）、城乡社区治理场域及基层社会政策体系，关注弱势群体的需求与赋能，以及基层社会矛盾与社会问题化解与应对。本方向以社会学、社会工作等多学科理论为指导，研究基层治理中的党建引领多元主体协同机制、社区服务精准供给、社会政策执行效能及弱势群体权益保障等问题，积极推进社会工作专业为主体的社会服务体制机制创新，为我国基层治理体系和治理能力现代化建设提供智力支持。</w:t>
      </w:r>
    </w:p>
    <w:p w14:paraId="633C9D89">
      <w:pPr>
        <w:widowControl/>
        <w:spacing w:line="360" w:lineRule="auto"/>
        <w:ind w:firstLine="480" w:firstLineChars="200"/>
        <w:jc w:val="left"/>
        <w:rPr>
          <w:color w:val="222222"/>
          <w:kern w:val="0"/>
          <w:sz w:val="24"/>
        </w:rPr>
      </w:pPr>
      <w:r>
        <w:rPr>
          <w:rFonts w:hint="eastAsia"/>
          <w:color w:val="222222"/>
          <w:kern w:val="0"/>
          <w:sz w:val="24"/>
        </w:rPr>
        <w:t>3.社会工作史</w:t>
      </w:r>
    </w:p>
    <w:p w14:paraId="24FDAD79">
      <w:pPr>
        <w:widowControl/>
        <w:spacing w:line="360" w:lineRule="auto"/>
        <w:ind w:firstLine="480" w:firstLineChars="200"/>
        <w:jc w:val="left"/>
        <w:rPr>
          <w:color w:val="222222"/>
          <w:kern w:val="0"/>
          <w:sz w:val="24"/>
        </w:rPr>
      </w:pPr>
      <w:r>
        <w:rPr>
          <w:rFonts w:hint="eastAsia"/>
          <w:color w:val="222222"/>
          <w:kern w:val="0"/>
          <w:sz w:val="24"/>
        </w:rPr>
        <w:t>系统梳理中西方社会工作产生发展的历史，对中国社会工作历史进行整体溯源，厘清中国本土社会工作的历史演进逻辑与脉络，以此为基础尝试构建中国特色社会工作的历史体系。积累中西方社会工作历史研究史料和文献基础，研究社会工作历史发展的重要事件和关键人物历史以及具体历史问题，在中西社会工作历史发展的比较中明确中国社会工作的特色和制度优势，为构建中国特色社会工作学科体系、学术体系、话语体系以及建设中国自主社会工作知识体系奠定历史基础。</w:t>
      </w:r>
    </w:p>
    <w:p w14:paraId="4EEF291B">
      <w:pPr>
        <w:spacing w:line="360" w:lineRule="auto"/>
        <w:ind w:firstLine="560" w:firstLineChars="200"/>
        <w:rPr>
          <w:rFonts w:eastAsia="黑体"/>
          <w:bCs/>
          <w:sz w:val="28"/>
          <w:szCs w:val="28"/>
        </w:rPr>
      </w:pPr>
      <w:r>
        <w:rPr>
          <w:rFonts w:eastAsia="黑体"/>
          <w:bCs/>
          <w:sz w:val="28"/>
          <w:szCs w:val="28"/>
        </w:rPr>
        <w:t>四、学制及学习年限</w:t>
      </w:r>
    </w:p>
    <w:p w14:paraId="5C2833F7">
      <w:pPr>
        <w:spacing w:line="360" w:lineRule="auto"/>
        <w:ind w:firstLine="480" w:firstLineChars="200"/>
        <w:rPr>
          <w:rFonts w:eastAsiaTheme="minorEastAsia"/>
          <w:color w:val="000000"/>
          <w:sz w:val="24"/>
        </w:rPr>
      </w:pPr>
      <w:r>
        <w:rPr>
          <w:rFonts w:eastAsiaTheme="minorEastAsia"/>
          <w:color w:val="000000"/>
          <w:sz w:val="24"/>
        </w:rPr>
        <w:t>本专业学制为3年，在校最长学习年限（含休学）不超过6年。</w:t>
      </w:r>
    </w:p>
    <w:p w14:paraId="7486E694">
      <w:pPr>
        <w:spacing w:line="360" w:lineRule="auto"/>
        <w:ind w:firstLine="560" w:firstLineChars="200"/>
        <w:rPr>
          <w:rFonts w:eastAsia="黑体"/>
          <w:bCs/>
          <w:sz w:val="28"/>
          <w:szCs w:val="28"/>
        </w:rPr>
      </w:pPr>
      <w:r>
        <w:rPr>
          <w:rFonts w:eastAsia="黑体"/>
          <w:bCs/>
          <w:sz w:val="28"/>
          <w:szCs w:val="28"/>
        </w:rPr>
        <w:t>五、培养目标</w:t>
      </w:r>
    </w:p>
    <w:p w14:paraId="0A72EBE6">
      <w:pPr>
        <w:widowControl/>
        <w:spacing w:line="360" w:lineRule="auto"/>
        <w:ind w:firstLine="480" w:firstLineChars="200"/>
        <w:jc w:val="left"/>
        <w:rPr>
          <w:color w:val="222222"/>
          <w:kern w:val="0"/>
          <w:sz w:val="24"/>
        </w:rPr>
      </w:pPr>
      <w:r>
        <w:rPr>
          <w:rFonts w:hint="eastAsia"/>
          <w:color w:val="222222"/>
          <w:kern w:val="0"/>
          <w:sz w:val="24"/>
        </w:rPr>
        <w:t>1.树立正确的中国特色社会主义核心价值观，具有坚定的理想信念，高尚的道德情操，优良的学术作风，高度的社会责任感。</w:t>
      </w:r>
    </w:p>
    <w:p w14:paraId="4176CA7B">
      <w:pPr>
        <w:widowControl/>
        <w:spacing w:line="360" w:lineRule="auto"/>
        <w:ind w:firstLine="480" w:firstLineChars="200"/>
        <w:jc w:val="left"/>
        <w:rPr>
          <w:color w:val="222222"/>
          <w:kern w:val="0"/>
          <w:sz w:val="24"/>
        </w:rPr>
      </w:pPr>
      <w:r>
        <w:rPr>
          <w:rFonts w:hint="eastAsia"/>
          <w:color w:val="222222"/>
          <w:kern w:val="0"/>
          <w:sz w:val="24"/>
        </w:rPr>
        <w:t>2.在社会工作学科或者专业领域掌握坚实的基础理论和系统的专门知识；具有从事科学研究工作或独立开展社会服务项目设计、执行、评估与督导以及其他直接与间接服务的实践能力。</w:t>
      </w:r>
    </w:p>
    <w:p w14:paraId="0C990A7C">
      <w:pPr>
        <w:widowControl/>
        <w:spacing w:line="360" w:lineRule="auto"/>
        <w:ind w:firstLine="480" w:firstLineChars="200"/>
        <w:jc w:val="left"/>
        <w:rPr>
          <w:color w:val="222222"/>
          <w:kern w:val="0"/>
          <w:sz w:val="24"/>
        </w:rPr>
      </w:pPr>
      <w:r>
        <w:rPr>
          <w:rFonts w:hint="eastAsia"/>
          <w:color w:val="222222"/>
          <w:kern w:val="0"/>
          <w:sz w:val="24"/>
        </w:rPr>
        <w:t>3.掌握一门外国语，能较熟练阅读社会工作专业的外文资料，具有撰写学术论文和进行国际学术交流的能力。</w:t>
      </w:r>
    </w:p>
    <w:p w14:paraId="5F58B11C">
      <w:pPr>
        <w:widowControl/>
        <w:spacing w:line="360" w:lineRule="auto"/>
        <w:ind w:firstLine="480" w:firstLineChars="200"/>
        <w:jc w:val="left"/>
        <w:rPr>
          <w:color w:val="222222"/>
          <w:kern w:val="0"/>
          <w:sz w:val="24"/>
        </w:rPr>
      </w:pPr>
      <w:r>
        <w:rPr>
          <w:rFonts w:hint="eastAsia"/>
          <w:color w:val="222222"/>
          <w:kern w:val="0"/>
          <w:sz w:val="24"/>
        </w:rPr>
        <w:t>4.具有良好的团队意识和团队合作精神。</w:t>
      </w:r>
    </w:p>
    <w:p w14:paraId="38646C26">
      <w:pPr>
        <w:widowControl/>
        <w:spacing w:line="360" w:lineRule="auto"/>
        <w:ind w:firstLine="480" w:firstLineChars="200"/>
        <w:jc w:val="left"/>
        <w:rPr>
          <w:color w:val="222222"/>
          <w:kern w:val="0"/>
          <w:sz w:val="24"/>
        </w:rPr>
      </w:pPr>
      <w:r>
        <w:rPr>
          <w:rFonts w:hint="eastAsia"/>
          <w:color w:val="222222"/>
          <w:kern w:val="0"/>
          <w:sz w:val="24"/>
        </w:rPr>
        <w:t>5.具有良好的心理素养，能够胜任政府部门和企业、学校、医院、社区中心、养老院、戒毒所、矫正机构、非营利组织等各类社会服务机构</w:t>
      </w:r>
      <w:r>
        <w:rPr>
          <w:rFonts w:hint="eastAsia"/>
          <w:color w:val="auto"/>
          <w:kern w:val="0"/>
          <w:sz w:val="24"/>
        </w:rPr>
        <w:t>的</w:t>
      </w:r>
      <w:r>
        <w:rPr>
          <w:rFonts w:hint="eastAsia"/>
          <w:color w:val="222222"/>
          <w:kern w:val="0"/>
          <w:sz w:val="24"/>
        </w:rPr>
        <w:t>工作。</w:t>
      </w:r>
    </w:p>
    <w:p w14:paraId="5F73DEA9">
      <w:pPr>
        <w:widowControl/>
        <w:spacing w:line="360" w:lineRule="auto"/>
        <w:ind w:firstLine="480" w:firstLineChars="200"/>
        <w:jc w:val="left"/>
        <w:rPr>
          <w:color w:val="222222"/>
          <w:kern w:val="0"/>
          <w:sz w:val="24"/>
        </w:rPr>
      </w:pPr>
      <w:r>
        <w:rPr>
          <w:rFonts w:hint="eastAsia"/>
          <w:color w:val="222222"/>
          <w:kern w:val="0"/>
          <w:sz w:val="24"/>
        </w:rPr>
        <w:t>6.培养德智体美劳全面发展的社会主义事业接班人。</w:t>
      </w:r>
    </w:p>
    <w:p w14:paraId="7BA48EF3">
      <w:pPr>
        <w:spacing w:line="360" w:lineRule="auto"/>
        <w:ind w:firstLine="560" w:firstLineChars="200"/>
        <w:rPr>
          <w:rFonts w:eastAsia="黑体"/>
          <w:bCs/>
          <w:sz w:val="28"/>
          <w:szCs w:val="28"/>
        </w:rPr>
      </w:pPr>
      <w:r>
        <w:rPr>
          <w:rFonts w:eastAsia="黑体"/>
          <w:bCs/>
          <w:sz w:val="28"/>
          <w:szCs w:val="28"/>
        </w:rPr>
        <w:t>六、培养方式</w:t>
      </w:r>
    </w:p>
    <w:p w14:paraId="3A9866E8">
      <w:pPr>
        <w:spacing w:line="360" w:lineRule="auto"/>
        <w:ind w:firstLine="480" w:firstLineChars="200"/>
        <w:rPr>
          <w:rFonts w:hint="eastAsia"/>
          <w:color w:val="000000" w:themeColor="text1"/>
          <w:kern w:val="0"/>
          <w:sz w:val="24"/>
          <w14:textFill>
            <w14:solidFill>
              <w14:schemeClr w14:val="tx1"/>
            </w14:solidFill>
          </w14:textFill>
        </w:rPr>
      </w:pPr>
      <w:r>
        <w:rPr>
          <w:rFonts w:hint="eastAsia"/>
          <w:color w:val="000000" w:themeColor="text1"/>
          <w:kern w:val="0"/>
          <w:sz w:val="24"/>
          <w14:textFill>
            <w14:solidFill>
              <w14:schemeClr w14:val="tx1"/>
            </w14:solidFill>
          </w14:textFill>
        </w:rPr>
        <w:t>本专业采取全日制培养方式。在专业人才培养方面注重国家和行业人才需求导向，发挥学科特色优势，注重产学协同育人和科教融合，在夯实学生基础理论功底的同时，与行业组织和用人跟单位协同强化专业伦理、方法和技术的实验实习实训，全面提升学生的理论与实务素养，培养新时代中国特色高级社会工作专业人才。</w:t>
      </w:r>
    </w:p>
    <w:p w14:paraId="059E3508">
      <w:pPr>
        <w:spacing w:line="360" w:lineRule="auto"/>
        <w:ind w:firstLine="560" w:firstLineChars="200"/>
        <w:rPr>
          <w:rFonts w:eastAsia="黑体"/>
          <w:bCs/>
          <w:sz w:val="28"/>
          <w:szCs w:val="28"/>
        </w:rPr>
      </w:pPr>
      <w:r>
        <w:rPr>
          <w:rFonts w:hint="eastAsia" w:eastAsia="黑体"/>
          <w:bCs/>
          <w:sz w:val="28"/>
          <w:szCs w:val="28"/>
        </w:rPr>
        <w:t>七、</w:t>
      </w:r>
      <w:r>
        <w:rPr>
          <w:rFonts w:eastAsia="黑体"/>
          <w:bCs/>
          <w:sz w:val="28"/>
          <w:szCs w:val="28"/>
        </w:rPr>
        <w:t>中期筛选</w:t>
      </w:r>
    </w:p>
    <w:p w14:paraId="2620499B">
      <w:pPr>
        <w:spacing w:line="360" w:lineRule="auto"/>
        <w:ind w:firstLine="480" w:firstLineChars="200"/>
        <w:rPr>
          <w:rFonts w:eastAsiaTheme="minorEastAsia"/>
          <w:bCs/>
          <w:sz w:val="24"/>
        </w:rPr>
      </w:pPr>
      <w:r>
        <w:rPr>
          <w:rFonts w:eastAsiaTheme="minorEastAsia"/>
          <w:bCs/>
          <w:sz w:val="24"/>
        </w:rPr>
        <w:t>在完成培养方案规定的课程学习、考核成绩合格、获得规定的学分后，按照《河北大学研究生中期筛选管理办法》（校政字〔2021〕15号）的相关规定，组织开展中期筛选工作。</w:t>
      </w:r>
    </w:p>
    <w:p w14:paraId="3E4C0C18">
      <w:pPr>
        <w:spacing w:line="360" w:lineRule="auto"/>
        <w:ind w:firstLine="560" w:firstLineChars="200"/>
        <w:rPr>
          <w:rFonts w:eastAsia="黑体"/>
          <w:bCs/>
          <w:sz w:val="28"/>
          <w:szCs w:val="28"/>
        </w:rPr>
      </w:pPr>
      <w:r>
        <w:rPr>
          <w:rFonts w:hint="eastAsia" w:eastAsia="黑体"/>
          <w:bCs/>
          <w:sz w:val="28"/>
          <w:szCs w:val="28"/>
        </w:rPr>
        <w:t>八</w:t>
      </w:r>
      <w:r>
        <w:rPr>
          <w:rFonts w:eastAsia="黑体"/>
          <w:bCs/>
          <w:sz w:val="28"/>
          <w:szCs w:val="28"/>
        </w:rPr>
        <w:t>、学位（毕业）论文</w:t>
      </w:r>
    </w:p>
    <w:p w14:paraId="047FE044">
      <w:pPr>
        <w:widowControl/>
        <w:spacing w:line="360" w:lineRule="auto"/>
        <w:ind w:firstLine="480"/>
        <w:jc w:val="left"/>
        <w:rPr>
          <w:color w:val="000000" w:themeColor="text1"/>
          <w:kern w:val="0"/>
          <w:sz w:val="24"/>
          <w14:textFill>
            <w14:solidFill>
              <w14:schemeClr w14:val="tx1"/>
            </w14:solidFill>
          </w14:textFill>
        </w:rPr>
      </w:pPr>
      <w:r>
        <w:rPr>
          <w:bCs/>
          <w:color w:val="222222"/>
          <w:kern w:val="0"/>
          <w:sz w:val="24"/>
        </w:rPr>
        <w:t>1.总体要求：</w:t>
      </w:r>
      <w:r>
        <w:rPr>
          <w:color w:val="000000" w:themeColor="text1"/>
          <w:kern w:val="0"/>
          <w:sz w:val="24"/>
          <w14:textFill>
            <w14:solidFill>
              <w14:schemeClr w14:val="tx1"/>
            </w14:solidFill>
          </w14:textFill>
        </w:rPr>
        <w:t>按照《河北大学关于开展2025版研究生培养方案修订工作的指导意见》（校政字〔2025〕</w:t>
      </w:r>
      <w:r>
        <w:rPr>
          <w:color w:val="auto"/>
          <w:kern w:val="0"/>
          <w:sz w:val="24"/>
        </w:rPr>
        <w:t>9</w:t>
      </w:r>
      <w:r>
        <w:rPr>
          <w:color w:val="000000" w:themeColor="text1"/>
          <w:kern w:val="0"/>
          <w:sz w:val="24"/>
          <w14:textFill>
            <w14:solidFill>
              <w14:schemeClr w14:val="tx1"/>
            </w14:solidFill>
          </w14:textFill>
        </w:rPr>
        <w:t>号）规定，硕士研究生论文开题与答辩时间间隔原则上不少于12个月。</w:t>
      </w:r>
    </w:p>
    <w:p w14:paraId="14645233">
      <w:pPr>
        <w:widowControl/>
        <w:spacing w:line="360" w:lineRule="auto"/>
        <w:ind w:firstLine="480"/>
        <w:jc w:val="left"/>
        <w:rPr>
          <w:rFonts w:hint="eastAsia"/>
          <w:color w:val="000000"/>
          <w:sz w:val="24"/>
          <w:lang w:eastAsia="zh-CN"/>
        </w:rPr>
      </w:pPr>
      <w:r>
        <w:rPr>
          <w:rFonts w:hint="eastAsia"/>
          <w:color w:val="000000"/>
          <w:sz w:val="24"/>
        </w:rPr>
        <w:t>学位（毕业）论文应着眼于解决实际问题，重在反映学生运用所学理论与知识综合解决实践问题的能力以及独立从事学术研究工作的能力，论文可以是项目设计与评估、实务研究或政策研究</w:t>
      </w:r>
      <w:r>
        <w:rPr>
          <w:rFonts w:hint="eastAsia"/>
          <w:color w:val="000000"/>
          <w:sz w:val="24"/>
          <w:lang w:val="en-US" w:eastAsia="zh-CN"/>
        </w:rPr>
        <w:t>等</w:t>
      </w:r>
      <w:r>
        <w:rPr>
          <w:rFonts w:hint="eastAsia"/>
          <w:color w:val="000000"/>
          <w:sz w:val="24"/>
          <w:lang w:eastAsia="zh-CN"/>
        </w:rPr>
        <w:t>。</w:t>
      </w:r>
      <w:r>
        <w:rPr>
          <w:rFonts w:hint="eastAsia"/>
          <w:color w:val="000000"/>
          <w:sz w:val="24"/>
        </w:rPr>
        <w:t>鼓励硕士研究生参与科学研究，取得创新性成果，不得抄袭和剽窃他人成果。学生应在导师指导下独立完成学位论文</w:t>
      </w:r>
      <w:r>
        <w:rPr>
          <w:rFonts w:hint="eastAsia"/>
          <w:color w:val="000000"/>
          <w:sz w:val="24"/>
          <w:lang w:eastAsia="zh-CN"/>
        </w:rPr>
        <w:t>。</w:t>
      </w:r>
    </w:p>
    <w:p w14:paraId="2A403626">
      <w:pPr>
        <w:widowControl/>
        <w:spacing w:line="360" w:lineRule="auto"/>
        <w:ind w:firstLine="480"/>
        <w:jc w:val="left"/>
        <w:rPr>
          <w:color w:val="000000"/>
          <w:sz w:val="24"/>
        </w:rPr>
      </w:pPr>
      <w:r>
        <w:rPr>
          <w:rFonts w:hint="eastAsia"/>
          <w:color w:val="000000"/>
          <w:sz w:val="24"/>
        </w:rPr>
        <w:t>2.开题：开题是研究生培养过程中开展学位（毕业）论文工作的首要环节，要求研究生充分阅读国内外相关文献，撰写开题报告。开题报告应包含文献综述、论文选题依据、研究方案、预期目标与成果、工作计划等关键问题。</w:t>
      </w:r>
    </w:p>
    <w:p w14:paraId="5411C4B2">
      <w:pPr>
        <w:widowControl/>
        <w:spacing w:line="360" w:lineRule="auto"/>
        <w:ind w:firstLine="480"/>
        <w:jc w:val="left"/>
        <w:rPr>
          <w:color w:val="000000"/>
          <w:sz w:val="24"/>
        </w:rPr>
      </w:pPr>
      <w:r>
        <w:rPr>
          <w:rFonts w:hint="eastAsia"/>
          <w:color w:val="000000"/>
          <w:sz w:val="24"/>
        </w:rPr>
        <w:t>原则上在入学后第3学期完成开题</w:t>
      </w:r>
      <w:r>
        <w:rPr>
          <w:rFonts w:hint="eastAsia"/>
          <w:color w:val="000000" w:themeColor="text1"/>
          <w:kern w:val="0"/>
          <w:sz w:val="24"/>
          <w:lang w:eastAsia="zh-CN"/>
          <w14:textFill>
            <w14:solidFill>
              <w14:schemeClr w14:val="tx1"/>
            </w14:solidFill>
          </w14:textFill>
        </w:rPr>
        <w:t>（</w:t>
      </w:r>
      <w:r>
        <w:rPr>
          <w:rFonts w:hint="eastAsia"/>
          <w:color w:val="000000" w:themeColor="text1"/>
          <w:kern w:val="0"/>
          <w:sz w:val="24"/>
          <w:lang w:val="en-US" w:eastAsia="zh-CN"/>
          <w14:textFill>
            <w14:solidFill>
              <w14:schemeClr w14:val="tx1"/>
            </w14:solidFill>
          </w14:textFill>
        </w:rPr>
        <w:t>最迟不超过第4学期</w:t>
      </w:r>
      <w:r>
        <w:rPr>
          <w:rFonts w:hint="eastAsia"/>
          <w:color w:val="000000" w:themeColor="text1"/>
          <w:kern w:val="0"/>
          <w:sz w:val="24"/>
          <w:lang w:eastAsia="zh-CN"/>
          <w14:textFill>
            <w14:solidFill>
              <w14:schemeClr w14:val="tx1"/>
            </w14:solidFill>
          </w14:textFill>
        </w:rPr>
        <w:t>）</w:t>
      </w:r>
      <w:r>
        <w:rPr>
          <w:rFonts w:hint="eastAsia"/>
          <w:color w:val="000000" w:themeColor="text1"/>
          <w:kern w:val="0"/>
          <w:sz w:val="24"/>
          <w14:textFill>
            <w14:solidFill>
              <w14:schemeClr w14:val="tx1"/>
            </w14:solidFill>
          </w14:textFill>
        </w:rPr>
        <w:t>。</w:t>
      </w:r>
      <w:r>
        <w:rPr>
          <w:rFonts w:hint="eastAsia"/>
          <w:color w:val="000000"/>
          <w:sz w:val="24"/>
        </w:rPr>
        <w:t>开题由3-5名具有高级专业技术职务人员参加，以学术报告的方式进行。</w:t>
      </w:r>
    </w:p>
    <w:p w14:paraId="7F12BF63">
      <w:pPr>
        <w:widowControl/>
        <w:spacing w:line="360" w:lineRule="auto"/>
        <w:ind w:firstLine="480"/>
        <w:jc w:val="left"/>
        <w:rPr>
          <w:color w:val="000000"/>
          <w:sz w:val="24"/>
        </w:rPr>
      </w:pPr>
      <w:r>
        <w:rPr>
          <w:rFonts w:hint="eastAsia"/>
          <w:color w:val="000000"/>
          <w:sz w:val="24"/>
        </w:rPr>
        <w:t>3.中期进展报告：中期进展报告是检查研究生个人综合能力及学位论文进展、指导研究生把握学位（毕业）论文方向、提高学位（毕业）论文质量的必要环节。中期进展报告原则上应在入学后第5学期进行；各导师组自行制定中期考核办法并组织考核。</w:t>
      </w:r>
    </w:p>
    <w:p w14:paraId="6A45ACFD">
      <w:pPr>
        <w:widowControl/>
        <w:spacing w:line="360" w:lineRule="auto"/>
        <w:ind w:firstLine="480"/>
        <w:jc w:val="left"/>
        <w:rPr>
          <w:color w:val="000000"/>
          <w:sz w:val="24"/>
        </w:rPr>
      </w:pPr>
      <w:r>
        <w:rPr>
          <w:rFonts w:hint="eastAsia"/>
          <w:color w:val="000000"/>
          <w:sz w:val="24"/>
        </w:rPr>
        <w:t>4.学位申请：达到学位授予条件的申请人，经导师同意后，应于答辩前三个月，向所属学位评定分委员会提出学位申请，提交学位申请材料。</w:t>
      </w:r>
    </w:p>
    <w:p w14:paraId="2C03228B">
      <w:pPr>
        <w:widowControl/>
        <w:spacing w:line="360" w:lineRule="auto"/>
        <w:ind w:firstLine="480"/>
        <w:jc w:val="left"/>
        <w:rPr>
          <w:color w:val="000000"/>
          <w:sz w:val="24"/>
        </w:rPr>
      </w:pPr>
      <w:r>
        <w:rPr>
          <w:rFonts w:hint="eastAsia"/>
          <w:color w:val="000000"/>
          <w:sz w:val="24"/>
        </w:rPr>
        <w:t>5.预答辩：学位申请人须进行学位论文预答辩。预答辩通过者，方可进入学位论文评阅、学位论文答辩等环节。学位（毕业）论文预答辩在正式答辩前3个月进行。</w:t>
      </w:r>
    </w:p>
    <w:p w14:paraId="64EDF244">
      <w:pPr>
        <w:widowControl/>
        <w:spacing w:line="360" w:lineRule="auto"/>
        <w:ind w:firstLine="480"/>
        <w:jc w:val="left"/>
        <w:rPr>
          <w:color w:val="000000"/>
          <w:sz w:val="24"/>
        </w:rPr>
      </w:pPr>
      <w:r>
        <w:rPr>
          <w:rFonts w:hint="eastAsia"/>
          <w:color w:val="000000"/>
          <w:sz w:val="24"/>
        </w:rPr>
        <w:t>6.论文评阅：学位（毕业）论文在获得导师组认可，经培养单位形式审查合格，并通过预答辩，方可提出进入评阅程序的申请。论文评阅在正式答辩前40天由研究生提出，由培养单位依据相关规定进行匿名评审。评阅结果及异议处理按照《河北大学研究生学位论文或者实践成果评审管理办法》（校政字〔2025〕8号）执行。</w:t>
      </w:r>
    </w:p>
    <w:p w14:paraId="6A9AA9FF">
      <w:pPr>
        <w:widowControl/>
        <w:spacing w:line="360" w:lineRule="auto"/>
        <w:ind w:firstLine="480"/>
        <w:jc w:val="left"/>
        <w:rPr>
          <w:rFonts w:eastAsiaTheme="minorEastAsia"/>
          <w:i/>
          <w:color w:val="FF0000"/>
          <w:sz w:val="24"/>
        </w:rPr>
      </w:pPr>
      <w:r>
        <w:rPr>
          <w:b/>
          <w:bCs/>
          <w:color w:val="222222"/>
          <w:kern w:val="0"/>
          <w:sz w:val="24"/>
        </w:rPr>
        <w:t>7.答辩：</w:t>
      </w:r>
      <w:r>
        <w:rPr>
          <w:bCs/>
          <w:color w:val="222222"/>
          <w:kern w:val="0"/>
          <w:sz w:val="24"/>
        </w:rPr>
        <w:t>学位（毕业）论文答辩按照</w:t>
      </w:r>
      <w:r>
        <w:rPr>
          <w:color w:val="222222"/>
          <w:kern w:val="0"/>
          <w:sz w:val="24"/>
        </w:rPr>
        <w:t>《河北大学博士、硕士学位授予工作实施细则》（校政字〔2025〕7号）执行。</w:t>
      </w:r>
    </w:p>
    <w:p w14:paraId="6FA13BFB">
      <w:pPr>
        <w:spacing w:line="360" w:lineRule="auto"/>
        <w:ind w:firstLine="560" w:firstLineChars="200"/>
        <w:rPr>
          <w:rFonts w:eastAsia="黑体"/>
          <w:bCs/>
          <w:sz w:val="28"/>
          <w:szCs w:val="28"/>
        </w:rPr>
      </w:pPr>
      <w:r>
        <w:rPr>
          <w:rFonts w:hint="eastAsia" w:eastAsia="黑体"/>
          <w:bCs/>
          <w:sz w:val="28"/>
          <w:szCs w:val="28"/>
        </w:rPr>
        <w:t>九</w:t>
      </w:r>
      <w:r>
        <w:rPr>
          <w:rFonts w:eastAsia="黑体"/>
          <w:bCs/>
          <w:sz w:val="28"/>
          <w:szCs w:val="28"/>
        </w:rPr>
        <w:t>、毕业条件</w:t>
      </w:r>
    </w:p>
    <w:p w14:paraId="6CA19BBA">
      <w:pPr>
        <w:spacing w:line="360" w:lineRule="auto"/>
        <w:ind w:firstLine="480" w:firstLineChars="200"/>
        <w:rPr>
          <w:rFonts w:eastAsiaTheme="minorEastAsia"/>
          <w:bCs/>
          <w:sz w:val="24"/>
        </w:rPr>
      </w:pPr>
      <w:r>
        <w:rPr>
          <w:rFonts w:eastAsiaTheme="minorEastAsia"/>
          <w:bCs/>
          <w:sz w:val="24"/>
        </w:rPr>
        <w:t>1.课程学习。研究生在规定修业年限内完成培养方案规定的课程学习，考核成绩合格，获得规定的学分。</w:t>
      </w:r>
    </w:p>
    <w:p w14:paraId="198CD69E">
      <w:pPr>
        <w:spacing w:line="360" w:lineRule="auto"/>
        <w:ind w:firstLine="480" w:firstLineChars="200"/>
        <w:rPr>
          <w:rFonts w:eastAsiaTheme="minorEastAsia"/>
          <w:bCs/>
          <w:sz w:val="24"/>
          <w:szCs w:val="22"/>
        </w:rPr>
      </w:pPr>
      <w:r>
        <w:rPr>
          <w:rFonts w:eastAsiaTheme="minorEastAsia"/>
          <w:bCs/>
          <w:sz w:val="24"/>
        </w:rPr>
        <w:t>2.</w:t>
      </w:r>
      <w:r>
        <w:rPr>
          <w:bCs/>
          <w:sz w:val="24"/>
        </w:rPr>
        <w:t>学术/实践活动。研究生在读期间至少需要完成两类活动中的一类：</w:t>
      </w:r>
    </w:p>
    <w:p w14:paraId="62E1CEBF">
      <w:pPr>
        <w:spacing w:line="360" w:lineRule="auto"/>
        <w:ind w:firstLine="480" w:firstLineChars="200"/>
        <w:rPr>
          <w:bCs/>
          <w:kern w:val="0"/>
          <w:sz w:val="24"/>
        </w:rPr>
      </w:pPr>
      <w:r>
        <w:rPr>
          <w:bCs/>
          <w:kern w:val="0"/>
          <w:sz w:val="24"/>
        </w:rPr>
        <w:t>（1）学术活动：研究生在读期间参加不少于10次学术活动，并撰写学术报告小结；以主讲人或宣讲人身份，参加在校内外举行的学术报告或学术讲座不少于</w:t>
      </w:r>
      <w:r>
        <w:rPr>
          <w:rFonts w:hint="eastAsia"/>
          <w:bCs/>
          <w:kern w:val="0"/>
          <w:sz w:val="24"/>
        </w:rPr>
        <w:t>2</w:t>
      </w:r>
      <w:r>
        <w:rPr>
          <w:bCs/>
          <w:kern w:val="0"/>
          <w:sz w:val="24"/>
        </w:rPr>
        <w:t>次。</w:t>
      </w:r>
    </w:p>
    <w:p w14:paraId="49C7CAD6">
      <w:pPr>
        <w:spacing w:line="360" w:lineRule="auto"/>
        <w:ind w:firstLine="480" w:firstLineChars="200"/>
        <w:rPr>
          <w:bCs/>
          <w:kern w:val="0"/>
          <w:sz w:val="24"/>
        </w:rPr>
      </w:pPr>
      <w:r>
        <w:rPr>
          <w:bCs/>
          <w:kern w:val="0"/>
          <w:sz w:val="24"/>
        </w:rPr>
        <w:t>（2）实践活动：参与本专业相关的社会实践，由相关单位出具相关实践证明材料；或组织开展与本专业相关的调查、考察等活动，并提交相关报告。</w:t>
      </w:r>
    </w:p>
    <w:p w14:paraId="6F0C66A1">
      <w:pPr>
        <w:spacing w:line="360" w:lineRule="auto"/>
        <w:ind w:firstLine="480" w:firstLineChars="200"/>
        <w:rPr>
          <w:bCs/>
          <w:kern w:val="0"/>
          <w:sz w:val="24"/>
        </w:rPr>
      </w:pPr>
      <w:r>
        <w:rPr>
          <w:rFonts w:hint="eastAsia"/>
          <w:bCs/>
          <w:kern w:val="0"/>
          <w:sz w:val="24"/>
        </w:rPr>
        <w:t>根据《专业学位类别（领域）博士、硕士学位基本要求》，本专业社会实践课程包括专业实习和毕业实习，学生需按照培养计划在学院安排下完成800小时实习任务。</w:t>
      </w:r>
    </w:p>
    <w:p w14:paraId="6CE35A2D">
      <w:pPr>
        <w:spacing w:line="360" w:lineRule="auto"/>
        <w:ind w:firstLine="480" w:firstLineChars="200"/>
        <w:rPr>
          <w:bCs/>
          <w:kern w:val="0"/>
          <w:sz w:val="24"/>
        </w:rPr>
      </w:pPr>
      <w:r>
        <w:rPr>
          <w:bCs/>
          <w:kern w:val="0"/>
          <w:sz w:val="24"/>
        </w:rPr>
        <w:t>3.符合提前毕业条件的研究生，可按照学校相关规定申请提前毕业。</w:t>
      </w:r>
    </w:p>
    <w:p w14:paraId="0D923BDC">
      <w:pPr>
        <w:spacing w:line="360" w:lineRule="auto"/>
        <w:ind w:firstLine="480" w:firstLineChars="200"/>
        <w:rPr>
          <w:bCs/>
          <w:kern w:val="0"/>
          <w:sz w:val="24"/>
        </w:rPr>
      </w:pPr>
      <w:r>
        <w:rPr>
          <w:bCs/>
          <w:kern w:val="0"/>
          <w:sz w:val="24"/>
        </w:rPr>
        <w:t>4.论文答辩。学位（毕业）论文经专家评审合格、通过学位（毕业）答辩，符合毕业资格审查后，准予毕业。</w:t>
      </w:r>
    </w:p>
    <w:p w14:paraId="2534827C">
      <w:pPr>
        <w:spacing w:line="360" w:lineRule="auto"/>
        <w:ind w:firstLine="560" w:firstLineChars="200"/>
        <w:rPr>
          <w:rFonts w:eastAsia="黑体"/>
          <w:bCs/>
          <w:sz w:val="28"/>
          <w:szCs w:val="28"/>
        </w:rPr>
      </w:pPr>
      <w:r>
        <w:rPr>
          <w:rFonts w:hint="eastAsia" w:eastAsia="黑体"/>
          <w:bCs/>
          <w:sz w:val="28"/>
          <w:szCs w:val="28"/>
        </w:rPr>
        <w:t>十</w:t>
      </w:r>
      <w:r>
        <w:rPr>
          <w:rFonts w:eastAsia="黑体"/>
          <w:bCs/>
          <w:sz w:val="28"/>
          <w:szCs w:val="28"/>
        </w:rPr>
        <w:t>、创新性成果</w:t>
      </w:r>
    </w:p>
    <w:p w14:paraId="55214A10">
      <w:pPr>
        <w:spacing w:line="360" w:lineRule="auto"/>
        <w:ind w:firstLine="480" w:firstLineChars="200"/>
        <w:rPr>
          <w:rFonts w:eastAsiaTheme="minorEastAsia"/>
          <w:color w:val="000000"/>
          <w:sz w:val="24"/>
        </w:rPr>
      </w:pPr>
      <w:r>
        <w:rPr>
          <w:rFonts w:eastAsiaTheme="minorEastAsia"/>
          <w:color w:val="000000"/>
          <w:sz w:val="24"/>
        </w:rPr>
        <w:t>研究生申请学位取得的创新性成果需满足《哲学与社会学学院关于研究生申请学位取得创新性成果的规定》的有关要求。</w:t>
      </w:r>
    </w:p>
    <w:p w14:paraId="09512F72">
      <w:pPr>
        <w:spacing w:line="360" w:lineRule="auto"/>
        <w:ind w:firstLine="560" w:firstLineChars="200"/>
        <w:rPr>
          <w:rFonts w:eastAsia="黑体"/>
          <w:bCs/>
          <w:sz w:val="28"/>
          <w:szCs w:val="28"/>
        </w:rPr>
      </w:pPr>
      <w:r>
        <w:rPr>
          <w:rFonts w:eastAsia="黑体"/>
          <w:bCs/>
          <w:sz w:val="28"/>
          <w:szCs w:val="28"/>
        </w:rPr>
        <w:t>十一、学位授予</w:t>
      </w:r>
    </w:p>
    <w:p w14:paraId="6F7CE256">
      <w:pPr>
        <w:spacing w:line="360" w:lineRule="auto"/>
        <w:ind w:firstLine="480" w:firstLineChars="200"/>
        <w:rPr>
          <w:rFonts w:eastAsiaTheme="minorEastAsia"/>
          <w:bCs/>
          <w:sz w:val="24"/>
        </w:rPr>
      </w:pPr>
      <w:r>
        <w:rPr>
          <w:rFonts w:eastAsiaTheme="minorEastAsia"/>
          <w:bCs/>
          <w:color w:val="000000" w:themeColor="text1"/>
          <w:sz w:val="24"/>
          <w14:textFill>
            <w14:solidFill>
              <w14:schemeClr w14:val="tx1"/>
            </w14:solidFill>
          </w14:textFill>
        </w:rPr>
        <w:t>研究生通过毕业资格审查，</w:t>
      </w:r>
      <w:r>
        <w:rPr>
          <w:color w:val="222222"/>
          <w:kern w:val="0"/>
          <w:sz w:val="24"/>
        </w:rPr>
        <w:t>满足本学院制定的创新性成果要求，</w:t>
      </w:r>
      <w:r>
        <w:rPr>
          <w:rFonts w:eastAsiaTheme="minorEastAsia"/>
          <w:bCs/>
          <w:sz w:val="24"/>
        </w:rPr>
        <w:t>符合</w:t>
      </w:r>
      <w:r>
        <w:rPr>
          <w:color w:val="222222"/>
          <w:kern w:val="0"/>
          <w:sz w:val="24"/>
        </w:rPr>
        <w:t>《河北大学博士、硕士学位授予工作实施细则》（校政字〔2025〕7号）</w:t>
      </w:r>
      <w:r>
        <w:rPr>
          <w:rFonts w:eastAsiaTheme="minorEastAsia"/>
          <w:bCs/>
          <w:sz w:val="24"/>
        </w:rPr>
        <w:t>的有关规定，达到学校学位授予标准，经学校学位评定委员会审议，授予硕士学位。</w:t>
      </w:r>
    </w:p>
    <w:p w14:paraId="028E9F8A">
      <w:pPr>
        <w:spacing w:line="360" w:lineRule="auto"/>
        <w:ind w:firstLine="560" w:firstLineChars="200"/>
        <w:rPr>
          <w:rFonts w:eastAsia="黑体"/>
          <w:bCs/>
          <w:sz w:val="28"/>
          <w:szCs w:val="28"/>
        </w:rPr>
      </w:pPr>
      <w:r>
        <w:rPr>
          <w:rFonts w:eastAsia="黑体"/>
          <w:bCs/>
          <w:sz w:val="28"/>
          <w:szCs w:val="28"/>
        </w:rPr>
        <w:t>十</w:t>
      </w:r>
      <w:r>
        <w:rPr>
          <w:rFonts w:hint="eastAsia" w:eastAsia="黑体"/>
          <w:bCs/>
          <w:sz w:val="28"/>
          <w:szCs w:val="28"/>
        </w:rPr>
        <w:t>二</w:t>
      </w:r>
      <w:r>
        <w:rPr>
          <w:rFonts w:eastAsia="黑体"/>
          <w:bCs/>
          <w:sz w:val="28"/>
          <w:szCs w:val="28"/>
        </w:rPr>
        <w:t>、学分及课程设置</w:t>
      </w:r>
    </w:p>
    <w:p w14:paraId="0C237248">
      <w:pPr>
        <w:spacing w:line="360" w:lineRule="auto"/>
        <w:ind w:firstLine="480" w:firstLineChars="200"/>
        <w:rPr>
          <w:rFonts w:eastAsiaTheme="minorEastAsia"/>
          <w:color w:val="000000"/>
          <w:sz w:val="24"/>
        </w:rPr>
      </w:pPr>
      <w:r>
        <w:rPr>
          <w:rFonts w:eastAsiaTheme="minorEastAsia"/>
          <w:color w:val="000000"/>
          <w:sz w:val="24"/>
        </w:rPr>
        <w:t>本专业最低毕业学分为</w:t>
      </w:r>
      <w:r>
        <w:rPr>
          <w:rFonts w:hint="eastAsia" w:eastAsiaTheme="minorEastAsia"/>
          <w:color w:val="000000"/>
          <w:sz w:val="24"/>
        </w:rPr>
        <w:t>3</w:t>
      </w:r>
      <w:r>
        <w:rPr>
          <w:rFonts w:hint="eastAsia" w:eastAsiaTheme="minorEastAsia"/>
          <w:color w:val="000000"/>
          <w:sz w:val="24"/>
          <w:lang w:val="en-US" w:eastAsia="zh-CN"/>
        </w:rPr>
        <w:t>7</w:t>
      </w:r>
      <w:r>
        <w:rPr>
          <w:rFonts w:eastAsiaTheme="minorEastAsia"/>
          <w:color w:val="000000"/>
          <w:sz w:val="24"/>
        </w:rPr>
        <w:t>分，其中学位课</w:t>
      </w:r>
      <w:r>
        <w:rPr>
          <w:rFonts w:hint="eastAsia" w:eastAsiaTheme="minorEastAsia"/>
          <w:color w:val="000000"/>
          <w:sz w:val="24"/>
        </w:rPr>
        <w:t>2</w:t>
      </w:r>
      <w:r>
        <w:rPr>
          <w:rFonts w:hint="eastAsia" w:eastAsiaTheme="minorEastAsia"/>
          <w:color w:val="000000"/>
          <w:sz w:val="24"/>
          <w:lang w:val="en-US" w:eastAsia="zh-CN"/>
        </w:rPr>
        <w:t>5</w:t>
      </w:r>
      <w:r>
        <w:rPr>
          <w:rFonts w:eastAsiaTheme="minorEastAsia"/>
          <w:color w:val="000000"/>
          <w:sz w:val="24"/>
        </w:rPr>
        <w:t>学分</w:t>
      </w:r>
      <w:r>
        <w:rPr>
          <w:rFonts w:hint="eastAsia" w:eastAsiaTheme="minorEastAsia"/>
          <w:color w:val="000000"/>
          <w:sz w:val="24"/>
        </w:rPr>
        <w:t>（包括实习课程</w:t>
      </w:r>
      <w:r>
        <w:rPr>
          <w:rFonts w:hint="eastAsia" w:eastAsiaTheme="minorEastAsia"/>
          <w:color w:val="000000"/>
          <w:sz w:val="24"/>
          <w:lang w:val="en-US" w:eastAsia="zh-CN"/>
        </w:rPr>
        <w:t>6</w:t>
      </w:r>
      <w:r>
        <w:rPr>
          <w:rFonts w:hint="eastAsia" w:eastAsiaTheme="minorEastAsia"/>
          <w:color w:val="000000"/>
          <w:sz w:val="24"/>
        </w:rPr>
        <w:t>学分）</w:t>
      </w:r>
      <w:r>
        <w:rPr>
          <w:rFonts w:eastAsiaTheme="minorEastAsia"/>
          <w:color w:val="000000"/>
          <w:sz w:val="24"/>
        </w:rPr>
        <w:t>，非学位课</w:t>
      </w:r>
      <w:r>
        <w:rPr>
          <w:rFonts w:hint="eastAsia" w:eastAsiaTheme="minorEastAsia"/>
          <w:color w:val="000000"/>
          <w:sz w:val="24"/>
        </w:rPr>
        <w:t>10</w:t>
      </w:r>
      <w:r>
        <w:rPr>
          <w:rFonts w:eastAsiaTheme="minorEastAsia"/>
          <w:color w:val="000000"/>
          <w:sz w:val="24"/>
        </w:rPr>
        <w:t>学分，必修环节</w:t>
      </w:r>
      <w:r>
        <w:rPr>
          <w:rFonts w:hint="eastAsia" w:eastAsiaTheme="minorEastAsia"/>
          <w:color w:val="000000"/>
          <w:sz w:val="24"/>
        </w:rPr>
        <w:t>2</w:t>
      </w:r>
      <w:r>
        <w:rPr>
          <w:rFonts w:eastAsiaTheme="minorEastAsia"/>
          <w:color w:val="000000"/>
          <w:sz w:val="24"/>
        </w:rPr>
        <w:t>分。</w:t>
      </w:r>
    </w:p>
    <w:p w14:paraId="1E130535">
      <w:pPr>
        <w:spacing w:line="360" w:lineRule="auto"/>
        <w:ind w:firstLine="480" w:firstLineChars="200"/>
        <w:rPr>
          <w:rFonts w:eastAsiaTheme="minorEastAsia"/>
          <w:color w:val="000000"/>
          <w:sz w:val="24"/>
        </w:rPr>
      </w:pPr>
      <w:r>
        <w:rPr>
          <w:rFonts w:eastAsiaTheme="minorEastAsia"/>
          <w:color w:val="000000"/>
          <w:sz w:val="24"/>
        </w:rPr>
        <w:t>课程考试不设补考环节，考试成绩低于60分的需重修。</w:t>
      </w:r>
    </w:p>
    <w:p w14:paraId="62CDE6F2">
      <w:pPr>
        <w:spacing w:line="360" w:lineRule="auto"/>
        <w:jc w:val="center"/>
        <w:rPr>
          <w:rFonts w:eastAsiaTheme="minorEastAsia"/>
          <w:b/>
          <w:bCs/>
          <w:sz w:val="24"/>
        </w:rPr>
      </w:pPr>
      <w:r>
        <w:rPr>
          <w:rFonts w:hint="eastAsia" w:eastAsiaTheme="minorEastAsia"/>
          <w:b/>
          <w:bCs/>
          <w:sz w:val="24"/>
        </w:rPr>
        <w:t>社会工作</w:t>
      </w:r>
      <w:r>
        <w:rPr>
          <w:rFonts w:eastAsiaTheme="minorEastAsia"/>
          <w:b/>
          <w:bCs/>
          <w:sz w:val="24"/>
        </w:rPr>
        <w:t>专业全日制专业学位硕士研究生课程及培养环节设置一览表</w:t>
      </w:r>
    </w:p>
    <w:tbl>
      <w:tblPr>
        <w:tblStyle w:val="7"/>
        <w:tblW w:w="8857"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71"/>
        <w:gridCol w:w="1226"/>
        <w:gridCol w:w="3516"/>
        <w:gridCol w:w="1081"/>
        <w:gridCol w:w="709"/>
        <w:gridCol w:w="709"/>
        <w:gridCol w:w="1045"/>
      </w:tblGrid>
      <w:tr w14:paraId="16EA29F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797" w:type="dxa"/>
            <w:gridSpan w:val="2"/>
            <w:vAlign w:val="center"/>
          </w:tcPr>
          <w:p w14:paraId="3DD544DC">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课程类别</w:t>
            </w:r>
          </w:p>
        </w:tc>
        <w:tc>
          <w:tcPr>
            <w:tcW w:w="3516" w:type="dxa"/>
            <w:vAlign w:val="center"/>
          </w:tcPr>
          <w:p w14:paraId="770B442F">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课程说明</w:t>
            </w:r>
          </w:p>
        </w:tc>
        <w:tc>
          <w:tcPr>
            <w:tcW w:w="1081" w:type="dxa"/>
            <w:vAlign w:val="center"/>
          </w:tcPr>
          <w:p w14:paraId="66FE358B">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课程编号</w:t>
            </w:r>
          </w:p>
        </w:tc>
        <w:tc>
          <w:tcPr>
            <w:tcW w:w="709" w:type="dxa"/>
            <w:vAlign w:val="center"/>
          </w:tcPr>
          <w:p w14:paraId="7844D386">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学分</w:t>
            </w:r>
          </w:p>
        </w:tc>
        <w:tc>
          <w:tcPr>
            <w:tcW w:w="709" w:type="dxa"/>
            <w:vAlign w:val="center"/>
          </w:tcPr>
          <w:p w14:paraId="0901B23A">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学期</w:t>
            </w:r>
          </w:p>
        </w:tc>
        <w:tc>
          <w:tcPr>
            <w:tcW w:w="1045" w:type="dxa"/>
            <w:vAlign w:val="center"/>
          </w:tcPr>
          <w:p w14:paraId="6CA9207A">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备注</w:t>
            </w:r>
          </w:p>
        </w:tc>
      </w:tr>
      <w:tr w14:paraId="4861553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restart"/>
            <w:vAlign w:val="center"/>
          </w:tcPr>
          <w:p w14:paraId="741FF24C">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学位课</w:t>
            </w:r>
          </w:p>
        </w:tc>
        <w:tc>
          <w:tcPr>
            <w:tcW w:w="1226" w:type="dxa"/>
            <w:vMerge w:val="restart"/>
            <w:vAlign w:val="center"/>
          </w:tcPr>
          <w:p w14:paraId="188D7D18">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公共必修课</w:t>
            </w:r>
          </w:p>
          <w:p w14:paraId="2A8EE323">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4</w:t>
            </w:r>
            <w:r>
              <w:rPr>
                <w:b/>
                <w:color w:val="000000" w:themeColor="text1"/>
                <w:sz w:val="18"/>
                <w:szCs w:val="18"/>
                <w14:textFill>
                  <w14:solidFill>
                    <w14:schemeClr w14:val="tx1"/>
                  </w14:solidFill>
                </w14:textFill>
              </w:rPr>
              <w:t>学分）</w:t>
            </w:r>
          </w:p>
        </w:tc>
        <w:tc>
          <w:tcPr>
            <w:tcW w:w="3516" w:type="dxa"/>
            <w:vAlign w:val="center"/>
          </w:tcPr>
          <w:p w14:paraId="292887AC">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新时代中国特色社会主义理论与实践</w:t>
            </w:r>
          </w:p>
        </w:tc>
        <w:tc>
          <w:tcPr>
            <w:tcW w:w="1081" w:type="dxa"/>
            <w:shd w:val="clear" w:color="auto" w:fill="auto"/>
            <w:vAlign w:val="center"/>
          </w:tcPr>
          <w:p w14:paraId="7CCFF452">
            <w:pPr>
              <w:jc w:val="center"/>
              <w:rPr>
                <w:rFonts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color w:val="000000" w:themeColor="text1"/>
                <w:sz w:val="18"/>
                <w:szCs w:val="18"/>
                <w14:textFill>
                  <w14:solidFill>
                    <w14:schemeClr w14:val="tx1"/>
                  </w14:solidFill>
                </w14:textFill>
              </w:rPr>
              <w:t>TS0000001</w:t>
            </w:r>
          </w:p>
        </w:tc>
        <w:tc>
          <w:tcPr>
            <w:tcW w:w="709" w:type="dxa"/>
            <w:vAlign w:val="center"/>
          </w:tcPr>
          <w:p w14:paraId="36BEFDAD">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709" w:type="dxa"/>
            <w:vAlign w:val="center"/>
          </w:tcPr>
          <w:p w14:paraId="12ED8649">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Align w:val="center"/>
          </w:tcPr>
          <w:p w14:paraId="123538E6">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考查</w:t>
            </w:r>
          </w:p>
        </w:tc>
      </w:tr>
      <w:tr w14:paraId="5B8E77B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continue"/>
            <w:vAlign w:val="center"/>
          </w:tcPr>
          <w:p w14:paraId="2290BE27">
            <w:pPr>
              <w:jc w:val="center"/>
              <w:rPr>
                <w:b/>
                <w:color w:val="000000" w:themeColor="text1"/>
                <w:sz w:val="18"/>
                <w:szCs w:val="18"/>
                <w14:textFill>
                  <w14:solidFill>
                    <w14:schemeClr w14:val="tx1"/>
                  </w14:solidFill>
                </w14:textFill>
              </w:rPr>
            </w:pPr>
          </w:p>
        </w:tc>
        <w:tc>
          <w:tcPr>
            <w:tcW w:w="1226" w:type="dxa"/>
            <w:vMerge w:val="continue"/>
            <w:vAlign w:val="center"/>
          </w:tcPr>
          <w:p w14:paraId="6C3D294B">
            <w:pPr>
              <w:jc w:val="center"/>
              <w:rPr>
                <w:b/>
                <w:color w:val="000000" w:themeColor="text1"/>
                <w:sz w:val="18"/>
                <w:szCs w:val="18"/>
                <w14:textFill>
                  <w14:solidFill>
                    <w14:schemeClr w14:val="tx1"/>
                  </w14:solidFill>
                </w14:textFill>
              </w:rPr>
            </w:pPr>
          </w:p>
        </w:tc>
        <w:tc>
          <w:tcPr>
            <w:tcW w:w="3516" w:type="dxa"/>
            <w:vAlign w:val="center"/>
          </w:tcPr>
          <w:p w14:paraId="389F375C">
            <w:pPr>
              <w:rPr>
                <w:sz w:val="18"/>
                <w:szCs w:val="18"/>
              </w:rPr>
            </w:pPr>
            <w:r>
              <w:rPr>
                <w:sz w:val="18"/>
                <w:szCs w:val="18"/>
              </w:rPr>
              <w:t>通用学术英语</w:t>
            </w:r>
          </w:p>
        </w:tc>
        <w:tc>
          <w:tcPr>
            <w:tcW w:w="1081" w:type="dxa"/>
            <w:shd w:val="clear" w:color="auto" w:fill="auto"/>
            <w:vAlign w:val="center"/>
          </w:tcPr>
          <w:p w14:paraId="5C3E3D14">
            <w:pPr>
              <w:jc w:val="center"/>
              <w:rPr>
                <w:rFonts w:ascii="Times New Roman" w:hAnsi="Times New Roman" w:eastAsia="宋体" w:cs="Times New Roman"/>
                <w:kern w:val="2"/>
                <w:sz w:val="18"/>
                <w:szCs w:val="18"/>
                <w:lang w:val="en-US" w:eastAsia="zh-CN" w:bidi="ar-SA"/>
              </w:rPr>
            </w:pPr>
            <w:r>
              <w:rPr>
                <w:sz w:val="18"/>
                <w:szCs w:val="18"/>
              </w:rPr>
              <w:t>TS0000002</w:t>
            </w:r>
          </w:p>
        </w:tc>
        <w:tc>
          <w:tcPr>
            <w:tcW w:w="709" w:type="dxa"/>
            <w:vAlign w:val="center"/>
          </w:tcPr>
          <w:p w14:paraId="5E75EE54">
            <w:pPr>
              <w:jc w:val="center"/>
              <w:rPr>
                <w:sz w:val="18"/>
                <w:szCs w:val="18"/>
              </w:rPr>
            </w:pPr>
            <w:r>
              <w:rPr>
                <w:sz w:val="18"/>
                <w:szCs w:val="18"/>
              </w:rPr>
              <w:t>2</w:t>
            </w:r>
          </w:p>
        </w:tc>
        <w:tc>
          <w:tcPr>
            <w:tcW w:w="709" w:type="dxa"/>
            <w:vAlign w:val="center"/>
          </w:tcPr>
          <w:p w14:paraId="4B865AA9">
            <w:pPr>
              <w:jc w:val="center"/>
              <w:rPr>
                <w:sz w:val="18"/>
                <w:szCs w:val="18"/>
              </w:rPr>
            </w:pPr>
            <w:r>
              <w:rPr>
                <w:sz w:val="18"/>
                <w:szCs w:val="18"/>
              </w:rPr>
              <w:t>1</w:t>
            </w:r>
          </w:p>
        </w:tc>
        <w:tc>
          <w:tcPr>
            <w:tcW w:w="1045" w:type="dxa"/>
            <w:vAlign w:val="center"/>
          </w:tcPr>
          <w:p w14:paraId="0A916CB3">
            <w:pPr>
              <w:jc w:val="center"/>
              <w:rPr>
                <w:sz w:val="18"/>
                <w:szCs w:val="18"/>
              </w:rPr>
            </w:pPr>
            <w:r>
              <w:rPr>
                <w:rFonts w:hint="eastAsia"/>
                <w:sz w:val="18"/>
                <w:szCs w:val="18"/>
              </w:rPr>
              <w:t>考查</w:t>
            </w:r>
          </w:p>
        </w:tc>
      </w:tr>
      <w:tr w14:paraId="7C3FA33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4F023D8F">
            <w:pPr>
              <w:jc w:val="center"/>
              <w:rPr>
                <w:b/>
                <w:color w:val="000000" w:themeColor="text1"/>
                <w:sz w:val="18"/>
                <w:szCs w:val="18"/>
                <w14:textFill>
                  <w14:solidFill>
                    <w14:schemeClr w14:val="tx1"/>
                  </w14:solidFill>
                </w14:textFill>
              </w:rPr>
            </w:pPr>
          </w:p>
        </w:tc>
        <w:tc>
          <w:tcPr>
            <w:tcW w:w="1226" w:type="dxa"/>
            <w:vMerge w:val="restart"/>
            <w:vAlign w:val="center"/>
          </w:tcPr>
          <w:p w14:paraId="22F14DD9">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学科基础课</w:t>
            </w:r>
          </w:p>
          <w:p w14:paraId="349E30D1">
            <w:pPr>
              <w:jc w:val="center"/>
              <w:rPr>
                <w:sz w:val="18"/>
                <w:szCs w:val="18"/>
              </w:rPr>
            </w:pPr>
            <w:r>
              <w:rPr>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5</w:t>
            </w:r>
            <w:r>
              <w:rPr>
                <w:b/>
                <w:color w:val="000000" w:themeColor="text1"/>
                <w:sz w:val="18"/>
                <w:szCs w:val="18"/>
                <w14:textFill>
                  <w14:solidFill>
                    <w14:schemeClr w14:val="tx1"/>
                  </w14:solidFill>
                </w14:textFill>
              </w:rPr>
              <w:t>学分）</w:t>
            </w:r>
          </w:p>
        </w:tc>
        <w:tc>
          <w:tcPr>
            <w:tcW w:w="3516" w:type="dxa"/>
            <w:vAlign w:val="center"/>
          </w:tcPr>
          <w:p w14:paraId="0818A4BB">
            <w:pPr>
              <w:rPr>
                <w:sz w:val="18"/>
                <w:szCs w:val="18"/>
              </w:rPr>
            </w:pPr>
            <w:r>
              <w:rPr>
                <w:sz w:val="18"/>
                <w:szCs w:val="18"/>
              </w:rPr>
              <w:t>学术道德与论文写作</w:t>
            </w:r>
          </w:p>
        </w:tc>
        <w:tc>
          <w:tcPr>
            <w:tcW w:w="1081" w:type="dxa"/>
            <w:shd w:val="clear" w:color="auto" w:fill="auto"/>
            <w:vAlign w:val="center"/>
          </w:tcPr>
          <w:p w14:paraId="499559A9">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ZS29030</w:t>
            </w:r>
            <w:r>
              <w:rPr>
                <w:rFonts w:hint="eastAsia"/>
                <w:color w:val="auto"/>
                <w:sz w:val="18"/>
                <w:szCs w:val="18"/>
                <w:lang w:val="en-US" w:eastAsia="zh-CN"/>
              </w:rPr>
              <w:t>1</w:t>
            </w:r>
            <w:r>
              <w:rPr>
                <w:rFonts w:hint="eastAsia"/>
                <w:color w:val="auto"/>
                <w:sz w:val="18"/>
                <w:szCs w:val="18"/>
              </w:rPr>
              <w:t>1</w:t>
            </w:r>
          </w:p>
        </w:tc>
        <w:tc>
          <w:tcPr>
            <w:tcW w:w="709" w:type="dxa"/>
            <w:vAlign w:val="center"/>
          </w:tcPr>
          <w:p w14:paraId="2BE4D8AA">
            <w:pPr>
              <w:jc w:val="center"/>
              <w:rPr>
                <w:sz w:val="18"/>
                <w:szCs w:val="18"/>
              </w:rPr>
            </w:pPr>
            <w:r>
              <w:rPr>
                <w:rFonts w:hint="eastAsia"/>
                <w:sz w:val="18"/>
                <w:szCs w:val="18"/>
              </w:rPr>
              <w:t>1</w:t>
            </w:r>
          </w:p>
        </w:tc>
        <w:tc>
          <w:tcPr>
            <w:tcW w:w="709" w:type="dxa"/>
            <w:vAlign w:val="center"/>
          </w:tcPr>
          <w:p w14:paraId="171B4D0A">
            <w:pPr>
              <w:jc w:val="center"/>
              <w:rPr>
                <w:sz w:val="18"/>
                <w:szCs w:val="18"/>
              </w:rPr>
            </w:pPr>
            <w:r>
              <w:rPr>
                <w:rFonts w:hint="eastAsia"/>
                <w:sz w:val="18"/>
                <w:szCs w:val="18"/>
              </w:rPr>
              <w:t>2</w:t>
            </w:r>
          </w:p>
        </w:tc>
        <w:tc>
          <w:tcPr>
            <w:tcW w:w="1045" w:type="dxa"/>
            <w:vAlign w:val="center"/>
          </w:tcPr>
          <w:p w14:paraId="5D220B0A">
            <w:pPr>
              <w:jc w:val="center"/>
              <w:rPr>
                <w:sz w:val="18"/>
                <w:szCs w:val="18"/>
              </w:rPr>
            </w:pPr>
            <w:r>
              <w:rPr>
                <w:rFonts w:hint="eastAsia"/>
                <w:sz w:val="18"/>
                <w:szCs w:val="18"/>
              </w:rPr>
              <w:t>考查</w:t>
            </w:r>
          </w:p>
        </w:tc>
      </w:tr>
      <w:tr w14:paraId="45CF243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2C462CCD">
            <w:pPr>
              <w:jc w:val="center"/>
              <w:rPr>
                <w:b/>
                <w:color w:val="000000" w:themeColor="text1"/>
                <w:sz w:val="18"/>
                <w:szCs w:val="18"/>
                <w14:textFill>
                  <w14:solidFill>
                    <w14:schemeClr w14:val="tx1"/>
                  </w14:solidFill>
                </w14:textFill>
              </w:rPr>
            </w:pPr>
          </w:p>
        </w:tc>
        <w:tc>
          <w:tcPr>
            <w:tcW w:w="1226" w:type="dxa"/>
            <w:vMerge w:val="continue"/>
            <w:vAlign w:val="center"/>
          </w:tcPr>
          <w:p w14:paraId="55EFF25A">
            <w:pPr>
              <w:rPr>
                <w:sz w:val="18"/>
                <w:szCs w:val="18"/>
              </w:rPr>
            </w:pPr>
          </w:p>
        </w:tc>
        <w:tc>
          <w:tcPr>
            <w:tcW w:w="3516" w:type="dxa"/>
            <w:vAlign w:val="center"/>
          </w:tcPr>
          <w:p w14:paraId="743232D7">
            <w:pPr>
              <w:rPr>
                <w:sz w:val="18"/>
                <w:szCs w:val="18"/>
              </w:rPr>
            </w:pPr>
            <w:r>
              <w:rPr>
                <w:rFonts w:hint="eastAsia"/>
                <w:sz w:val="18"/>
                <w:szCs w:val="18"/>
              </w:rPr>
              <w:t>社会工作理论</w:t>
            </w:r>
          </w:p>
        </w:tc>
        <w:tc>
          <w:tcPr>
            <w:tcW w:w="1081" w:type="dxa"/>
            <w:shd w:val="clear" w:color="auto" w:fill="auto"/>
            <w:vAlign w:val="center"/>
          </w:tcPr>
          <w:p w14:paraId="67398198">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ZS29030</w:t>
            </w:r>
            <w:r>
              <w:rPr>
                <w:rFonts w:hint="eastAsia"/>
                <w:color w:val="auto"/>
                <w:sz w:val="18"/>
                <w:szCs w:val="18"/>
                <w:lang w:val="en-US" w:eastAsia="zh-CN"/>
              </w:rPr>
              <w:t>1</w:t>
            </w:r>
            <w:r>
              <w:rPr>
                <w:rFonts w:hint="eastAsia"/>
                <w:color w:val="auto"/>
                <w:sz w:val="18"/>
                <w:szCs w:val="18"/>
              </w:rPr>
              <w:t>2</w:t>
            </w:r>
          </w:p>
        </w:tc>
        <w:tc>
          <w:tcPr>
            <w:tcW w:w="709" w:type="dxa"/>
            <w:vAlign w:val="center"/>
          </w:tcPr>
          <w:p w14:paraId="193F380C">
            <w:pPr>
              <w:jc w:val="center"/>
              <w:rPr>
                <w:sz w:val="18"/>
                <w:szCs w:val="18"/>
              </w:rPr>
            </w:pPr>
            <w:r>
              <w:rPr>
                <w:rFonts w:hint="eastAsia"/>
                <w:sz w:val="18"/>
                <w:szCs w:val="18"/>
              </w:rPr>
              <w:t>2</w:t>
            </w:r>
          </w:p>
        </w:tc>
        <w:tc>
          <w:tcPr>
            <w:tcW w:w="709" w:type="dxa"/>
            <w:vAlign w:val="center"/>
          </w:tcPr>
          <w:p w14:paraId="74BBF62C">
            <w:pPr>
              <w:jc w:val="center"/>
              <w:rPr>
                <w:sz w:val="18"/>
                <w:szCs w:val="18"/>
              </w:rPr>
            </w:pPr>
            <w:r>
              <w:rPr>
                <w:rFonts w:hint="eastAsia"/>
                <w:sz w:val="18"/>
                <w:szCs w:val="18"/>
              </w:rPr>
              <w:t>1</w:t>
            </w:r>
          </w:p>
        </w:tc>
        <w:tc>
          <w:tcPr>
            <w:tcW w:w="1045" w:type="dxa"/>
            <w:vAlign w:val="center"/>
          </w:tcPr>
          <w:p w14:paraId="44E28E25">
            <w:pPr>
              <w:jc w:val="center"/>
              <w:rPr>
                <w:sz w:val="18"/>
                <w:szCs w:val="18"/>
              </w:rPr>
            </w:pPr>
            <w:r>
              <w:rPr>
                <w:rFonts w:hint="eastAsia"/>
                <w:sz w:val="18"/>
                <w:szCs w:val="18"/>
              </w:rPr>
              <w:t>考查</w:t>
            </w:r>
          </w:p>
        </w:tc>
      </w:tr>
      <w:tr w14:paraId="64A4B09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03C81331">
            <w:pPr>
              <w:jc w:val="center"/>
              <w:rPr>
                <w:b/>
                <w:color w:val="000000" w:themeColor="text1"/>
                <w:sz w:val="18"/>
                <w:szCs w:val="18"/>
                <w14:textFill>
                  <w14:solidFill>
                    <w14:schemeClr w14:val="tx1"/>
                  </w14:solidFill>
                </w14:textFill>
              </w:rPr>
            </w:pPr>
          </w:p>
        </w:tc>
        <w:tc>
          <w:tcPr>
            <w:tcW w:w="1226" w:type="dxa"/>
            <w:vMerge w:val="continue"/>
            <w:vAlign w:val="center"/>
          </w:tcPr>
          <w:p w14:paraId="5F899DED">
            <w:pPr>
              <w:rPr>
                <w:sz w:val="18"/>
                <w:szCs w:val="18"/>
              </w:rPr>
            </w:pPr>
          </w:p>
        </w:tc>
        <w:tc>
          <w:tcPr>
            <w:tcW w:w="3516" w:type="dxa"/>
            <w:vAlign w:val="center"/>
          </w:tcPr>
          <w:p w14:paraId="79EAAE11">
            <w:pPr>
              <w:rPr>
                <w:sz w:val="18"/>
                <w:szCs w:val="18"/>
              </w:rPr>
            </w:pPr>
            <w:r>
              <w:rPr>
                <w:rFonts w:hint="eastAsia"/>
                <w:sz w:val="18"/>
                <w:szCs w:val="18"/>
              </w:rPr>
              <w:t>社会工作研究（MSW）</w:t>
            </w:r>
          </w:p>
        </w:tc>
        <w:tc>
          <w:tcPr>
            <w:tcW w:w="1081" w:type="dxa"/>
            <w:shd w:val="clear" w:color="auto" w:fill="auto"/>
            <w:vAlign w:val="center"/>
          </w:tcPr>
          <w:p w14:paraId="29BC5463">
            <w:pPr>
              <w:jc w:val="center"/>
              <w:rPr>
                <w:rFonts w:ascii="Times New Roman" w:hAnsi="Times New Roman" w:eastAsia="宋体" w:cs="Times New Roman"/>
                <w:color w:val="auto"/>
                <w:kern w:val="2"/>
                <w:sz w:val="18"/>
                <w:szCs w:val="18"/>
                <w:lang w:val="en-US" w:eastAsia="zh-CN" w:bidi="ar-SA"/>
              </w:rPr>
            </w:pPr>
            <w:r>
              <w:rPr>
                <w:rFonts w:hint="eastAsia"/>
                <w:color w:val="auto"/>
                <w:sz w:val="18"/>
                <w:szCs w:val="18"/>
              </w:rPr>
              <w:t>ZS29030</w:t>
            </w:r>
            <w:r>
              <w:rPr>
                <w:rFonts w:hint="eastAsia"/>
                <w:color w:val="auto"/>
                <w:sz w:val="18"/>
                <w:szCs w:val="18"/>
                <w:lang w:val="en-US" w:eastAsia="zh-CN"/>
              </w:rPr>
              <w:t>1</w:t>
            </w:r>
            <w:r>
              <w:rPr>
                <w:rFonts w:hint="eastAsia"/>
                <w:color w:val="auto"/>
                <w:sz w:val="18"/>
                <w:szCs w:val="18"/>
              </w:rPr>
              <w:t>3</w:t>
            </w:r>
          </w:p>
        </w:tc>
        <w:tc>
          <w:tcPr>
            <w:tcW w:w="709" w:type="dxa"/>
            <w:vAlign w:val="center"/>
          </w:tcPr>
          <w:p w14:paraId="7807C9BC">
            <w:pPr>
              <w:jc w:val="center"/>
              <w:rPr>
                <w:sz w:val="18"/>
                <w:szCs w:val="18"/>
              </w:rPr>
            </w:pPr>
            <w:r>
              <w:rPr>
                <w:rFonts w:hint="eastAsia"/>
                <w:sz w:val="18"/>
                <w:szCs w:val="18"/>
              </w:rPr>
              <w:t>2</w:t>
            </w:r>
          </w:p>
        </w:tc>
        <w:tc>
          <w:tcPr>
            <w:tcW w:w="709" w:type="dxa"/>
            <w:vAlign w:val="center"/>
          </w:tcPr>
          <w:p w14:paraId="61BC20BA">
            <w:pPr>
              <w:jc w:val="center"/>
              <w:rPr>
                <w:sz w:val="18"/>
                <w:szCs w:val="18"/>
              </w:rPr>
            </w:pPr>
            <w:r>
              <w:rPr>
                <w:rFonts w:hint="eastAsia"/>
                <w:sz w:val="18"/>
                <w:szCs w:val="18"/>
              </w:rPr>
              <w:t>1</w:t>
            </w:r>
          </w:p>
        </w:tc>
        <w:tc>
          <w:tcPr>
            <w:tcW w:w="1045" w:type="dxa"/>
            <w:vAlign w:val="center"/>
          </w:tcPr>
          <w:p w14:paraId="3DDB76DE">
            <w:pPr>
              <w:jc w:val="center"/>
              <w:rPr>
                <w:sz w:val="18"/>
                <w:szCs w:val="18"/>
              </w:rPr>
            </w:pPr>
            <w:r>
              <w:rPr>
                <w:rFonts w:hint="eastAsia"/>
                <w:sz w:val="18"/>
                <w:szCs w:val="18"/>
              </w:rPr>
              <w:t>考查</w:t>
            </w:r>
          </w:p>
        </w:tc>
      </w:tr>
      <w:tr w14:paraId="0644224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3834130B">
            <w:pPr>
              <w:jc w:val="center"/>
              <w:rPr>
                <w:b/>
                <w:color w:val="000000" w:themeColor="text1"/>
                <w:sz w:val="18"/>
                <w:szCs w:val="18"/>
                <w14:textFill>
                  <w14:solidFill>
                    <w14:schemeClr w14:val="tx1"/>
                  </w14:solidFill>
                </w14:textFill>
              </w:rPr>
            </w:pPr>
          </w:p>
        </w:tc>
        <w:tc>
          <w:tcPr>
            <w:tcW w:w="1226" w:type="dxa"/>
            <w:vMerge w:val="restart"/>
            <w:vAlign w:val="center"/>
          </w:tcPr>
          <w:p w14:paraId="6C64CCD8">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专业必修课</w:t>
            </w:r>
          </w:p>
          <w:p w14:paraId="25A0BDEB">
            <w:pPr>
              <w:jc w:val="center"/>
              <w:rPr>
                <w:sz w:val="18"/>
                <w:szCs w:val="18"/>
              </w:rPr>
            </w:pPr>
            <w:r>
              <w:rPr>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1</w:t>
            </w:r>
            <w:r>
              <w:rPr>
                <w:rFonts w:hint="eastAsia"/>
                <w:b/>
                <w:color w:val="000000" w:themeColor="text1"/>
                <w:sz w:val="18"/>
                <w:szCs w:val="18"/>
                <w:lang w:val="en-US" w:eastAsia="zh-CN"/>
                <w14:textFill>
                  <w14:solidFill>
                    <w14:schemeClr w14:val="tx1"/>
                  </w14:solidFill>
                </w14:textFill>
              </w:rPr>
              <w:t>6</w:t>
            </w:r>
            <w:r>
              <w:rPr>
                <w:b/>
                <w:color w:val="000000" w:themeColor="text1"/>
                <w:sz w:val="18"/>
                <w:szCs w:val="18"/>
                <w14:textFill>
                  <w14:solidFill>
                    <w14:schemeClr w14:val="tx1"/>
                  </w14:solidFill>
                </w14:textFill>
              </w:rPr>
              <w:t>学分）</w:t>
            </w:r>
          </w:p>
        </w:tc>
        <w:tc>
          <w:tcPr>
            <w:tcW w:w="3516" w:type="dxa"/>
          </w:tcPr>
          <w:p w14:paraId="0F785DAD">
            <w:pPr>
              <w:rPr>
                <w:sz w:val="18"/>
                <w:szCs w:val="18"/>
              </w:rPr>
            </w:pPr>
            <w:r>
              <w:rPr>
                <w:rFonts w:hint="eastAsia"/>
                <w:sz w:val="18"/>
                <w:szCs w:val="18"/>
              </w:rPr>
              <w:t>社会工作伦理</w:t>
            </w:r>
          </w:p>
        </w:tc>
        <w:tc>
          <w:tcPr>
            <w:tcW w:w="1081" w:type="dxa"/>
            <w:shd w:val="clear" w:color="auto" w:fill="auto"/>
            <w:vAlign w:val="center"/>
          </w:tcPr>
          <w:p w14:paraId="11FE7954">
            <w:pPr>
              <w:jc w:val="center"/>
              <w:rPr>
                <w:rFonts w:ascii="Times New Roman" w:hAnsi="Times New Roman" w:eastAsia="宋体" w:cs="Times New Roman"/>
                <w:color w:val="auto"/>
                <w:kern w:val="2"/>
                <w:sz w:val="18"/>
                <w:szCs w:val="18"/>
                <w:lang w:val="en-US" w:eastAsia="zh-CN" w:bidi="ar-SA"/>
              </w:rPr>
            </w:pPr>
            <w:r>
              <w:rPr>
                <w:rFonts w:hint="eastAsia"/>
                <w:color w:val="auto"/>
                <w:sz w:val="18"/>
                <w:szCs w:val="18"/>
              </w:rPr>
              <w:t>ZS29030</w:t>
            </w:r>
            <w:r>
              <w:rPr>
                <w:rFonts w:hint="eastAsia"/>
                <w:color w:val="auto"/>
                <w:sz w:val="18"/>
                <w:szCs w:val="18"/>
                <w:lang w:val="en-US" w:eastAsia="zh-CN"/>
              </w:rPr>
              <w:t>1</w:t>
            </w:r>
            <w:r>
              <w:rPr>
                <w:rFonts w:hint="eastAsia"/>
                <w:color w:val="auto"/>
                <w:sz w:val="18"/>
                <w:szCs w:val="18"/>
              </w:rPr>
              <w:t>4</w:t>
            </w:r>
          </w:p>
        </w:tc>
        <w:tc>
          <w:tcPr>
            <w:tcW w:w="709" w:type="dxa"/>
            <w:vAlign w:val="center"/>
          </w:tcPr>
          <w:p w14:paraId="46CC86AE">
            <w:pPr>
              <w:jc w:val="center"/>
              <w:rPr>
                <w:sz w:val="18"/>
                <w:szCs w:val="18"/>
              </w:rPr>
            </w:pPr>
            <w:r>
              <w:rPr>
                <w:rFonts w:hint="eastAsia"/>
                <w:sz w:val="18"/>
                <w:szCs w:val="18"/>
              </w:rPr>
              <w:t>2</w:t>
            </w:r>
          </w:p>
        </w:tc>
        <w:tc>
          <w:tcPr>
            <w:tcW w:w="709" w:type="dxa"/>
            <w:vAlign w:val="center"/>
          </w:tcPr>
          <w:p w14:paraId="41489C02">
            <w:pPr>
              <w:jc w:val="center"/>
              <w:rPr>
                <w:sz w:val="18"/>
                <w:szCs w:val="18"/>
              </w:rPr>
            </w:pPr>
            <w:r>
              <w:rPr>
                <w:rFonts w:hint="eastAsia"/>
                <w:sz w:val="18"/>
                <w:szCs w:val="18"/>
              </w:rPr>
              <w:t>1</w:t>
            </w:r>
          </w:p>
        </w:tc>
        <w:tc>
          <w:tcPr>
            <w:tcW w:w="1045" w:type="dxa"/>
            <w:vAlign w:val="center"/>
          </w:tcPr>
          <w:p w14:paraId="73530A3E">
            <w:pPr>
              <w:jc w:val="center"/>
              <w:rPr>
                <w:sz w:val="18"/>
                <w:szCs w:val="18"/>
              </w:rPr>
            </w:pPr>
            <w:r>
              <w:rPr>
                <w:rFonts w:hint="eastAsia"/>
                <w:sz w:val="18"/>
                <w:szCs w:val="18"/>
              </w:rPr>
              <w:t>考查</w:t>
            </w:r>
          </w:p>
        </w:tc>
      </w:tr>
      <w:tr w14:paraId="75DCAF2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73ECC7DD">
            <w:pPr>
              <w:jc w:val="center"/>
              <w:rPr>
                <w:b/>
                <w:color w:val="000000" w:themeColor="text1"/>
                <w:sz w:val="18"/>
                <w:szCs w:val="18"/>
                <w14:textFill>
                  <w14:solidFill>
                    <w14:schemeClr w14:val="tx1"/>
                  </w14:solidFill>
                </w14:textFill>
              </w:rPr>
            </w:pPr>
          </w:p>
        </w:tc>
        <w:tc>
          <w:tcPr>
            <w:tcW w:w="1226" w:type="dxa"/>
            <w:vMerge w:val="continue"/>
            <w:vAlign w:val="center"/>
          </w:tcPr>
          <w:p w14:paraId="7B765EDF">
            <w:pPr>
              <w:rPr>
                <w:sz w:val="18"/>
                <w:szCs w:val="18"/>
              </w:rPr>
            </w:pPr>
          </w:p>
        </w:tc>
        <w:tc>
          <w:tcPr>
            <w:tcW w:w="3516" w:type="dxa"/>
          </w:tcPr>
          <w:p w14:paraId="04EC775E">
            <w:pPr>
              <w:rPr>
                <w:sz w:val="18"/>
                <w:szCs w:val="18"/>
              </w:rPr>
            </w:pPr>
            <w:r>
              <w:rPr>
                <w:rFonts w:hint="eastAsia"/>
                <w:sz w:val="18"/>
                <w:szCs w:val="18"/>
              </w:rPr>
              <w:t>社会服务管理</w:t>
            </w:r>
          </w:p>
        </w:tc>
        <w:tc>
          <w:tcPr>
            <w:tcW w:w="1081" w:type="dxa"/>
            <w:shd w:val="clear" w:color="auto" w:fill="auto"/>
            <w:vAlign w:val="center"/>
          </w:tcPr>
          <w:p w14:paraId="23914CC7">
            <w:pPr>
              <w:jc w:val="center"/>
              <w:rPr>
                <w:rFonts w:ascii="Times New Roman" w:hAnsi="Times New Roman" w:eastAsia="宋体" w:cs="Times New Roman"/>
                <w:color w:val="auto"/>
                <w:kern w:val="2"/>
                <w:sz w:val="18"/>
                <w:szCs w:val="18"/>
                <w:lang w:val="en-US" w:eastAsia="zh-CN" w:bidi="ar-SA"/>
              </w:rPr>
            </w:pPr>
            <w:r>
              <w:rPr>
                <w:rFonts w:hint="eastAsia"/>
                <w:color w:val="auto"/>
                <w:sz w:val="18"/>
                <w:szCs w:val="18"/>
              </w:rPr>
              <w:t>ZS29030</w:t>
            </w:r>
            <w:r>
              <w:rPr>
                <w:rFonts w:hint="eastAsia"/>
                <w:color w:val="auto"/>
                <w:sz w:val="18"/>
                <w:szCs w:val="18"/>
                <w:lang w:val="en-US" w:eastAsia="zh-CN"/>
              </w:rPr>
              <w:t>1</w:t>
            </w:r>
            <w:r>
              <w:rPr>
                <w:rFonts w:hint="eastAsia"/>
                <w:color w:val="auto"/>
                <w:sz w:val="18"/>
                <w:szCs w:val="18"/>
              </w:rPr>
              <w:t>5</w:t>
            </w:r>
          </w:p>
        </w:tc>
        <w:tc>
          <w:tcPr>
            <w:tcW w:w="709" w:type="dxa"/>
            <w:vAlign w:val="center"/>
          </w:tcPr>
          <w:p w14:paraId="560B4D30">
            <w:pPr>
              <w:jc w:val="center"/>
              <w:rPr>
                <w:sz w:val="18"/>
                <w:szCs w:val="18"/>
              </w:rPr>
            </w:pPr>
            <w:r>
              <w:rPr>
                <w:rFonts w:hint="eastAsia"/>
                <w:sz w:val="18"/>
                <w:szCs w:val="18"/>
              </w:rPr>
              <w:t>2</w:t>
            </w:r>
          </w:p>
        </w:tc>
        <w:tc>
          <w:tcPr>
            <w:tcW w:w="709" w:type="dxa"/>
            <w:vAlign w:val="center"/>
          </w:tcPr>
          <w:p w14:paraId="29D40B71">
            <w:pPr>
              <w:jc w:val="center"/>
              <w:rPr>
                <w:sz w:val="18"/>
                <w:szCs w:val="18"/>
              </w:rPr>
            </w:pPr>
            <w:r>
              <w:rPr>
                <w:rFonts w:hint="eastAsia"/>
                <w:sz w:val="18"/>
                <w:szCs w:val="18"/>
              </w:rPr>
              <w:t>3</w:t>
            </w:r>
          </w:p>
        </w:tc>
        <w:tc>
          <w:tcPr>
            <w:tcW w:w="1045" w:type="dxa"/>
            <w:vAlign w:val="center"/>
          </w:tcPr>
          <w:p w14:paraId="7D78CE8A">
            <w:pPr>
              <w:jc w:val="center"/>
              <w:rPr>
                <w:sz w:val="18"/>
                <w:szCs w:val="18"/>
              </w:rPr>
            </w:pPr>
            <w:r>
              <w:rPr>
                <w:rFonts w:hint="eastAsia"/>
                <w:sz w:val="18"/>
                <w:szCs w:val="18"/>
              </w:rPr>
              <w:t>考查</w:t>
            </w:r>
          </w:p>
        </w:tc>
      </w:tr>
      <w:tr w14:paraId="4189925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5DB9F510">
            <w:pPr>
              <w:jc w:val="center"/>
              <w:rPr>
                <w:b/>
                <w:color w:val="000000" w:themeColor="text1"/>
                <w:sz w:val="18"/>
                <w:szCs w:val="18"/>
                <w14:textFill>
                  <w14:solidFill>
                    <w14:schemeClr w14:val="tx1"/>
                  </w14:solidFill>
                </w14:textFill>
              </w:rPr>
            </w:pPr>
          </w:p>
        </w:tc>
        <w:tc>
          <w:tcPr>
            <w:tcW w:w="1226" w:type="dxa"/>
            <w:vMerge w:val="continue"/>
            <w:vAlign w:val="center"/>
          </w:tcPr>
          <w:p w14:paraId="06FD179E">
            <w:pPr>
              <w:rPr>
                <w:sz w:val="18"/>
                <w:szCs w:val="18"/>
              </w:rPr>
            </w:pPr>
          </w:p>
        </w:tc>
        <w:tc>
          <w:tcPr>
            <w:tcW w:w="3516" w:type="dxa"/>
          </w:tcPr>
          <w:p w14:paraId="66F95801">
            <w:pPr>
              <w:rPr>
                <w:sz w:val="18"/>
                <w:szCs w:val="18"/>
              </w:rPr>
            </w:pPr>
            <w:r>
              <w:rPr>
                <w:rFonts w:hint="eastAsia"/>
                <w:sz w:val="18"/>
                <w:szCs w:val="18"/>
              </w:rPr>
              <w:t>社会政策分析</w:t>
            </w:r>
          </w:p>
        </w:tc>
        <w:tc>
          <w:tcPr>
            <w:tcW w:w="1081" w:type="dxa"/>
            <w:shd w:val="clear" w:color="auto" w:fill="auto"/>
            <w:vAlign w:val="center"/>
          </w:tcPr>
          <w:p w14:paraId="0F57E187">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ZS29030</w:t>
            </w:r>
            <w:r>
              <w:rPr>
                <w:rFonts w:hint="eastAsia"/>
                <w:color w:val="auto"/>
                <w:sz w:val="18"/>
                <w:szCs w:val="18"/>
                <w:lang w:val="en-US" w:eastAsia="zh-CN"/>
              </w:rPr>
              <w:t>1</w:t>
            </w:r>
            <w:r>
              <w:rPr>
                <w:rFonts w:hint="eastAsia"/>
                <w:color w:val="auto"/>
                <w:sz w:val="18"/>
                <w:szCs w:val="18"/>
              </w:rPr>
              <w:t>6</w:t>
            </w:r>
          </w:p>
        </w:tc>
        <w:tc>
          <w:tcPr>
            <w:tcW w:w="709" w:type="dxa"/>
            <w:vAlign w:val="center"/>
          </w:tcPr>
          <w:p w14:paraId="7ED3A19E">
            <w:pPr>
              <w:jc w:val="center"/>
              <w:rPr>
                <w:sz w:val="18"/>
                <w:szCs w:val="18"/>
              </w:rPr>
            </w:pPr>
            <w:r>
              <w:rPr>
                <w:rFonts w:hint="eastAsia"/>
                <w:sz w:val="18"/>
                <w:szCs w:val="18"/>
              </w:rPr>
              <w:t>2</w:t>
            </w:r>
          </w:p>
        </w:tc>
        <w:tc>
          <w:tcPr>
            <w:tcW w:w="709" w:type="dxa"/>
            <w:vAlign w:val="center"/>
          </w:tcPr>
          <w:p w14:paraId="76B2A907">
            <w:pPr>
              <w:jc w:val="center"/>
              <w:rPr>
                <w:sz w:val="18"/>
                <w:szCs w:val="18"/>
              </w:rPr>
            </w:pPr>
            <w:r>
              <w:rPr>
                <w:rFonts w:hint="eastAsia"/>
                <w:sz w:val="18"/>
                <w:szCs w:val="18"/>
              </w:rPr>
              <w:t>2</w:t>
            </w:r>
          </w:p>
        </w:tc>
        <w:tc>
          <w:tcPr>
            <w:tcW w:w="1045" w:type="dxa"/>
            <w:vAlign w:val="center"/>
          </w:tcPr>
          <w:p w14:paraId="66E4CB26">
            <w:pPr>
              <w:jc w:val="center"/>
              <w:rPr>
                <w:sz w:val="18"/>
                <w:szCs w:val="18"/>
              </w:rPr>
            </w:pPr>
            <w:r>
              <w:rPr>
                <w:rFonts w:hint="eastAsia"/>
                <w:sz w:val="18"/>
                <w:szCs w:val="18"/>
              </w:rPr>
              <w:t>考查</w:t>
            </w:r>
          </w:p>
        </w:tc>
      </w:tr>
      <w:tr w14:paraId="18A05C7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72D6AABE">
            <w:pPr>
              <w:jc w:val="center"/>
              <w:rPr>
                <w:b/>
                <w:color w:val="000000" w:themeColor="text1"/>
                <w:sz w:val="18"/>
                <w:szCs w:val="18"/>
                <w14:textFill>
                  <w14:solidFill>
                    <w14:schemeClr w14:val="tx1"/>
                  </w14:solidFill>
                </w14:textFill>
              </w:rPr>
            </w:pPr>
          </w:p>
        </w:tc>
        <w:tc>
          <w:tcPr>
            <w:tcW w:w="1226" w:type="dxa"/>
            <w:vMerge w:val="continue"/>
            <w:vAlign w:val="center"/>
          </w:tcPr>
          <w:p w14:paraId="4197F900">
            <w:pPr>
              <w:rPr>
                <w:sz w:val="18"/>
                <w:szCs w:val="18"/>
              </w:rPr>
            </w:pPr>
          </w:p>
        </w:tc>
        <w:tc>
          <w:tcPr>
            <w:tcW w:w="3516" w:type="dxa"/>
          </w:tcPr>
          <w:p w14:paraId="46D1E197">
            <w:pPr>
              <w:rPr>
                <w:sz w:val="18"/>
                <w:szCs w:val="18"/>
              </w:rPr>
            </w:pPr>
            <w:r>
              <w:rPr>
                <w:rFonts w:hint="eastAsia"/>
                <w:sz w:val="18"/>
                <w:szCs w:val="18"/>
              </w:rPr>
              <w:t>高级社会工作实务（宏观）</w:t>
            </w:r>
          </w:p>
        </w:tc>
        <w:tc>
          <w:tcPr>
            <w:tcW w:w="1081" w:type="dxa"/>
            <w:shd w:val="clear" w:color="auto" w:fill="auto"/>
            <w:vAlign w:val="center"/>
          </w:tcPr>
          <w:p w14:paraId="33D09376">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ZS29030</w:t>
            </w:r>
            <w:r>
              <w:rPr>
                <w:rFonts w:hint="eastAsia"/>
                <w:color w:val="auto"/>
                <w:sz w:val="18"/>
                <w:szCs w:val="18"/>
                <w:lang w:val="en-US" w:eastAsia="zh-CN"/>
              </w:rPr>
              <w:t>1</w:t>
            </w:r>
            <w:r>
              <w:rPr>
                <w:rFonts w:hint="eastAsia"/>
                <w:color w:val="auto"/>
                <w:sz w:val="18"/>
                <w:szCs w:val="18"/>
              </w:rPr>
              <w:t>7</w:t>
            </w:r>
          </w:p>
        </w:tc>
        <w:tc>
          <w:tcPr>
            <w:tcW w:w="709" w:type="dxa"/>
            <w:vAlign w:val="center"/>
          </w:tcPr>
          <w:p w14:paraId="34D92CF4">
            <w:pPr>
              <w:jc w:val="center"/>
              <w:rPr>
                <w:sz w:val="18"/>
                <w:szCs w:val="18"/>
              </w:rPr>
            </w:pPr>
            <w:r>
              <w:rPr>
                <w:rFonts w:hint="eastAsia"/>
                <w:sz w:val="18"/>
                <w:szCs w:val="18"/>
              </w:rPr>
              <w:t>2</w:t>
            </w:r>
          </w:p>
        </w:tc>
        <w:tc>
          <w:tcPr>
            <w:tcW w:w="709" w:type="dxa"/>
            <w:vAlign w:val="center"/>
          </w:tcPr>
          <w:p w14:paraId="2704AEC6">
            <w:pPr>
              <w:jc w:val="center"/>
              <w:rPr>
                <w:sz w:val="18"/>
                <w:szCs w:val="18"/>
              </w:rPr>
            </w:pPr>
            <w:r>
              <w:rPr>
                <w:rFonts w:hint="eastAsia"/>
                <w:sz w:val="18"/>
                <w:szCs w:val="18"/>
              </w:rPr>
              <w:t>2</w:t>
            </w:r>
          </w:p>
        </w:tc>
        <w:tc>
          <w:tcPr>
            <w:tcW w:w="1045" w:type="dxa"/>
            <w:vAlign w:val="center"/>
          </w:tcPr>
          <w:p w14:paraId="08C299A0">
            <w:pPr>
              <w:jc w:val="center"/>
              <w:rPr>
                <w:sz w:val="18"/>
                <w:szCs w:val="18"/>
              </w:rPr>
            </w:pPr>
            <w:r>
              <w:rPr>
                <w:rFonts w:hint="eastAsia"/>
                <w:sz w:val="18"/>
                <w:szCs w:val="18"/>
              </w:rPr>
              <w:t>考查</w:t>
            </w:r>
          </w:p>
        </w:tc>
      </w:tr>
      <w:tr w14:paraId="51F6BB5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39F3BE25">
            <w:pPr>
              <w:jc w:val="center"/>
              <w:rPr>
                <w:b/>
                <w:color w:val="000000" w:themeColor="text1"/>
                <w:sz w:val="18"/>
                <w:szCs w:val="18"/>
                <w14:textFill>
                  <w14:solidFill>
                    <w14:schemeClr w14:val="tx1"/>
                  </w14:solidFill>
                </w14:textFill>
              </w:rPr>
            </w:pPr>
          </w:p>
        </w:tc>
        <w:tc>
          <w:tcPr>
            <w:tcW w:w="1226" w:type="dxa"/>
            <w:vMerge w:val="continue"/>
            <w:vAlign w:val="center"/>
          </w:tcPr>
          <w:p w14:paraId="478EDDEE">
            <w:pPr>
              <w:rPr>
                <w:sz w:val="18"/>
                <w:szCs w:val="18"/>
              </w:rPr>
            </w:pPr>
          </w:p>
        </w:tc>
        <w:tc>
          <w:tcPr>
            <w:tcW w:w="3516" w:type="dxa"/>
          </w:tcPr>
          <w:p w14:paraId="6577D166">
            <w:pPr>
              <w:rPr>
                <w:sz w:val="18"/>
                <w:szCs w:val="18"/>
              </w:rPr>
            </w:pPr>
            <w:r>
              <w:rPr>
                <w:rFonts w:hint="eastAsia"/>
                <w:sz w:val="18"/>
                <w:szCs w:val="18"/>
              </w:rPr>
              <w:t>高级社会工作实务（微观）</w:t>
            </w:r>
          </w:p>
        </w:tc>
        <w:tc>
          <w:tcPr>
            <w:tcW w:w="1081" w:type="dxa"/>
            <w:shd w:val="clear" w:color="auto" w:fill="auto"/>
            <w:vAlign w:val="center"/>
          </w:tcPr>
          <w:p w14:paraId="065D3E11">
            <w:pPr>
              <w:jc w:val="center"/>
              <w:rPr>
                <w:rFonts w:ascii="Times New Roman" w:hAnsi="Times New Roman" w:eastAsia="宋体" w:cs="Times New Roman"/>
                <w:i/>
                <w:color w:val="auto"/>
                <w:kern w:val="2"/>
                <w:sz w:val="18"/>
                <w:szCs w:val="18"/>
                <w:lang w:val="en-US" w:eastAsia="zh-CN" w:bidi="ar-SA"/>
              </w:rPr>
            </w:pPr>
            <w:r>
              <w:rPr>
                <w:rFonts w:hint="eastAsia"/>
                <w:color w:val="auto"/>
                <w:sz w:val="18"/>
                <w:szCs w:val="18"/>
              </w:rPr>
              <w:t>ZS29030</w:t>
            </w:r>
            <w:r>
              <w:rPr>
                <w:rFonts w:hint="eastAsia"/>
                <w:color w:val="auto"/>
                <w:sz w:val="18"/>
                <w:szCs w:val="18"/>
                <w:lang w:val="en-US" w:eastAsia="zh-CN"/>
              </w:rPr>
              <w:t>1</w:t>
            </w:r>
            <w:r>
              <w:rPr>
                <w:rFonts w:hint="eastAsia"/>
                <w:color w:val="auto"/>
                <w:sz w:val="18"/>
                <w:szCs w:val="18"/>
              </w:rPr>
              <w:t>8</w:t>
            </w:r>
          </w:p>
        </w:tc>
        <w:tc>
          <w:tcPr>
            <w:tcW w:w="709" w:type="dxa"/>
            <w:vAlign w:val="center"/>
          </w:tcPr>
          <w:p w14:paraId="0845EED8">
            <w:pPr>
              <w:jc w:val="center"/>
              <w:rPr>
                <w:sz w:val="18"/>
                <w:szCs w:val="18"/>
              </w:rPr>
            </w:pPr>
            <w:r>
              <w:rPr>
                <w:rFonts w:hint="eastAsia"/>
                <w:sz w:val="18"/>
                <w:szCs w:val="18"/>
              </w:rPr>
              <w:t>2</w:t>
            </w:r>
          </w:p>
        </w:tc>
        <w:tc>
          <w:tcPr>
            <w:tcW w:w="709" w:type="dxa"/>
            <w:vAlign w:val="center"/>
          </w:tcPr>
          <w:p w14:paraId="577D5A82">
            <w:pPr>
              <w:jc w:val="center"/>
              <w:rPr>
                <w:sz w:val="18"/>
                <w:szCs w:val="18"/>
              </w:rPr>
            </w:pPr>
            <w:r>
              <w:rPr>
                <w:rFonts w:hint="eastAsia"/>
                <w:sz w:val="18"/>
                <w:szCs w:val="18"/>
              </w:rPr>
              <w:t>2</w:t>
            </w:r>
          </w:p>
        </w:tc>
        <w:tc>
          <w:tcPr>
            <w:tcW w:w="1045" w:type="dxa"/>
            <w:vAlign w:val="center"/>
          </w:tcPr>
          <w:p w14:paraId="4FB6CD4F">
            <w:pPr>
              <w:jc w:val="center"/>
              <w:rPr>
                <w:sz w:val="18"/>
                <w:szCs w:val="18"/>
              </w:rPr>
            </w:pPr>
            <w:r>
              <w:rPr>
                <w:rFonts w:hint="eastAsia"/>
                <w:sz w:val="18"/>
                <w:szCs w:val="18"/>
              </w:rPr>
              <w:t>考查</w:t>
            </w:r>
          </w:p>
        </w:tc>
      </w:tr>
      <w:tr w14:paraId="45497C7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5F1AC34D">
            <w:pPr>
              <w:jc w:val="center"/>
              <w:rPr>
                <w:b/>
                <w:color w:val="000000" w:themeColor="text1"/>
                <w:sz w:val="18"/>
                <w:szCs w:val="18"/>
                <w14:textFill>
                  <w14:solidFill>
                    <w14:schemeClr w14:val="tx1"/>
                  </w14:solidFill>
                </w14:textFill>
              </w:rPr>
            </w:pPr>
          </w:p>
        </w:tc>
        <w:tc>
          <w:tcPr>
            <w:tcW w:w="1226" w:type="dxa"/>
            <w:vMerge w:val="continue"/>
            <w:vAlign w:val="center"/>
          </w:tcPr>
          <w:p w14:paraId="4518188A">
            <w:pPr>
              <w:rPr>
                <w:sz w:val="18"/>
                <w:szCs w:val="18"/>
              </w:rPr>
            </w:pPr>
          </w:p>
        </w:tc>
        <w:tc>
          <w:tcPr>
            <w:tcW w:w="3516" w:type="dxa"/>
          </w:tcPr>
          <w:p w14:paraId="3DDF73CA">
            <w:pPr>
              <w:rPr>
                <w:sz w:val="18"/>
                <w:szCs w:val="18"/>
              </w:rPr>
            </w:pPr>
            <w:r>
              <w:rPr>
                <w:rFonts w:hint="eastAsia"/>
                <w:sz w:val="18"/>
                <w:szCs w:val="18"/>
              </w:rPr>
              <w:t>专业实习1</w:t>
            </w:r>
          </w:p>
        </w:tc>
        <w:tc>
          <w:tcPr>
            <w:tcW w:w="1081" w:type="dxa"/>
            <w:vAlign w:val="center"/>
          </w:tcPr>
          <w:p w14:paraId="66526482">
            <w:pPr>
              <w:rPr>
                <w:rFonts w:hint="eastAsia" w:eastAsia="宋体"/>
                <w:sz w:val="18"/>
                <w:szCs w:val="18"/>
                <w:lang w:eastAsia="zh-CN"/>
              </w:rPr>
            </w:pPr>
            <w:r>
              <w:rPr>
                <w:rFonts w:hint="eastAsia"/>
                <w:color w:val="auto"/>
                <w:sz w:val="18"/>
                <w:szCs w:val="18"/>
              </w:rPr>
              <w:t>ZS29030</w:t>
            </w:r>
            <w:r>
              <w:rPr>
                <w:rFonts w:hint="eastAsia"/>
                <w:color w:val="auto"/>
                <w:sz w:val="18"/>
                <w:szCs w:val="18"/>
                <w:lang w:val="en-US" w:eastAsia="zh-CN"/>
              </w:rPr>
              <w:t>19</w:t>
            </w:r>
          </w:p>
        </w:tc>
        <w:tc>
          <w:tcPr>
            <w:tcW w:w="709" w:type="dxa"/>
            <w:vAlign w:val="center"/>
          </w:tcPr>
          <w:p w14:paraId="19379B97">
            <w:pPr>
              <w:jc w:val="center"/>
              <w:rPr>
                <w:rFonts w:hint="default" w:eastAsia="宋体"/>
                <w:sz w:val="18"/>
                <w:szCs w:val="18"/>
                <w:lang w:val="en-US" w:eastAsia="zh-CN"/>
              </w:rPr>
            </w:pPr>
            <w:r>
              <w:rPr>
                <w:rFonts w:hint="eastAsia"/>
                <w:sz w:val="18"/>
                <w:szCs w:val="18"/>
                <w:lang w:val="en-US" w:eastAsia="zh-CN"/>
              </w:rPr>
              <w:t>1.5</w:t>
            </w:r>
          </w:p>
        </w:tc>
        <w:tc>
          <w:tcPr>
            <w:tcW w:w="709" w:type="dxa"/>
            <w:vAlign w:val="center"/>
          </w:tcPr>
          <w:p w14:paraId="7290ACB6">
            <w:pPr>
              <w:jc w:val="center"/>
              <w:rPr>
                <w:sz w:val="18"/>
                <w:szCs w:val="18"/>
              </w:rPr>
            </w:pPr>
            <w:r>
              <w:rPr>
                <w:rFonts w:hint="eastAsia"/>
                <w:sz w:val="18"/>
                <w:szCs w:val="18"/>
              </w:rPr>
              <w:t>2</w:t>
            </w:r>
          </w:p>
        </w:tc>
        <w:tc>
          <w:tcPr>
            <w:tcW w:w="1045" w:type="dxa"/>
            <w:vAlign w:val="center"/>
          </w:tcPr>
          <w:p w14:paraId="6F739126">
            <w:pPr>
              <w:jc w:val="center"/>
              <w:rPr>
                <w:sz w:val="18"/>
                <w:szCs w:val="18"/>
              </w:rPr>
            </w:pPr>
            <w:r>
              <w:rPr>
                <w:rFonts w:hint="eastAsia"/>
                <w:sz w:val="18"/>
                <w:szCs w:val="18"/>
              </w:rPr>
              <w:t>考查</w:t>
            </w:r>
          </w:p>
        </w:tc>
      </w:tr>
      <w:tr w14:paraId="72D6612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47C31207">
            <w:pPr>
              <w:jc w:val="center"/>
              <w:rPr>
                <w:b/>
                <w:color w:val="000000" w:themeColor="text1"/>
                <w:sz w:val="18"/>
                <w:szCs w:val="18"/>
                <w14:textFill>
                  <w14:solidFill>
                    <w14:schemeClr w14:val="tx1"/>
                  </w14:solidFill>
                </w14:textFill>
              </w:rPr>
            </w:pPr>
          </w:p>
        </w:tc>
        <w:tc>
          <w:tcPr>
            <w:tcW w:w="1226" w:type="dxa"/>
            <w:vMerge w:val="continue"/>
            <w:vAlign w:val="center"/>
          </w:tcPr>
          <w:p w14:paraId="727F791E">
            <w:pPr>
              <w:rPr>
                <w:sz w:val="18"/>
                <w:szCs w:val="18"/>
              </w:rPr>
            </w:pPr>
          </w:p>
        </w:tc>
        <w:tc>
          <w:tcPr>
            <w:tcW w:w="3516" w:type="dxa"/>
          </w:tcPr>
          <w:p w14:paraId="15CDD41E">
            <w:pPr>
              <w:rPr>
                <w:sz w:val="18"/>
                <w:szCs w:val="18"/>
              </w:rPr>
            </w:pPr>
            <w:r>
              <w:rPr>
                <w:rFonts w:hint="eastAsia"/>
                <w:sz w:val="18"/>
                <w:szCs w:val="18"/>
              </w:rPr>
              <w:t>专业实习2</w:t>
            </w:r>
          </w:p>
        </w:tc>
        <w:tc>
          <w:tcPr>
            <w:tcW w:w="1081" w:type="dxa"/>
            <w:vAlign w:val="center"/>
          </w:tcPr>
          <w:p w14:paraId="2E4CBDC7">
            <w:pPr>
              <w:rPr>
                <w:rFonts w:hint="eastAsia" w:eastAsia="宋体"/>
                <w:sz w:val="18"/>
                <w:szCs w:val="18"/>
                <w:lang w:val="en-US" w:eastAsia="zh-CN"/>
              </w:rPr>
            </w:pPr>
            <w:r>
              <w:rPr>
                <w:rFonts w:hint="eastAsia"/>
                <w:color w:val="auto"/>
                <w:sz w:val="18"/>
                <w:szCs w:val="18"/>
              </w:rPr>
              <w:t>ZS29030</w:t>
            </w:r>
            <w:r>
              <w:rPr>
                <w:rFonts w:hint="eastAsia"/>
                <w:color w:val="auto"/>
                <w:sz w:val="18"/>
                <w:szCs w:val="18"/>
                <w:lang w:val="en-US" w:eastAsia="zh-CN"/>
              </w:rPr>
              <w:t>20</w:t>
            </w:r>
          </w:p>
        </w:tc>
        <w:tc>
          <w:tcPr>
            <w:tcW w:w="709" w:type="dxa"/>
            <w:vAlign w:val="center"/>
          </w:tcPr>
          <w:p w14:paraId="7CF9B0E8">
            <w:pPr>
              <w:jc w:val="center"/>
              <w:rPr>
                <w:rFonts w:hint="default" w:eastAsia="宋体"/>
                <w:sz w:val="18"/>
                <w:szCs w:val="18"/>
                <w:lang w:val="en-US" w:eastAsia="zh-CN"/>
              </w:rPr>
            </w:pPr>
            <w:r>
              <w:rPr>
                <w:rFonts w:hint="eastAsia"/>
                <w:sz w:val="18"/>
                <w:szCs w:val="18"/>
                <w:lang w:val="en-US" w:eastAsia="zh-CN"/>
              </w:rPr>
              <w:t>1.5</w:t>
            </w:r>
          </w:p>
        </w:tc>
        <w:tc>
          <w:tcPr>
            <w:tcW w:w="709" w:type="dxa"/>
            <w:vAlign w:val="center"/>
          </w:tcPr>
          <w:p w14:paraId="7B54CA61">
            <w:pPr>
              <w:jc w:val="center"/>
              <w:rPr>
                <w:sz w:val="18"/>
                <w:szCs w:val="18"/>
              </w:rPr>
            </w:pPr>
            <w:r>
              <w:rPr>
                <w:rFonts w:hint="eastAsia"/>
                <w:sz w:val="18"/>
                <w:szCs w:val="18"/>
              </w:rPr>
              <w:t>3</w:t>
            </w:r>
          </w:p>
        </w:tc>
        <w:tc>
          <w:tcPr>
            <w:tcW w:w="1045" w:type="dxa"/>
            <w:vAlign w:val="center"/>
          </w:tcPr>
          <w:p w14:paraId="0D55B016">
            <w:pPr>
              <w:jc w:val="center"/>
              <w:rPr>
                <w:sz w:val="18"/>
                <w:szCs w:val="18"/>
              </w:rPr>
            </w:pPr>
            <w:r>
              <w:rPr>
                <w:rFonts w:hint="eastAsia"/>
                <w:sz w:val="18"/>
                <w:szCs w:val="18"/>
              </w:rPr>
              <w:t>考查</w:t>
            </w:r>
          </w:p>
        </w:tc>
      </w:tr>
      <w:tr w14:paraId="0C3C1A7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4DE384CF">
            <w:pPr>
              <w:jc w:val="center"/>
              <w:rPr>
                <w:b/>
                <w:color w:val="000000" w:themeColor="text1"/>
                <w:sz w:val="18"/>
                <w:szCs w:val="18"/>
                <w14:textFill>
                  <w14:solidFill>
                    <w14:schemeClr w14:val="tx1"/>
                  </w14:solidFill>
                </w14:textFill>
              </w:rPr>
            </w:pPr>
          </w:p>
        </w:tc>
        <w:tc>
          <w:tcPr>
            <w:tcW w:w="1226" w:type="dxa"/>
            <w:vMerge w:val="continue"/>
            <w:vAlign w:val="center"/>
          </w:tcPr>
          <w:p w14:paraId="273F2A97">
            <w:pPr>
              <w:rPr>
                <w:sz w:val="18"/>
                <w:szCs w:val="18"/>
              </w:rPr>
            </w:pPr>
          </w:p>
        </w:tc>
        <w:tc>
          <w:tcPr>
            <w:tcW w:w="3516" w:type="dxa"/>
          </w:tcPr>
          <w:p w14:paraId="214AD686">
            <w:pPr>
              <w:rPr>
                <w:sz w:val="18"/>
                <w:szCs w:val="18"/>
              </w:rPr>
            </w:pPr>
            <w:r>
              <w:rPr>
                <w:rFonts w:hint="eastAsia"/>
                <w:sz w:val="18"/>
                <w:szCs w:val="18"/>
              </w:rPr>
              <w:t>毕业实习1</w:t>
            </w:r>
          </w:p>
        </w:tc>
        <w:tc>
          <w:tcPr>
            <w:tcW w:w="1081" w:type="dxa"/>
            <w:vAlign w:val="center"/>
          </w:tcPr>
          <w:p w14:paraId="2ECC1DBB">
            <w:pPr>
              <w:rPr>
                <w:rFonts w:hint="default" w:eastAsia="宋体"/>
                <w:sz w:val="18"/>
                <w:szCs w:val="18"/>
                <w:lang w:val="en-US" w:eastAsia="zh-CN"/>
              </w:rPr>
            </w:pPr>
            <w:r>
              <w:rPr>
                <w:rFonts w:hint="eastAsia"/>
                <w:color w:val="auto"/>
                <w:sz w:val="18"/>
                <w:szCs w:val="18"/>
              </w:rPr>
              <w:t>ZS29030</w:t>
            </w:r>
            <w:r>
              <w:rPr>
                <w:rFonts w:hint="eastAsia"/>
                <w:color w:val="auto"/>
                <w:sz w:val="18"/>
                <w:szCs w:val="18"/>
                <w:lang w:val="en-US" w:eastAsia="zh-CN"/>
              </w:rPr>
              <w:t>21</w:t>
            </w:r>
          </w:p>
        </w:tc>
        <w:tc>
          <w:tcPr>
            <w:tcW w:w="709" w:type="dxa"/>
            <w:vAlign w:val="center"/>
          </w:tcPr>
          <w:p w14:paraId="3F5D7EEE">
            <w:pPr>
              <w:jc w:val="center"/>
              <w:rPr>
                <w:rFonts w:hint="default" w:eastAsia="宋体"/>
                <w:sz w:val="18"/>
                <w:szCs w:val="18"/>
                <w:lang w:val="en-US" w:eastAsia="zh-CN"/>
              </w:rPr>
            </w:pPr>
            <w:r>
              <w:rPr>
                <w:rFonts w:hint="eastAsia"/>
                <w:sz w:val="18"/>
                <w:szCs w:val="18"/>
                <w:lang w:val="en-US" w:eastAsia="zh-CN"/>
              </w:rPr>
              <w:t>1.5</w:t>
            </w:r>
          </w:p>
        </w:tc>
        <w:tc>
          <w:tcPr>
            <w:tcW w:w="709" w:type="dxa"/>
            <w:vAlign w:val="center"/>
          </w:tcPr>
          <w:p w14:paraId="562C4A9C">
            <w:pPr>
              <w:jc w:val="center"/>
              <w:rPr>
                <w:sz w:val="18"/>
                <w:szCs w:val="18"/>
              </w:rPr>
            </w:pPr>
            <w:r>
              <w:rPr>
                <w:rFonts w:hint="eastAsia"/>
                <w:sz w:val="18"/>
                <w:szCs w:val="18"/>
              </w:rPr>
              <w:t>4</w:t>
            </w:r>
          </w:p>
        </w:tc>
        <w:tc>
          <w:tcPr>
            <w:tcW w:w="1045" w:type="dxa"/>
            <w:vAlign w:val="center"/>
          </w:tcPr>
          <w:p w14:paraId="3680D5CF">
            <w:pPr>
              <w:jc w:val="center"/>
              <w:rPr>
                <w:sz w:val="18"/>
                <w:szCs w:val="18"/>
              </w:rPr>
            </w:pPr>
            <w:r>
              <w:rPr>
                <w:rFonts w:hint="eastAsia"/>
                <w:sz w:val="18"/>
                <w:szCs w:val="18"/>
              </w:rPr>
              <w:t>考查</w:t>
            </w:r>
          </w:p>
        </w:tc>
      </w:tr>
      <w:tr w14:paraId="123F466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06CCBD67">
            <w:pPr>
              <w:jc w:val="center"/>
              <w:rPr>
                <w:b/>
                <w:color w:val="000000" w:themeColor="text1"/>
                <w:sz w:val="18"/>
                <w:szCs w:val="18"/>
                <w14:textFill>
                  <w14:solidFill>
                    <w14:schemeClr w14:val="tx1"/>
                  </w14:solidFill>
                </w14:textFill>
              </w:rPr>
            </w:pPr>
          </w:p>
        </w:tc>
        <w:tc>
          <w:tcPr>
            <w:tcW w:w="1226" w:type="dxa"/>
            <w:vMerge w:val="continue"/>
            <w:vAlign w:val="center"/>
          </w:tcPr>
          <w:p w14:paraId="6B37F04A">
            <w:pPr>
              <w:rPr>
                <w:sz w:val="18"/>
                <w:szCs w:val="18"/>
              </w:rPr>
            </w:pPr>
          </w:p>
        </w:tc>
        <w:tc>
          <w:tcPr>
            <w:tcW w:w="3516" w:type="dxa"/>
          </w:tcPr>
          <w:p w14:paraId="730C128B">
            <w:pPr>
              <w:rPr>
                <w:sz w:val="18"/>
                <w:szCs w:val="18"/>
              </w:rPr>
            </w:pPr>
            <w:r>
              <w:rPr>
                <w:rFonts w:hint="eastAsia"/>
                <w:sz w:val="18"/>
                <w:szCs w:val="18"/>
              </w:rPr>
              <w:t>毕业实习2</w:t>
            </w:r>
          </w:p>
        </w:tc>
        <w:tc>
          <w:tcPr>
            <w:tcW w:w="1081" w:type="dxa"/>
            <w:vAlign w:val="center"/>
          </w:tcPr>
          <w:p w14:paraId="31865B6A">
            <w:pPr>
              <w:rPr>
                <w:rFonts w:hint="default" w:eastAsia="宋体"/>
                <w:sz w:val="18"/>
                <w:szCs w:val="18"/>
                <w:lang w:val="en-US" w:eastAsia="zh-CN"/>
              </w:rPr>
            </w:pPr>
            <w:r>
              <w:rPr>
                <w:rFonts w:hint="eastAsia"/>
                <w:color w:val="auto"/>
                <w:sz w:val="18"/>
                <w:szCs w:val="18"/>
              </w:rPr>
              <w:t>ZS29030</w:t>
            </w:r>
            <w:r>
              <w:rPr>
                <w:rFonts w:hint="eastAsia"/>
                <w:color w:val="auto"/>
                <w:sz w:val="18"/>
                <w:szCs w:val="18"/>
                <w:lang w:val="en-US" w:eastAsia="zh-CN"/>
              </w:rPr>
              <w:t>22</w:t>
            </w:r>
          </w:p>
        </w:tc>
        <w:tc>
          <w:tcPr>
            <w:tcW w:w="709" w:type="dxa"/>
            <w:vAlign w:val="center"/>
          </w:tcPr>
          <w:p w14:paraId="42B7DF75">
            <w:pPr>
              <w:jc w:val="center"/>
              <w:rPr>
                <w:rFonts w:hint="default" w:eastAsia="宋体"/>
                <w:sz w:val="18"/>
                <w:szCs w:val="18"/>
                <w:lang w:val="en-US" w:eastAsia="zh-CN"/>
              </w:rPr>
            </w:pPr>
            <w:r>
              <w:rPr>
                <w:rFonts w:hint="eastAsia"/>
                <w:sz w:val="18"/>
                <w:szCs w:val="18"/>
                <w:lang w:val="en-US" w:eastAsia="zh-CN"/>
              </w:rPr>
              <w:t>1.5</w:t>
            </w:r>
          </w:p>
        </w:tc>
        <w:tc>
          <w:tcPr>
            <w:tcW w:w="709" w:type="dxa"/>
            <w:vAlign w:val="center"/>
          </w:tcPr>
          <w:p w14:paraId="2FE6DC61">
            <w:pPr>
              <w:jc w:val="center"/>
              <w:rPr>
                <w:sz w:val="18"/>
                <w:szCs w:val="18"/>
              </w:rPr>
            </w:pPr>
            <w:r>
              <w:rPr>
                <w:rFonts w:hint="eastAsia"/>
                <w:sz w:val="18"/>
                <w:szCs w:val="18"/>
              </w:rPr>
              <w:t>5</w:t>
            </w:r>
          </w:p>
        </w:tc>
        <w:tc>
          <w:tcPr>
            <w:tcW w:w="1045" w:type="dxa"/>
            <w:vAlign w:val="center"/>
          </w:tcPr>
          <w:p w14:paraId="69F65746">
            <w:pPr>
              <w:jc w:val="center"/>
              <w:rPr>
                <w:sz w:val="18"/>
                <w:szCs w:val="18"/>
              </w:rPr>
            </w:pPr>
            <w:r>
              <w:rPr>
                <w:rFonts w:hint="eastAsia"/>
                <w:sz w:val="18"/>
                <w:szCs w:val="18"/>
              </w:rPr>
              <w:t>考查</w:t>
            </w:r>
          </w:p>
        </w:tc>
      </w:tr>
      <w:tr w14:paraId="0030BE0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39" w:hRule="atLeast"/>
          <w:jc w:val="center"/>
        </w:trPr>
        <w:tc>
          <w:tcPr>
            <w:tcW w:w="571" w:type="dxa"/>
            <w:vMerge w:val="restart"/>
            <w:vAlign w:val="center"/>
          </w:tcPr>
          <w:p w14:paraId="0B6A2FCD">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非学位课</w:t>
            </w:r>
          </w:p>
        </w:tc>
        <w:tc>
          <w:tcPr>
            <w:tcW w:w="1226" w:type="dxa"/>
            <w:vMerge w:val="restart"/>
            <w:vAlign w:val="center"/>
          </w:tcPr>
          <w:p w14:paraId="45C7D035">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公共通识课</w:t>
            </w:r>
          </w:p>
          <w:p w14:paraId="661520D8">
            <w:pPr>
              <w:jc w:val="center"/>
              <w:rPr>
                <w:sz w:val="18"/>
                <w:szCs w:val="18"/>
              </w:rPr>
            </w:pPr>
            <w:r>
              <w:rPr>
                <w:b/>
                <w:color w:val="000000" w:themeColor="text1"/>
                <w:sz w:val="18"/>
                <w:szCs w:val="18"/>
                <w14:textFill>
                  <w14:solidFill>
                    <w14:schemeClr w14:val="tx1"/>
                  </w14:solidFill>
                </w14:textFill>
              </w:rPr>
              <w:t>（2学分）</w:t>
            </w:r>
          </w:p>
        </w:tc>
        <w:tc>
          <w:tcPr>
            <w:tcW w:w="3516" w:type="dxa"/>
            <w:vAlign w:val="center"/>
          </w:tcPr>
          <w:p w14:paraId="03B136DE">
            <w:pPr>
              <w:rPr>
                <w:sz w:val="18"/>
                <w:szCs w:val="18"/>
              </w:rPr>
            </w:pPr>
            <w:r>
              <w:rPr>
                <w:sz w:val="18"/>
                <w:szCs w:val="18"/>
              </w:rPr>
              <w:t>《习近平谈治国理政》研读</w:t>
            </w:r>
          </w:p>
        </w:tc>
        <w:tc>
          <w:tcPr>
            <w:tcW w:w="1081" w:type="dxa"/>
            <w:shd w:val="clear" w:color="auto" w:fill="auto"/>
            <w:vAlign w:val="center"/>
          </w:tcPr>
          <w:p w14:paraId="0B95695F">
            <w:pPr>
              <w:jc w:val="center"/>
              <w:rPr>
                <w:rFonts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color w:val="000000" w:themeColor="text1"/>
                <w:sz w:val="18"/>
                <w:szCs w:val="18"/>
                <w14:textFill>
                  <w14:solidFill>
                    <w14:schemeClr w14:val="tx1"/>
                  </w14:solidFill>
                </w14:textFill>
              </w:rPr>
              <w:t>TT0000101</w:t>
            </w:r>
          </w:p>
        </w:tc>
        <w:tc>
          <w:tcPr>
            <w:tcW w:w="709" w:type="dxa"/>
            <w:vAlign w:val="center"/>
          </w:tcPr>
          <w:p w14:paraId="6EA27A92">
            <w:pPr>
              <w:jc w:val="center"/>
              <w:rPr>
                <w:sz w:val="18"/>
                <w:szCs w:val="18"/>
              </w:rPr>
            </w:pPr>
            <w:r>
              <w:rPr>
                <w:sz w:val="18"/>
                <w:szCs w:val="18"/>
              </w:rPr>
              <w:t>1</w:t>
            </w:r>
          </w:p>
        </w:tc>
        <w:tc>
          <w:tcPr>
            <w:tcW w:w="709" w:type="dxa"/>
            <w:vAlign w:val="center"/>
          </w:tcPr>
          <w:p w14:paraId="01EEE35B">
            <w:pPr>
              <w:jc w:val="center"/>
              <w:rPr>
                <w:sz w:val="18"/>
                <w:szCs w:val="18"/>
              </w:rPr>
            </w:pPr>
            <w:r>
              <w:rPr>
                <w:sz w:val="18"/>
                <w:szCs w:val="18"/>
              </w:rPr>
              <w:t>2</w:t>
            </w:r>
          </w:p>
        </w:tc>
        <w:tc>
          <w:tcPr>
            <w:tcW w:w="1045" w:type="dxa"/>
            <w:vAlign w:val="center"/>
          </w:tcPr>
          <w:p w14:paraId="7DB06282">
            <w:pPr>
              <w:jc w:val="center"/>
              <w:rPr>
                <w:sz w:val="18"/>
                <w:szCs w:val="18"/>
              </w:rPr>
            </w:pPr>
            <w:r>
              <w:rPr>
                <w:sz w:val="18"/>
                <w:szCs w:val="18"/>
              </w:rPr>
              <w:t>考查</w:t>
            </w:r>
          </w:p>
        </w:tc>
      </w:tr>
      <w:tr w14:paraId="2EA7D41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0CD7940C">
            <w:pPr>
              <w:jc w:val="center"/>
              <w:rPr>
                <w:b/>
                <w:color w:val="000000" w:themeColor="text1"/>
                <w:sz w:val="18"/>
                <w:szCs w:val="18"/>
                <w14:textFill>
                  <w14:solidFill>
                    <w14:schemeClr w14:val="tx1"/>
                  </w14:solidFill>
                </w14:textFill>
              </w:rPr>
            </w:pPr>
          </w:p>
        </w:tc>
        <w:tc>
          <w:tcPr>
            <w:tcW w:w="1226" w:type="dxa"/>
            <w:vMerge w:val="continue"/>
            <w:vAlign w:val="center"/>
          </w:tcPr>
          <w:p w14:paraId="13E20F7A">
            <w:pPr>
              <w:rPr>
                <w:sz w:val="18"/>
                <w:szCs w:val="18"/>
              </w:rPr>
            </w:pPr>
          </w:p>
        </w:tc>
        <w:tc>
          <w:tcPr>
            <w:tcW w:w="3516" w:type="dxa"/>
            <w:vAlign w:val="center"/>
          </w:tcPr>
          <w:p w14:paraId="3386CBAC">
            <w:pPr>
              <w:rPr>
                <w:sz w:val="18"/>
                <w:szCs w:val="18"/>
              </w:rPr>
            </w:pPr>
            <w:r>
              <w:rPr>
                <w:sz w:val="18"/>
                <w:szCs w:val="18"/>
              </w:rPr>
              <w:t>马克思主义与社会科学方法论</w:t>
            </w:r>
          </w:p>
        </w:tc>
        <w:tc>
          <w:tcPr>
            <w:tcW w:w="1081" w:type="dxa"/>
            <w:shd w:val="clear" w:color="auto" w:fill="auto"/>
            <w:vAlign w:val="center"/>
          </w:tcPr>
          <w:p w14:paraId="11AE0C46">
            <w:pPr>
              <w:jc w:val="center"/>
              <w:rPr>
                <w:rFonts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color w:val="000000" w:themeColor="text1"/>
                <w:sz w:val="18"/>
                <w:szCs w:val="18"/>
                <w14:textFill>
                  <w14:solidFill>
                    <w14:schemeClr w14:val="tx1"/>
                  </w14:solidFill>
                </w14:textFill>
              </w:rPr>
              <w:t>TS0000101</w:t>
            </w:r>
          </w:p>
        </w:tc>
        <w:tc>
          <w:tcPr>
            <w:tcW w:w="709" w:type="dxa"/>
            <w:vAlign w:val="center"/>
          </w:tcPr>
          <w:p w14:paraId="14138C4D">
            <w:pPr>
              <w:jc w:val="center"/>
              <w:rPr>
                <w:sz w:val="18"/>
                <w:szCs w:val="18"/>
              </w:rPr>
            </w:pPr>
            <w:r>
              <w:rPr>
                <w:sz w:val="18"/>
                <w:szCs w:val="18"/>
              </w:rPr>
              <w:t>1</w:t>
            </w:r>
          </w:p>
        </w:tc>
        <w:tc>
          <w:tcPr>
            <w:tcW w:w="709" w:type="dxa"/>
            <w:vAlign w:val="center"/>
          </w:tcPr>
          <w:p w14:paraId="21ED5A40">
            <w:pPr>
              <w:jc w:val="center"/>
              <w:rPr>
                <w:sz w:val="18"/>
                <w:szCs w:val="18"/>
              </w:rPr>
            </w:pPr>
            <w:r>
              <w:rPr>
                <w:sz w:val="18"/>
                <w:szCs w:val="18"/>
              </w:rPr>
              <w:t>2</w:t>
            </w:r>
          </w:p>
        </w:tc>
        <w:tc>
          <w:tcPr>
            <w:tcW w:w="1045" w:type="dxa"/>
            <w:vAlign w:val="center"/>
          </w:tcPr>
          <w:p w14:paraId="67A210E0">
            <w:pPr>
              <w:jc w:val="center"/>
              <w:rPr>
                <w:sz w:val="18"/>
                <w:szCs w:val="18"/>
              </w:rPr>
            </w:pPr>
            <w:r>
              <w:rPr>
                <w:sz w:val="18"/>
                <w:szCs w:val="18"/>
              </w:rPr>
              <w:t>考查</w:t>
            </w:r>
          </w:p>
        </w:tc>
      </w:tr>
      <w:tr w14:paraId="5E1CD0B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88F349D">
            <w:pPr>
              <w:rPr>
                <w:b/>
                <w:color w:val="000000" w:themeColor="text1"/>
                <w:sz w:val="18"/>
                <w:szCs w:val="18"/>
                <w14:textFill>
                  <w14:solidFill>
                    <w14:schemeClr w14:val="tx1"/>
                  </w14:solidFill>
                </w14:textFill>
              </w:rPr>
            </w:pPr>
          </w:p>
        </w:tc>
        <w:tc>
          <w:tcPr>
            <w:tcW w:w="1226" w:type="dxa"/>
            <w:vMerge w:val="restart"/>
            <w:vAlign w:val="center"/>
          </w:tcPr>
          <w:p w14:paraId="3D18678D">
            <w:pPr>
              <w:jc w:val="center"/>
              <w:rPr>
                <w:b/>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专业选修课</w:t>
            </w:r>
          </w:p>
          <w:p w14:paraId="6126BCC1">
            <w:pPr>
              <w:rPr>
                <w:sz w:val="18"/>
                <w:szCs w:val="18"/>
              </w:rPr>
            </w:pPr>
          </w:p>
        </w:tc>
        <w:tc>
          <w:tcPr>
            <w:tcW w:w="3516" w:type="dxa"/>
            <w:vAlign w:val="center"/>
          </w:tcPr>
          <w:p w14:paraId="634DA3BE">
            <w:pPr>
              <w:rPr>
                <w:sz w:val="18"/>
                <w:szCs w:val="18"/>
              </w:rPr>
            </w:pPr>
            <w:r>
              <w:rPr>
                <w:rFonts w:hint="eastAsia"/>
                <w:sz w:val="18"/>
                <w:szCs w:val="18"/>
              </w:rPr>
              <w:t>老年社会工作</w:t>
            </w:r>
          </w:p>
        </w:tc>
        <w:tc>
          <w:tcPr>
            <w:tcW w:w="1081" w:type="dxa"/>
            <w:shd w:val="clear" w:color="auto" w:fill="auto"/>
            <w:vAlign w:val="center"/>
          </w:tcPr>
          <w:p w14:paraId="5C73FA03">
            <w:pPr>
              <w:jc w:val="center"/>
              <w:rPr>
                <w:rFonts w:hint="default" w:ascii="Times New Roman" w:hAnsi="Times New Roman" w:eastAsia="宋体" w:cs="Times New Roman"/>
                <w:color w:val="auto"/>
                <w:kern w:val="2"/>
                <w:sz w:val="21"/>
                <w:szCs w:val="21"/>
                <w:lang w:val="en-US" w:eastAsia="zh-CN" w:bidi="ar-SA"/>
              </w:rPr>
            </w:pPr>
            <w:r>
              <w:rPr>
                <w:rFonts w:hint="eastAsia"/>
                <w:color w:val="auto"/>
                <w:sz w:val="18"/>
                <w:szCs w:val="18"/>
              </w:rPr>
              <w:t>ZS29032</w:t>
            </w:r>
            <w:r>
              <w:rPr>
                <w:rFonts w:hint="eastAsia"/>
                <w:color w:val="auto"/>
                <w:sz w:val="18"/>
                <w:szCs w:val="18"/>
                <w:lang w:val="en-US" w:eastAsia="zh-CN"/>
              </w:rPr>
              <w:t>20</w:t>
            </w:r>
          </w:p>
        </w:tc>
        <w:tc>
          <w:tcPr>
            <w:tcW w:w="709" w:type="dxa"/>
            <w:vAlign w:val="center"/>
          </w:tcPr>
          <w:p w14:paraId="66FC58F5">
            <w:pPr>
              <w:jc w:val="center"/>
              <w:rPr>
                <w:sz w:val="18"/>
                <w:szCs w:val="18"/>
              </w:rPr>
            </w:pPr>
            <w:r>
              <w:rPr>
                <w:rFonts w:hint="eastAsia"/>
                <w:sz w:val="18"/>
                <w:szCs w:val="18"/>
              </w:rPr>
              <w:t>2</w:t>
            </w:r>
          </w:p>
        </w:tc>
        <w:tc>
          <w:tcPr>
            <w:tcW w:w="709" w:type="dxa"/>
            <w:vAlign w:val="center"/>
          </w:tcPr>
          <w:p w14:paraId="19A29F6B">
            <w:pPr>
              <w:jc w:val="center"/>
              <w:rPr>
                <w:sz w:val="18"/>
                <w:szCs w:val="18"/>
              </w:rPr>
            </w:pPr>
            <w:r>
              <w:rPr>
                <w:rFonts w:hint="eastAsia"/>
                <w:sz w:val="18"/>
                <w:szCs w:val="18"/>
              </w:rPr>
              <w:t>2</w:t>
            </w:r>
          </w:p>
        </w:tc>
        <w:tc>
          <w:tcPr>
            <w:tcW w:w="1045" w:type="dxa"/>
            <w:vMerge w:val="restart"/>
            <w:vAlign w:val="center"/>
          </w:tcPr>
          <w:p w14:paraId="7D8C5DDC">
            <w:pPr>
              <w:jc w:val="center"/>
              <w:rPr>
                <w:sz w:val="18"/>
                <w:szCs w:val="18"/>
              </w:rPr>
            </w:pPr>
            <w:r>
              <w:rPr>
                <w:sz w:val="18"/>
                <w:szCs w:val="18"/>
              </w:rPr>
              <w:t>本方向研究生至少选修</w:t>
            </w:r>
          </w:p>
          <w:p w14:paraId="7D36B62B">
            <w:pPr>
              <w:jc w:val="center"/>
              <w:rPr>
                <w:sz w:val="18"/>
                <w:szCs w:val="18"/>
              </w:rPr>
            </w:pPr>
            <w:r>
              <w:rPr>
                <w:rFonts w:hint="eastAsia"/>
                <w:sz w:val="18"/>
                <w:szCs w:val="18"/>
              </w:rPr>
              <w:t>8</w:t>
            </w:r>
            <w:r>
              <w:rPr>
                <w:sz w:val="18"/>
                <w:szCs w:val="18"/>
              </w:rPr>
              <w:t>学分</w:t>
            </w:r>
          </w:p>
          <w:p w14:paraId="3A5244A4">
            <w:pPr>
              <w:jc w:val="center"/>
              <w:rPr>
                <w:sz w:val="18"/>
                <w:szCs w:val="18"/>
              </w:rPr>
            </w:pPr>
          </w:p>
        </w:tc>
      </w:tr>
      <w:tr w14:paraId="45C17C8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B2EBF6C">
            <w:pPr>
              <w:rPr>
                <w:b/>
                <w:color w:val="000000" w:themeColor="text1"/>
                <w:sz w:val="18"/>
                <w:szCs w:val="18"/>
                <w14:textFill>
                  <w14:solidFill>
                    <w14:schemeClr w14:val="tx1"/>
                  </w14:solidFill>
                </w14:textFill>
              </w:rPr>
            </w:pPr>
          </w:p>
        </w:tc>
        <w:tc>
          <w:tcPr>
            <w:tcW w:w="1226" w:type="dxa"/>
            <w:vMerge w:val="continue"/>
            <w:vAlign w:val="center"/>
          </w:tcPr>
          <w:p w14:paraId="5BD3F6B3">
            <w:pPr>
              <w:rPr>
                <w:sz w:val="18"/>
                <w:szCs w:val="18"/>
              </w:rPr>
            </w:pPr>
          </w:p>
        </w:tc>
        <w:tc>
          <w:tcPr>
            <w:tcW w:w="3516" w:type="dxa"/>
            <w:vAlign w:val="center"/>
          </w:tcPr>
          <w:p w14:paraId="0E570D9A">
            <w:pPr>
              <w:rPr>
                <w:sz w:val="18"/>
                <w:szCs w:val="18"/>
              </w:rPr>
            </w:pPr>
            <w:r>
              <w:rPr>
                <w:rFonts w:hint="eastAsia"/>
                <w:sz w:val="18"/>
                <w:szCs w:val="18"/>
              </w:rPr>
              <w:t>人口老龄化与社会保障</w:t>
            </w:r>
          </w:p>
        </w:tc>
        <w:tc>
          <w:tcPr>
            <w:tcW w:w="1081" w:type="dxa"/>
            <w:shd w:val="clear" w:color="auto" w:fill="auto"/>
            <w:vAlign w:val="center"/>
          </w:tcPr>
          <w:p w14:paraId="774E9165">
            <w:pPr>
              <w:jc w:val="center"/>
              <w:rPr>
                <w:rFonts w:hint="default" w:ascii="Times New Roman" w:hAnsi="Times New Roman" w:eastAsia="宋体" w:cs="Times New Roman"/>
                <w:color w:val="auto"/>
                <w:kern w:val="2"/>
                <w:sz w:val="21"/>
                <w:szCs w:val="21"/>
                <w:lang w:val="en-US" w:eastAsia="zh-CN" w:bidi="ar-SA"/>
              </w:rPr>
            </w:pPr>
            <w:r>
              <w:rPr>
                <w:rFonts w:hint="eastAsia"/>
                <w:color w:val="auto"/>
                <w:sz w:val="18"/>
                <w:szCs w:val="18"/>
              </w:rPr>
              <w:t>ZS29032</w:t>
            </w:r>
            <w:r>
              <w:rPr>
                <w:rFonts w:hint="eastAsia"/>
                <w:color w:val="auto"/>
                <w:sz w:val="18"/>
                <w:szCs w:val="18"/>
                <w:lang w:val="en-US" w:eastAsia="zh-CN"/>
              </w:rPr>
              <w:t>21</w:t>
            </w:r>
          </w:p>
        </w:tc>
        <w:tc>
          <w:tcPr>
            <w:tcW w:w="709" w:type="dxa"/>
            <w:vAlign w:val="center"/>
          </w:tcPr>
          <w:p w14:paraId="29189AEE">
            <w:pPr>
              <w:jc w:val="center"/>
              <w:rPr>
                <w:sz w:val="18"/>
                <w:szCs w:val="18"/>
              </w:rPr>
            </w:pPr>
            <w:r>
              <w:rPr>
                <w:rFonts w:hint="eastAsia"/>
                <w:sz w:val="18"/>
                <w:szCs w:val="18"/>
              </w:rPr>
              <w:t>2</w:t>
            </w:r>
          </w:p>
        </w:tc>
        <w:tc>
          <w:tcPr>
            <w:tcW w:w="709" w:type="dxa"/>
            <w:vAlign w:val="center"/>
          </w:tcPr>
          <w:p w14:paraId="0E445669">
            <w:pPr>
              <w:jc w:val="center"/>
              <w:rPr>
                <w:sz w:val="18"/>
                <w:szCs w:val="18"/>
              </w:rPr>
            </w:pPr>
            <w:r>
              <w:rPr>
                <w:rFonts w:hint="eastAsia"/>
                <w:sz w:val="18"/>
                <w:szCs w:val="18"/>
              </w:rPr>
              <w:t>2</w:t>
            </w:r>
          </w:p>
        </w:tc>
        <w:tc>
          <w:tcPr>
            <w:tcW w:w="1045" w:type="dxa"/>
            <w:vMerge w:val="continue"/>
            <w:vAlign w:val="center"/>
          </w:tcPr>
          <w:p w14:paraId="720907DA">
            <w:pPr>
              <w:rPr>
                <w:sz w:val="18"/>
                <w:szCs w:val="18"/>
              </w:rPr>
            </w:pPr>
          </w:p>
        </w:tc>
      </w:tr>
      <w:tr w14:paraId="5B4ADE6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20FF2C7">
            <w:pPr>
              <w:rPr>
                <w:b/>
                <w:color w:val="000000" w:themeColor="text1"/>
                <w:sz w:val="18"/>
                <w:szCs w:val="18"/>
                <w14:textFill>
                  <w14:solidFill>
                    <w14:schemeClr w14:val="tx1"/>
                  </w14:solidFill>
                </w14:textFill>
              </w:rPr>
            </w:pPr>
          </w:p>
        </w:tc>
        <w:tc>
          <w:tcPr>
            <w:tcW w:w="1226" w:type="dxa"/>
            <w:vMerge w:val="continue"/>
            <w:vAlign w:val="center"/>
          </w:tcPr>
          <w:p w14:paraId="4DAC9A89">
            <w:pPr>
              <w:rPr>
                <w:sz w:val="18"/>
                <w:szCs w:val="18"/>
              </w:rPr>
            </w:pPr>
          </w:p>
        </w:tc>
        <w:tc>
          <w:tcPr>
            <w:tcW w:w="3516" w:type="dxa"/>
            <w:vAlign w:val="center"/>
          </w:tcPr>
          <w:p w14:paraId="0B3E6EF3">
            <w:pPr>
              <w:rPr>
                <w:sz w:val="18"/>
                <w:szCs w:val="18"/>
              </w:rPr>
            </w:pPr>
            <w:r>
              <w:rPr>
                <w:rFonts w:hint="eastAsia"/>
                <w:sz w:val="18"/>
                <w:szCs w:val="18"/>
              </w:rPr>
              <w:t>中国社会工作史</w:t>
            </w:r>
          </w:p>
        </w:tc>
        <w:tc>
          <w:tcPr>
            <w:tcW w:w="1081" w:type="dxa"/>
            <w:shd w:val="clear" w:color="auto" w:fill="auto"/>
            <w:vAlign w:val="center"/>
          </w:tcPr>
          <w:p w14:paraId="1C830CF1">
            <w:pPr>
              <w:jc w:val="center"/>
              <w:rPr>
                <w:rFonts w:hint="default" w:ascii="Times New Roman" w:hAnsi="Times New Roman" w:eastAsia="宋体" w:cs="Times New Roman"/>
                <w:color w:val="auto"/>
                <w:kern w:val="2"/>
                <w:sz w:val="21"/>
                <w:szCs w:val="21"/>
                <w:lang w:val="en-US" w:eastAsia="zh-CN" w:bidi="ar-SA"/>
              </w:rPr>
            </w:pPr>
            <w:r>
              <w:rPr>
                <w:rFonts w:hint="eastAsia"/>
                <w:color w:val="auto"/>
                <w:sz w:val="18"/>
                <w:szCs w:val="18"/>
              </w:rPr>
              <w:t>ZS29032</w:t>
            </w:r>
            <w:r>
              <w:rPr>
                <w:rFonts w:hint="eastAsia"/>
                <w:color w:val="auto"/>
                <w:sz w:val="18"/>
                <w:szCs w:val="18"/>
                <w:lang w:val="en-US" w:eastAsia="zh-CN"/>
              </w:rPr>
              <w:t>22</w:t>
            </w:r>
          </w:p>
        </w:tc>
        <w:tc>
          <w:tcPr>
            <w:tcW w:w="709" w:type="dxa"/>
            <w:vAlign w:val="center"/>
          </w:tcPr>
          <w:p w14:paraId="190D24EA">
            <w:pPr>
              <w:jc w:val="center"/>
              <w:rPr>
                <w:sz w:val="18"/>
                <w:szCs w:val="18"/>
              </w:rPr>
            </w:pPr>
            <w:r>
              <w:rPr>
                <w:rFonts w:hint="eastAsia"/>
                <w:sz w:val="18"/>
                <w:szCs w:val="18"/>
              </w:rPr>
              <w:t>2</w:t>
            </w:r>
          </w:p>
        </w:tc>
        <w:tc>
          <w:tcPr>
            <w:tcW w:w="709" w:type="dxa"/>
            <w:vAlign w:val="center"/>
          </w:tcPr>
          <w:p w14:paraId="599A308C">
            <w:pPr>
              <w:jc w:val="center"/>
              <w:rPr>
                <w:sz w:val="18"/>
                <w:szCs w:val="18"/>
              </w:rPr>
            </w:pPr>
            <w:r>
              <w:rPr>
                <w:rFonts w:hint="eastAsia"/>
                <w:sz w:val="18"/>
                <w:szCs w:val="18"/>
              </w:rPr>
              <w:t>1</w:t>
            </w:r>
          </w:p>
        </w:tc>
        <w:tc>
          <w:tcPr>
            <w:tcW w:w="1045" w:type="dxa"/>
            <w:vMerge w:val="continue"/>
            <w:vAlign w:val="center"/>
          </w:tcPr>
          <w:p w14:paraId="4A1AC006">
            <w:pPr>
              <w:rPr>
                <w:sz w:val="18"/>
                <w:szCs w:val="18"/>
              </w:rPr>
            </w:pPr>
          </w:p>
        </w:tc>
      </w:tr>
      <w:tr w14:paraId="2EBF828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A60D884">
            <w:pPr>
              <w:rPr>
                <w:b/>
                <w:color w:val="000000" w:themeColor="text1"/>
                <w:sz w:val="18"/>
                <w:szCs w:val="18"/>
                <w14:textFill>
                  <w14:solidFill>
                    <w14:schemeClr w14:val="tx1"/>
                  </w14:solidFill>
                </w14:textFill>
              </w:rPr>
            </w:pPr>
          </w:p>
        </w:tc>
        <w:tc>
          <w:tcPr>
            <w:tcW w:w="1226" w:type="dxa"/>
            <w:vMerge w:val="continue"/>
            <w:vAlign w:val="center"/>
          </w:tcPr>
          <w:p w14:paraId="3380ACAF">
            <w:pPr>
              <w:rPr>
                <w:sz w:val="18"/>
                <w:szCs w:val="18"/>
              </w:rPr>
            </w:pPr>
          </w:p>
        </w:tc>
        <w:tc>
          <w:tcPr>
            <w:tcW w:w="3516" w:type="dxa"/>
            <w:vAlign w:val="center"/>
          </w:tcPr>
          <w:p w14:paraId="058723F1">
            <w:pPr>
              <w:rPr>
                <w:sz w:val="18"/>
                <w:szCs w:val="18"/>
              </w:rPr>
            </w:pPr>
            <w:r>
              <w:rPr>
                <w:rFonts w:hint="eastAsia"/>
                <w:sz w:val="18"/>
                <w:szCs w:val="18"/>
              </w:rPr>
              <w:t>社会工作与基层治理</w:t>
            </w:r>
          </w:p>
        </w:tc>
        <w:tc>
          <w:tcPr>
            <w:tcW w:w="1081" w:type="dxa"/>
            <w:shd w:val="clear" w:color="auto" w:fill="auto"/>
            <w:vAlign w:val="center"/>
          </w:tcPr>
          <w:p w14:paraId="7C178249">
            <w:pPr>
              <w:jc w:val="center"/>
              <w:rPr>
                <w:rFonts w:hint="default" w:ascii="Times New Roman" w:hAnsi="Times New Roman" w:eastAsia="宋体" w:cs="Times New Roman"/>
                <w:color w:val="auto"/>
                <w:kern w:val="2"/>
                <w:sz w:val="21"/>
                <w:szCs w:val="21"/>
                <w:lang w:val="en-US" w:eastAsia="zh-CN" w:bidi="ar-SA"/>
              </w:rPr>
            </w:pPr>
            <w:r>
              <w:rPr>
                <w:rFonts w:hint="eastAsia"/>
                <w:color w:val="auto"/>
                <w:sz w:val="18"/>
                <w:szCs w:val="18"/>
              </w:rPr>
              <w:t>ZS29032</w:t>
            </w:r>
            <w:r>
              <w:rPr>
                <w:rFonts w:hint="eastAsia"/>
                <w:color w:val="auto"/>
                <w:sz w:val="18"/>
                <w:szCs w:val="18"/>
                <w:lang w:val="en-US" w:eastAsia="zh-CN"/>
              </w:rPr>
              <w:t>23</w:t>
            </w:r>
          </w:p>
        </w:tc>
        <w:tc>
          <w:tcPr>
            <w:tcW w:w="709" w:type="dxa"/>
            <w:vAlign w:val="center"/>
          </w:tcPr>
          <w:p w14:paraId="745CB419">
            <w:pPr>
              <w:jc w:val="center"/>
              <w:rPr>
                <w:sz w:val="18"/>
                <w:szCs w:val="18"/>
              </w:rPr>
            </w:pPr>
            <w:r>
              <w:rPr>
                <w:rFonts w:hint="eastAsia"/>
                <w:sz w:val="18"/>
                <w:szCs w:val="18"/>
              </w:rPr>
              <w:t>2</w:t>
            </w:r>
          </w:p>
        </w:tc>
        <w:tc>
          <w:tcPr>
            <w:tcW w:w="709" w:type="dxa"/>
            <w:vAlign w:val="center"/>
          </w:tcPr>
          <w:p w14:paraId="4AB142C8">
            <w:pPr>
              <w:jc w:val="center"/>
              <w:rPr>
                <w:sz w:val="18"/>
                <w:szCs w:val="18"/>
              </w:rPr>
            </w:pPr>
            <w:r>
              <w:rPr>
                <w:rFonts w:hint="eastAsia"/>
                <w:sz w:val="18"/>
                <w:szCs w:val="18"/>
              </w:rPr>
              <w:t>3</w:t>
            </w:r>
          </w:p>
        </w:tc>
        <w:tc>
          <w:tcPr>
            <w:tcW w:w="1045" w:type="dxa"/>
            <w:vMerge w:val="continue"/>
            <w:vAlign w:val="center"/>
          </w:tcPr>
          <w:p w14:paraId="0E7C0D29">
            <w:pPr>
              <w:rPr>
                <w:sz w:val="18"/>
                <w:szCs w:val="18"/>
              </w:rPr>
            </w:pPr>
          </w:p>
        </w:tc>
      </w:tr>
      <w:tr w14:paraId="7214C07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6C13B95">
            <w:pPr>
              <w:rPr>
                <w:b/>
                <w:color w:val="000000" w:themeColor="text1"/>
                <w:sz w:val="18"/>
                <w:szCs w:val="18"/>
                <w14:textFill>
                  <w14:solidFill>
                    <w14:schemeClr w14:val="tx1"/>
                  </w14:solidFill>
                </w14:textFill>
              </w:rPr>
            </w:pPr>
          </w:p>
        </w:tc>
        <w:tc>
          <w:tcPr>
            <w:tcW w:w="1226" w:type="dxa"/>
            <w:vMerge w:val="continue"/>
            <w:vAlign w:val="center"/>
          </w:tcPr>
          <w:p w14:paraId="7CD23CED">
            <w:pPr>
              <w:rPr>
                <w:sz w:val="18"/>
                <w:szCs w:val="18"/>
              </w:rPr>
            </w:pPr>
          </w:p>
        </w:tc>
        <w:tc>
          <w:tcPr>
            <w:tcW w:w="3516" w:type="dxa"/>
            <w:vAlign w:val="center"/>
          </w:tcPr>
          <w:p w14:paraId="558E0607">
            <w:pPr>
              <w:rPr>
                <w:sz w:val="18"/>
                <w:szCs w:val="18"/>
              </w:rPr>
            </w:pPr>
            <w:r>
              <w:rPr>
                <w:rFonts w:hint="eastAsia"/>
                <w:sz w:val="18"/>
                <w:szCs w:val="18"/>
              </w:rPr>
              <w:t>数字社会工作</w:t>
            </w:r>
          </w:p>
        </w:tc>
        <w:tc>
          <w:tcPr>
            <w:tcW w:w="1081" w:type="dxa"/>
            <w:shd w:val="clear" w:color="auto" w:fill="auto"/>
            <w:vAlign w:val="center"/>
          </w:tcPr>
          <w:p w14:paraId="34ECC141">
            <w:pPr>
              <w:jc w:val="center"/>
              <w:rPr>
                <w:rFonts w:hint="default" w:ascii="Times New Roman" w:hAnsi="Times New Roman" w:eastAsia="宋体" w:cs="Times New Roman"/>
                <w:color w:val="auto"/>
                <w:kern w:val="2"/>
                <w:sz w:val="18"/>
                <w:szCs w:val="18"/>
                <w:lang w:val="en-US" w:eastAsia="zh-CN" w:bidi="ar-SA"/>
              </w:rPr>
            </w:pPr>
            <w:r>
              <w:rPr>
                <w:rFonts w:hint="eastAsia"/>
                <w:color w:val="auto"/>
                <w:sz w:val="18"/>
                <w:szCs w:val="18"/>
              </w:rPr>
              <w:t>ZS29032</w:t>
            </w:r>
            <w:r>
              <w:rPr>
                <w:rFonts w:hint="eastAsia"/>
                <w:color w:val="auto"/>
                <w:sz w:val="18"/>
                <w:szCs w:val="18"/>
                <w:lang w:val="en-US" w:eastAsia="zh-CN"/>
              </w:rPr>
              <w:t>24</w:t>
            </w:r>
          </w:p>
        </w:tc>
        <w:tc>
          <w:tcPr>
            <w:tcW w:w="709" w:type="dxa"/>
            <w:vAlign w:val="center"/>
          </w:tcPr>
          <w:p w14:paraId="10BDA43C">
            <w:pPr>
              <w:jc w:val="center"/>
              <w:rPr>
                <w:sz w:val="18"/>
                <w:szCs w:val="18"/>
              </w:rPr>
            </w:pPr>
            <w:r>
              <w:rPr>
                <w:rFonts w:hint="eastAsia"/>
                <w:sz w:val="18"/>
                <w:szCs w:val="18"/>
              </w:rPr>
              <w:t>2</w:t>
            </w:r>
          </w:p>
        </w:tc>
        <w:tc>
          <w:tcPr>
            <w:tcW w:w="709" w:type="dxa"/>
            <w:vAlign w:val="center"/>
          </w:tcPr>
          <w:p w14:paraId="36E0D51F">
            <w:pPr>
              <w:jc w:val="center"/>
              <w:rPr>
                <w:sz w:val="18"/>
                <w:szCs w:val="18"/>
              </w:rPr>
            </w:pPr>
            <w:r>
              <w:rPr>
                <w:rFonts w:hint="eastAsia"/>
                <w:sz w:val="18"/>
                <w:szCs w:val="18"/>
              </w:rPr>
              <w:t>3</w:t>
            </w:r>
          </w:p>
        </w:tc>
        <w:tc>
          <w:tcPr>
            <w:tcW w:w="1045" w:type="dxa"/>
            <w:vMerge w:val="continue"/>
            <w:vAlign w:val="center"/>
          </w:tcPr>
          <w:p w14:paraId="0F6B6DB8">
            <w:pPr>
              <w:rPr>
                <w:sz w:val="18"/>
                <w:szCs w:val="18"/>
              </w:rPr>
            </w:pPr>
          </w:p>
        </w:tc>
      </w:tr>
      <w:tr w14:paraId="6977C1D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70A38BF">
            <w:pPr>
              <w:rPr>
                <w:b/>
                <w:color w:val="000000" w:themeColor="text1"/>
                <w:sz w:val="18"/>
                <w:szCs w:val="18"/>
                <w14:textFill>
                  <w14:solidFill>
                    <w14:schemeClr w14:val="tx1"/>
                  </w14:solidFill>
                </w14:textFill>
              </w:rPr>
            </w:pPr>
          </w:p>
        </w:tc>
        <w:tc>
          <w:tcPr>
            <w:tcW w:w="1226" w:type="dxa"/>
            <w:vMerge w:val="continue"/>
          </w:tcPr>
          <w:p w14:paraId="60EA2B7A">
            <w:pPr>
              <w:rPr>
                <w:sz w:val="18"/>
                <w:szCs w:val="18"/>
              </w:rPr>
            </w:pPr>
          </w:p>
        </w:tc>
        <w:tc>
          <w:tcPr>
            <w:tcW w:w="3516" w:type="dxa"/>
            <w:vAlign w:val="center"/>
          </w:tcPr>
          <w:p w14:paraId="162D3CC0">
            <w:pPr>
              <w:rPr>
                <w:sz w:val="18"/>
                <w:szCs w:val="18"/>
              </w:rPr>
            </w:pPr>
            <w:r>
              <w:rPr>
                <w:rFonts w:hint="eastAsia"/>
                <w:sz w:val="18"/>
                <w:szCs w:val="18"/>
              </w:rPr>
              <w:t>党建社会工作（两企三新）</w:t>
            </w:r>
          </w:p>
        </w:tc>
        <w:tc>
          <w:tcPr>
            <w:tcW w:w="1081" w:type="dxa"/>
            <w:shd w:val="clear" w:color="auto" w:fill="auto"/>
            <w:vAlign w:val="center"/>
          </w:tcPr>
          <w:p w14:paraId="0070F832">
            <w:pPr>
              <w:jc w:val="center"/>
              <w:rPr>
                <w:rFonts w:hint="default" w:ascii="Times New Roman" w:hAnsi="Times New Roman" w:eastAsia="宋体" w:cs="Times New Roman"/>
                <w:color w:val="auto"/>
                <w:kern w:val="2"/>
                <w:sz w:val="18"/>
                <w:szCs w:val="18"/>
                <w:lang w:val="en-US" w:eastAsia="zh-CN" w:bidi="ar-SA"/>
              </w:rPr>
            </w:pPr>
            <w:r>
              <w:rPr>
                <w:rFonts w:hint="eastAsia"/>
                <w:color w:val="auto"/>
                <w:sz w:val="18"/>
                <w:szCs w:val="18"/>
              </w:rPr>
              <w:t>ZS29032</w:t>
            </w:r>
            <w:r>
              <w:rPr>
                <w:rFonts w:hint="eastAsia"/>
                <w:color w:val="auto"/>
                <w:sz w:val="18"/>
                <w:szCs w:val="18"/>
                <w:lang w:val="en-US" w:eastAsia="zh-CN"/>
              </w:rPr>
              <w:t>25</w:t>
            </w:r>
          </w:p>
        </w:tc>
        <w:tc>
          <w:tcPr>
            <w:tcW w:w="709" w:type="dxa"/>
            <w:vAlign w:val="center"/>
          </w:tcPr>
          <w:p w14:paraId="7D89D354">
            <w:pPr>
              <w:jc w:val="center"/>
              <w:rPr>
                <w:sz w:val="18"/>
                <w:szCs w:val="18"/>
              </w:rPr>
            </w:pPr>
            <w:r>
              <w:rPr>
                <w:rFonts w:hint="eastAsia"/>
                <w:sz w:val="18"/>
                <w:szCs w:val="18"/>
              </w:rPr>
              <w:t>2</w:t>
            </w:r>
          </w:p>
        </w:tc>
        <w:tc>
          <w:tcPr>
            <w:tcW w:w="709" w:type="dxa"/>
            <w:vAlign w:val="center"/>
          </w:tcPr>
          <w:p w14:paraId="71880DDE">
            <w:pPr>
              <w:jc w:val="center"/>
              <w:rPr>
                <w:sz w:val="18"/>
                <w:szCs w:val="18"/>
              </w:rPr>
            </w:pPr>
            <w:r>
              <w:rPr>
                <w:rFonts w:hint="eastAsia"/>
                <w:sz w:val="18"/>
                <w:szCs w:val="18"/>
              </w:rPr>
              <w:t>3</w:t>
            </w:r>
          </w:p>
        </w:tc>
        <w:tc>
          <w:tcPr>
            <w:tcW w:w="1045" w:type="dxa"/>
            <w:vMerge w:val="continue"/>
            <w:vAlign w:val="center"/>
          </w:tcPr>
          <w:p w14:paraId="7425E01D">
            <w:pPr>
              <w:rPr>
                <w:sz w:val="18"/>
                <w:szCs w:val="18"/>
              </w:rPr>
            </w:pPr>
          </w:p>
        </w:tc>
      </w:tr>
      <w:tr w14:paraId="1ED9839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9206942">
            <w:pPr>
              <w:rPr>
                <w:b/>
                <w:color w:val="000000" w:themeColor="text1"/>
                <w:sz w:val="18"/>
                <w:szCs w:val="18"/>
                <w14:textFill>
                  <w14:solidFill>
                    <w14:schemeClr w14:val="tx1"/>
                  </w14:solidFill>
                </w14:textFill>
              </w:rPr>
            </w:pPr>
          </w:p>
        </w:tc>
        <w:tc>
          <w:tcPr>
            <w:tcW w:w="1226" w:type="dxa"/>
            <w:vMerge w:val="continue"/>
          </w:tcPr>
          <w:p w14:paraId="3B32A4AD">
            <w:pPr>
              <w:rPr>
                <w:sz w:val="18"/>
                <w:szCs w:val="18"/>
              </w:rPr>
            </w:pPr>
          </w:p>
        </w:tc>
        <w:tc>
          <w:tcPr>
            <w:tcW w:w="3516" w:type="dxa"/>
            <w:vAlign w:val="center"/>
          </w:tcPr>
          <w:p w14:paraId="346F8B4F">
            <w:pPr>
              <w:rPr>
                <w:sz w:val="18"/>
                <w:szCs w:val="18"/>
              </w:rPr>
            </w:pPr>
            <w:r>
              <w:rPr>
                <w:rFonts w:hint="eastAsia"/>
                <w:sz w:val="18"/>
                <w:szCs w:val="18"/>
              </w:rPr>
              <w:t>坤舆群学书院（特色研学课程）</w:t>
            </w:r>
          </w:p>
        </w:tc>
        <w:tc>
          <w:tcPr>
            <w:tcW w:w="1081" w:type="dxa"/>
            <w:shd w:val="clear" w:color="auto" w:fill="auto"/>
            <w:vAlign w:val="center"/>
          </w:tcPr>
          <w:p w14:paraId="2C2B99EB">
            <w:pPr>
              <w:jc w:val="center"/>
              <w:rPr>
                <w:rFonts w:hint="default" w:ascii="Times New Roman" w:hAnsi="Times New Roman" w:eastAsia="宋体" w:cs="Times New Roman"/>
                <w:color w:val="auto"/>
                <w:kern w:val="2"/>
                <w:sz w:val="18"/>
                <w:szCs w:val="18"/>
                <w:lang w:val="en-US" w:eastAsia="zh-CN" w:bidi="ar-SA"/>
              </w:rPr>
            </w:pPr>
            <w:r>
              <w:rPr>
                <w:rFonts w:hint="eastAsia"/>
                <w:color w:val="auto"/>
                <w:sz w:val="18"/>
                <w:szCs w:val="18"/>
              </w:rPr>
              <w:t>ZS29032</w:t>
            </w:r>
            <w:r>
              <w:rPr>
                <w:rFonts w:hint="eastAsia"/>
                <w:color w:val="auto"/>
                <w:sz w:val="18"/>
                <w:szCs w:val="18"/>
                <w:lang w:val="en-US" w:eastAsia="zh-CN"/>
              </w:rPr>
              <w:t>26</w:t>
            </w:r>
            <w:bookmarkStart w:id="2" w:name="_GoBack"/>
            <w:bookmarkEnd w:id="2"/>
          </w:p>
        </w:tc>
        <w:tc>
          <w:tcPr>
            <w:tcW w:w="709" w:type="dxa"/>
            <w:vAlign w:val="center"/>
          </w:tcPr>
          <w:p w14:paraId="22B946FC">
            <w:pPr>
              <w:jc w:val="center"/>
              <w:rPr>
                <w:sz w:val="18"/>
                <w:szCs w:val="18"/>
              </w:rPr>
            </w:pPr>
            <w:r>
              <w:rPr>
                <w:rFonts w:hint="eastAsia"/>
                <w:sz w:val="18"/>
                <w:szCs w:val="18"/>
              </w:rPr>
              <w:t>2</w:t>
            </w:r>
          </w:p>
        </w:tc>
        <w:tc>
          <w:tcPr>
            <w:tcW w:w="709" w:type="dxa"/>
            <w:vAlign w:val="center"/>
          </w:tcPr>
          <w:p w14:paraId="514664AF">
            <w:pPr>
              <w:jc w:val="center"/>
              <w:rPr>
                <w:sz w:val="18"/>
                <w:szCs w:val="18"/>
              </w:rPr>
            </w:pPr>
            <w:r>
              <w:rPr>
                <w:rFonts w:hint="eastAsia"/>
                <w:sz w:val="18"/>
                <w:szCs w:val="18"/>
              </w:rPr>
              <w:t>2</w:t>
            </w:r>
          </w:p>
        </w:tc>
        <w:tc>
          <w:tcPr>
            <w:tcW w:w="1045" w:type="dxa"/>
            <w:vMerge w:val="continue"/>
            <w:vAlign w:val="center"/>
          </w:tcPr>
          <w:p w14:paraId="64095007">
            <w:pPr>
              <w:rPr>
                <w:sz w:val="18"/>
                <w:szCs w:val="18"/>
              </w:rPr>
            </w:pPr>
          </w:p>
        </w:tc>
      </w:tr>
      <w:tr w14:paraId="4FD92E6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571" w:type="dxa"/>
            <w:vMerge w:val="restart"/>
            <w:vAlign w:val="center"/>
          </w:tcPr>
          <w:p w14:paraId="14E5E503">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必修环节</w:t>
            </w:r>
          </w:p>
          <w:p w14:paraId="0971C5B7">
            <w:pPr>
              <w:jc w:val="center"/>
              <w:rPr>
                <w:b/>
                <w:color w:val="000000" w:themeColor="text1"/>
                <w:sz w:val="18"/>
                <w:szCs w:val="18"/>
                <w14:textFill>
                  <w14:solidFill>
                    <w14:schemeClr w14:val="tx1"/>
                  </w14:solidFill>
                </w14:textFill>
              </w:rPr>
            </w:pPr>
          </w:p>
        </w:tc>
        <w:tc>
          <w:tcPr>
            <w:tcW w:w="1226" w:type="dxa"/>
            <w:vMerge w:val="restart"/>
            <w:vAlign w:val="center"/>
          </w:tcPr>
          <w:p w14:paraId="2200A773">
            <w:pPr>
              <w:jc w:val="center"/>
              <w:rPr>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素质拓展</w:t>
            </w:r>
          </w:p>
        </w:tc>
        <w:tc>
          <w:tcPr>
            <w:tcW w:w="3516" w:type="dxa"/>
            <w:vAlign w:val="center"/>
          </w:tcPr>
          <w:p w14:paraId="56018D79">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入学教育</w:t>
            </w:r>
          </w:p>
        </w:tc>
        <w:tc>
          <w:tcPr>
            <w:tcW w:w="1081" w:type="dxa"/>
            <w:vAlign w:val="center"/>
          </w:tcPr>
          <w:p w14:paraId="3326C199">
            <w:pPr>
              <w:rPr>
                <w:sz w:val="18"/>
                <w:szCs w:val="18"/>
              </w:rPr>
            </w:pPr>
          </w:p>
        </w:tc>
        <w:tc>
          <w:tcPr>
            <w:tcW w:w="709" w:type="dxa"/>
            <w:vAlign w:val="center"/>
          </w:tcPr>
          <w:p w14:paraId="5982A4F2">
            <w:pPr>
              <w:jc w:val="center"/>
              <w:rPr>
                <w:sz w:val="18"/>
                <w:szCs w:val="18"/>
              </w:rPr>
            </w:pPr>
          </w:p>
        </w:tc>
        <w:tc>
          <w:tcPr>
            <w:tcW w:w="709" w:type="dxa"/>
            <w:vAlign w:val="center"/>
          </w:tcPr>
          <w:p w14:paraId="784E2512">
            <w:pPr>
              <w:jc w:val="center"/>
              <w:rPr>
                <w:sz w:val="18"/>
                <w:szCs w:val="18"/>
              </w:rPr>
            </w:pPr>
            <w:r>
              <w:rPr>
                <w:sz w:val="18"/>
                <w:szCs w:val="18"/>
              </w:rPr>
              <w:t>1</w:t>
            </w:r>
          </w:p>
        </w:tc>
        <w:tc>
          <w:tcPr>
            <w:tcW w:w="1045" w:type="dxa"/>
            <w:vMerge w:val="restart"/>
            <w:vAlign w:val="center"/>
          </w:tcPr>
          <w:p w14:paraId="1F4DDAB7">
            <w:pPr>
              <w:rPr>
                <w:sz w:val="18"/>
                <w:szCs w:val="18"/>
              </w:rPr>
            </w:pPr>
          </w:p>
        </w:tc>
      </w:tr>
      <w:tr w14:paraId="6CDF4B6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97" w:hRule="atLeast"/>
          <w:jc w:val="center"/>
        </w:trPr>
        <w:tc>
          <w:tcPr>
            <w:tcW w:w="571" w:type="dxa"/>
            <w:vMerge w:val="continue"/>
            <w:vAlign w:val="center"/>
          </w:tcPr>
          <w:p w14:paraId="08DB2485">
            <w:pPr>
              <w:jc w:val="center"/>
              <w:rPr>
                <w:b/>
                <w:color w:val="000000" w:themeColor="text1"/>
                <w:sz w:val="18"/>
                <w:szCs w:val="18"/>
                <w14:textFill>
                  <w14:solidFill>
                    <w14:schemeClr w14:val="tx1"/>
                  </w14:solidFill>
                </w14:textFill>
              </w:rPr>
            </w:pPr>
          </w:p>
        </w:tc>
        <w:tc>
          <w:tcPr>
            <w:tcW w:w="1226" w:type="dxa"/>
            <w:vMerge w:val="continue"/>
            <w:vAlign w:val="center"/>
          </w:tcPr>
          <w:p w14:paraId="3100B624">
            <w:pPr>
              <w:rPr>
                <w:color w:val="000000" w:themeColor="text1"/>
                <w:sz w:val="18"/>
                <w:szCs w:val="18"/>
                <w14:textFill>
                  <w14:solidFill>
                    <w14:schemeClr w14:val="tx1"/>
                  </w14:solidFill>
                </w14:textFill>
              </w:rPr>
            </w:pPr>
          </w:p>
        </w:tc>
        <w:tc>
          <w:tcPr>
            <w:tcW w:w="3516" w:type="dxa"/>
            <w:vAlign w:val="center"/>
          </w:tcPr>
          <w:p w14:paraId="7FDB188C">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学术/实践活动</w:t>
            </w:r>
          </w:p>
        </w:tc>
        <w:tc>
          <w:tcPr>
            <w:tcW w:w="1081" w:type="dxa"/>
            <w:vAlign w:val="center"/>
          </w:tcPr>
          <w:p w14:paraId="4102D83F">
            <w:pPr>
              <w:jc w:val="center"/>
              <w:rPr>
                <w:rFonts w:hint="default" w:eastAsia="宋体"/>
                <w:color w:val="000000" w:themeColor="text1"/>
                <w:sz w:val="18"/>
                <w:szCs w:val="18"/>
                <w:lang w:val="en-US" w:eastAsia="zh-CN"/>
                <w14:textFill>
                  <w14:solidFill>
                    <w14:schemeClr w14:val="tx1"/>
                  </w14:solidFill>
                </w14:textFill>
              </w:rPr>
            </w:pPr>
          </w:p>
        </w:tc>
        <w:tc>
          <w:tcPr>
            <w:tcW w:w="709" w:type="dxa"/>
            <w:vAlign w:val="center"/>
          </w:tcPr>
          <w:p w14:paraId="2A152944">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6B057AA5">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3-5</w:t>
            </w:r>
          </w:p>
        </w:tc>
        <w:tc>
          <w:tcPr>
            <w:tcW w:w="1045" w:type="dxa"/>
            <w:vMerge w:val="continue"/>
            <w:vAlign w:val="center"/>
          </w:tcPr>
          <w:p w14:paraId="2564D805">
            <w:pPr>
              <w:jc w:val="center"/>
              <w:rPr>
                <w:color w:val="000000" w:themeColor="text1"/>
                <w:sz w:val="18"/>
                <w:szCs w:val="18"/>
                <w14:textFill>
                  <w14:solidFill>
                    <w14:schemeClr w14:val="tx1"/>
                  </w14:solidFill>
                </w14:textFill>
              </w:rPr>
            </w:pPr>
          </w:p>
        </w:tc>
      </w:tr>
      <w:tr w14:paraId="0A380F4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97" w:hRule="atLeast"/>
          <w:jc w:val="center"/>
        </w:trPr>
        <w:tc>
          <w:tcPr>
            <w:tcW w:w="571" w:type="dxa"/>
            <w:vMerge w:val="continue"/>
            <w:vAlign w:val="center"/>
          </w:tcPr>
          <w:p w14:paraId="04111F04">
            <w:pPr>
              <w:jc w:val="center"/>
              <w:rPr>
                <w:b/>
                <w:color w:val="000000" w:themeColor="text1"/>
                <w:sz w:val="18"/>
                <w:szCs w:val="18"/>
                <w14:textFill>
                  <w14:solidFill>
                    <w14:schemeClr w14:val="tx1"/>
                  </w14:solidFill>
                </w14:textFill>
              </w:rPr>
            </w:pPr>
          </w:p>
        </w:tc>
        <w:tc>
          <w:tcPr>
            <w:tcW w:w="1226" w:type="dxa"/>
            <w:vMerge w:val="continue"/>
            <w:vAlign w:val="center"/>
          </w:tcPr>
          <w:p w14:paraId="59B3DF3D">
            <w:pPr>
              <w:rPr>
                <w:color w:val="000000" w:themeColor="text1"/>
                <w:sz w:val="18"/>
                <w:szCs w:val="18"/>
                <w14:textFill>
                  <w14:solidFill>
                    <w14:schemeClr w14:val="tx1"/>
                  </w14:solidFill>
                </w14:textFill>
              </w:rPr>
            </w:pPr>
          </w:p>
        </w:tc>
        <w:tc>
          <w:tcPr>
            <w:tcW w:w="3516" w:type="dxa"/>
            <w:vAlign w:val="center"/>
          </w:tcPr>
          <w:p w14:paraId="6D67E39D">
            <w:pPr>
              <w:rPr>
                <w:rFonts w:hint="default"/>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竞赛活动</w:t>
            </w:r>
          </w:p>
        </w:tc>
        <w:tc>
          <w:tcPr>
            <w:tcW w:w="1081" w:type="dxa"/>
            <w:vAlign w:val="center"/>
          </w:tcPr>
          <w:p w14:paraId="59B1C7B2">
            <w:pPr>
              <w:jc w:val="center"/>
              <w:rPr>
                <w:color w:val="000000" w:themeColor="text1"/>
                <w:sz w:val="18"/>
                <w:szCs w:val="18"/>
                <w14:textFill>
                  <w14:solidFill>
                    <w14:schemeClr w14:val="tx1"/>
                  </w14:solidFill>
                </w14:textFill>
              </w:rPr>
            </w:pPr>
          </w:p>
        </w:tc>
        <w:tc>
          <w:tcPr>
            <w:tcW w:w="709" w:type="dxa"/>
            <w:vAlign w:val="center"/>
          </w:tcPr>
          <w:p w14:paraId="22193C2A">
            <w:pPr>
              <w:jc w:val="center"/>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1</w:t>
            </w:r>
          </w:p>
        </w:tc>
        <w:tc>
          <w:tcPr>
            <w:tcW w:w="709" w:type="dxa"/>
            <w:vAlign w:val="center"/>
          </w:tcPr>
          <w:p w14:paraId="70B7DDDF">
            <w:pPr>
              <w:jc w:val="center"/>
              <w:rPr>
                <w:rFonts w:hint="eastAsia"/>
                <w:color w:val="000000" w:themeColor="text1"/>
                <w:sz w:val="18"/>
                <w:szCs w:val="18"/>
                <w14:textFill>
                  <w14:solidFill>
                    <w14:schemeClr w14:val="tx1"/>
                  </w14:solidFill>
                </w14:textFill>
              </w:rPr>
            </w:pPr>
          </w:p>
        </w:tc>
        <w:tc>
          <w:tcPr>
            <w:tcW w:w="1045" w:type="dxa"/>
            <w:vMerge w:val="continue"/>
            <w:vAlign w:val="center"/>
          </w:tcPr>
          <w:p w14:paraId="2C4AF37A">
            <w:pPr>
              <w:jc w:val="center"/>
              <w:rPr>
                <w:color w:val="000000" w:themeColor="text1"/>
                <w:sz w:val="18"/>
                <w:szCs w:val="18"/>
                <w14:textFill>
                  <w14:solidFill>
                    <w14:schemeClr w14:val="tx1"/>
                  </w14:solidFill>
                </w14:textFill>
              </w:rPr>
            </w:pPr>
          </w:p>
        </w:tc>
      </w:tr>
      <w:tr w14:paraId="5741FED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2DA1476">
            <w:pPr>
              <w:rPr>
                <w:b/>
                <w:color w:val="000000" w:themeColor="text1"/>
                <w:sz w:val="18"/>
                <w:szCs w:val="18"/>
                <w14:textFill>
                  <w14:solidFill>
                    <w14:schemeClr w14:val="tx1"/>
                  </w14:solidFill>
                </w14:textFill>
              </w:rPr>
            </w:pPr>
          </w:p>
        </w:tc>
        <w:tc>
          <w:tcPr>
            <w:tcW w:w="1226" w:type="dxa"/>
            <w:vMerge w:val="restart"/>
            <w:vAlign w:val="center"/>
          </w:tcPr>
          <w:p w14:paraId="6B5AF5EF">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学术训练</w:t>
            </w:r>
          </w:p>
        </w:tc>
        <w:tc>
          <w:tcPr>
            <w:tcW w:w="3516" w:type="dxa"/>
            <w:vAlign w:val="center"/>
          </w:tcPr>
          <w:p w14:paraId="5E566E96">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中期筛选</w:t>
            </w:r>
          </w:p>
        </w:tc>
        <w:tc>
          <w:tcPr>
            <w:tcW w:w="1081" w:type="dxa"/>
            <w:vAlign w:val="center"/>
          </w:tcPr>
          <w:p w14:paraId="07022D0C">
            <w:pPr>
              <w:jc w:val="center"/>
              <w:rPr>
                <w:color w:val="000000" w:themeColor="text1"/>
                <w:sz w:val="18"/>
                <w:szCs w:val="18"/>
                <w14:textFill>
                  <w14:solidFill>
                    <w14:schemeClr w14:val="tx1"/>
                  </w14:solidFill>
                </w14:textFill>
              </w:rPr>
            </w:pPr>
          </w:p>
        </w:tc>
        <w:tc>
          <w:tcPr>
            <w:tcW w:w="709" w:type="dxa"/>
            <w:vAlign w:val="center"/>
          </w:tcPr>
          <w:p w14:paraId="1C107FFC">
            <w:pPr>
              <w:jc w:val="center"/>
              <w:rPr>
                <w:color w:val="000000" w:themeColor="text1"/>
                <w:sz w:val="18"/>
                <w:szCs w:val="18"/>
                <w14:textFill>
                  <w14:solidFill>
                    <w14:schemeClr w14:val="tx1"/>
                  </w14:solidFill>
                </w14:textFill>
              </w:rPr>
            </w:pPr>
          </w:p>
        </w:tc>
        <w:tc>
          <w:tcPr>
            <w:tcW w:w="709" w:type="dxa"/>
            <w:vAlign w:val="center"/>
          </w:tcPr>
          <w:p w14:paraId="531AE352">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2-3</w:t>
            </w:r>
          </w:p>
        </w:tc>
        <w:tc>
          <w:tcPr>
            <w:tcW w:w="1045" w:type="dxa"/>
            <w:vMerge w:val="restart"/>
            <w:vAlign w:val="center"/>
          </w:tcPr>
          <w:p w14:paraId="7B688479">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过程管理</w:t>
            </w:r>
          </w:p>
          <w:p w14:paraId="34072064">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无学分</w:t>
            </w:r>
          </w:p>
        </w:tc>
      </w:tr>
      <w:tr w14:paraId="073FA96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8A0D59B">
            <w:pPr>
              <w:rPr>
                <w:b/>
                <w:color w:val="000000" w:themeColor="text1"/>
                <w:sz w:val="18"/>
                <w:szCs w:val="18"/>
                <w14:textFill>
                  <w14:solidFill>
                    <w14:schemeClr w14:val="tx1"/>
                  </w14:solidFill>
                </w14:textFill>
              </w:rPr>
            </w:pPr>
          </w:p>
        </w:tc>
        <w:tc>
          <w:tcPr>
            <w:tcW w:w="1226" w:type="dxa"/>
            <w:vMerge w:val="continue"/>
            <w:vAlign w:val="center"/>
          </w:tcPr>
          <w:p w14:paraId="4BF2030B">
            <w:pPr>
              <w:jc w:val="center"/>
              <w:rPr>
                <w:b/>
                <w:color w:val="000000" w:themeColor="text1"/>
                <w:sz w:val="18"/>
                <w:szCs w:val="18"/>
                <w14:textFill>
                  <w14:solidFill>
                    <w14:schemeClr w14:val="tx1"/>
                  </w14:solidFill>
                </w14:textFill>
              </w:rPr>
            </w:pPr>
          </w:p>
        </w:tc>
        <w:tc>
          <w:tcPr>
            <w:tcW w:w="3516" w:type="dxa"/>
            <w:vAlign w:val="center"/>
          </w:tcPr>
          <w:p w14:paraId="12197C1C">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论文开题</w:t>
            </w:r>
          </w:p>
        </w:tc>
        <w:tc>
          <w:tcPr>
            <w:tcW w:w="1081" w:type="dxa"/>
            <w:vAlign w:val="center"/>
          </w:tcPr>
          <w:p w14:paraId="42E101C3">
            <w:pPr>
              <w:jc w:val="center"/>
              <w:rPr>
                <w:color w:val="000000" w:themeColor="text1"/>
                <w:sz w:val="18"/>
                <w:szCs w:val="18"/>
                <w14:textFill>
                  <w14:solidFill>
                    <w14:schemeClr w14:val="tx1"/>
                  </w14:solidFill>
                </w14:textFill>
              </w:rPr>
            </w:pPr>
          </w:p>
        </w:tc>
        <w:tc>
          <w:tcPr>
            <w:tcW w:w="709" w:type="dxa"/>
            <w:vAlign w:val="center"/>
          </w:tcPr>
          <w:p w14:paraId="37F896D6">
            <w:pPr>
              <w:jc w:val="center"/>
              <w:rPr>
                <w:color w:val="000000" w:themeColor="text1"/>
                <w:sz w:val="18"/>
                <w:szCs w:val="18"/>
                <w14:textFill>
                  <w14:solidFill>
                    <w14:schemeClr w14:val="tx1"/>
                  </w14:solidFill>
                </w14:textFill>
              </w:rPr>
            </w:pPr>
          </w:p>
        </w:tc>
        <w:tc>
          <w:tcPr>
            <w:tcW w:w="709" w:type="dxa"/>
            <w:vAlign w:val="center"/>
          </w:tcPr>
          <w:p w14:paraId="2A02151E">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w:t>
            </w:r>
          </w:p>
        </w:tc>
        <w:tc>
          <w:tcPr>
            <w:tcW w:w="1045" w:type="dxa"/>
            <w:vMerge w:val="continue"/>
            <w:vAlign w:val="center"/>
          </w:tcPr>
          <w:p w14:paraId="410CB135">
            <w:pPr>
              <w:jc w:val="center"/>
              <w:rPr>
                <w:color w:val="000000" w:themeColor="text1"/>
                <w:sz w:val="18"/>
                <w:szCs w:val="18"/>
                <w14:textFill>
                  <w14:solidFill>
                    <w14:schemeClr w14:val="tx1"/>
                  </w14:solidFill>
                </w14:textFill>
              </w:rPr>
            </w:pPr>
          </w:p>
        </w:tc>
      </w:tr>
      <w:tr w14:paraId="5E08E49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A93C7DA">
            <w:pPr>
              <w:rPr>
                <w:b/>
                <w:color w:val="000000" w:themeColor="text1"/>
                <w:sz w:val="18"/>
                <w:szCs w:val="18"/>
                <w14:textFill>
                  <w14:solidFill>
                    <w14:schemeClr w14:val="tx1"/>
                  </w14:solidFill>
                </w14:textFill>
              </w:rPr>
            </w:pPr>
          </w:p>
        </w:tc>
        <w:tc>
          <w:tcPr>
            <w:tcW w:w="1226" w:type="dxa"/>
            <w:vMerge w:val="continue"/>
            <w:vAlign w:val="center"/>
          </w:tcPr>
          <w:p w14:paraId="2B53EAB0">
            <w:pPr>
              <w:jc w:val="center"/>
              <w:rPr>
                <w:b/>
                <w:color w:val="000000" w:themeColor="text1"/>
                <w:sz w:val="18"/>
                <w:szCs w:val="18"/>
                <w14:textFill>
                  <w14:solidFill>
                    <w14:schemeClr w14:val="tx1"/>
                  </w14:solidFill>
                </w14:textFill>
              </w:rPr>
            </w:pPr>
          </w:p>
        </w:tc>
        <w:tc>
          <w:tcPr>
            <w:tcW w:w="3516" w:type="dxa"/>
            <w:vAlign w:val="center"/>
          </w:tcPr>
          <w:p w14:paraId="7A69DD3C">
            <w:pPr>
              <w:rPr>
                <w:sz w:val="18"/>
                <w:szCs w:val="18"/>
              </w:rPr>
            </w:pPr>
            <w:r>
              <w:rPr>
                <w:sz w:val="18"/>
                <w:szCs w:val="18"/>
              </w:rPr>
              <w:t>论文中期进展报告</w:t>
            </w:r>
          </w:p>
        </w:tc>
        <w:tc>
          <w:tcPr>
            <w:tcW w:w="1081" w:type="dxa"/>
            <w:vAlign w:val="center"/>
          </w:tcPr>
          <w:p w14:paraId="2F655B41">
            <w:pPr>
              <w:jc w:val="center"/>
              <w:rPr>
                <w:color w:val="000000" w:themeColor="text1"/>
                <w:sz w:val="18"/>
                <w:szCs w:val="18"/>
                <w14:textFill>
                  <w14:solidFill>
                    <w14:schemeClr w14:val="tx1"/>
                  </w14:solidFill>
                </w14:textFill>
              </w:rPr>
            </w:pPr>
          </w:p>
        </w:tc>
        <w:tc>
          <w:tcPr>
            <w:tcW w:w="709" w:type="dxa"/>
            <w:vAlign w:val="center"/>
          </w:tcPr>
          <w:p w14:paraId="0E8359AD">
            <w:pPr>
              <w:jc w:val="center"/>
              <w:rPr>
                <w:color w:val="000000" w:themeColor="text1"/>
                <w:sz w:val="18"/>
                <w:szCs w:val="18"/>
                <w14:textFill>
                  <w14:solidFill>
                    <w14:schemeClr w14:val="tx1"/>
                  </w14:solidFill>
                </w14:textFill>
              </w:rPr>
            </w:pPr>
          </w:p>
        </w:tc>
        <w:tc>
          <w:tcPr>
            <w:tcW w:w="709" w:type="dxa"/>
            <w:vAlign w:val="center"/>
          </w:tcPr>
          <w:p w14:paraId="7167A835">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5</w:t>
            </w:r>
          </w:p>
        </w:tc>
        <w:tc>
          <w:tcPr>
            <w:tcW w:w="1045" w:type="dxa"/>
            <w:vMerge w:val="continue"/>
          </w:tcPr>
          <w:p w14:paraId="4BC41111">
            <w:pPr>
              <w:jc w:val="center"/>
              <w:rPr>
                <w:color w:val="000000" w:themeColor="text1"/>
                <w:sz w:val="18"/>
                <w:szCs w:val="18"/>
                <w14:textFill>
                  <w14:solidFill>
                    <w14:schemeClr w14:val="tx1"/>
                  </w14:solidFill>
                </w14:textFill>
              </w:rPr>
            </w:pPr>
          </w:p>
        </w:tc>
      </w:tr>
      <w:tr w14:paraId="4920CC9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66F608B">
            <w:pPr>
              <w:rPr>
                <w:b/>
                <w:color w:val="000000" w:themeColor="text1"/>
                <w:sz w:val="18"/>
                <w:szCs w:val="18"/>
                <w14:textFill>
                  <w14:solidFill>
                    <w14:schemeClr w14:val="tx1"/>
                  </w14:solidFill>
                </w14:textFill>
              </w:rPr>
            </w:pPr>
          </w:p>
        </w:tc>
        <w:tc>
          <w:tcPr>
            <w:tcW w:w="1226" w:type="dxa"/>
            <w:vMerge w:val="continue"/>
            <w:vAlign w:val="center"/>
          </w:tcPr>
          <w:p w14:paraId="00E2035C">
            <w:pPr>
              <w:jc w:val="center"/>
              <w:rPr>
                <w:b/>
                <w:color w:val="000000" w:themeColor="text1"/>
                <w:sz w:val="18"/>
                <w:szCs w:val="18"/>
                <w14:textFill>
                  <w14:solidFill>
                    <w14:schemeClr w14:val="tx1"/>
                  </w14:solidFill>
                </w14:textFill>
              </w:rPr>
            </w:pPr>
          </w:p>
        </w:tc>
        <w:tc>
          <w:tcPr>
            <w:tcW w:w="3516" w:type="dxa"/>
            <w:vAlign w:val="center"/>
          </w:tcPr>
          <w:p w14:paraId="49175AAA">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论文预答辩</w:t>
            </w:r>
          </w:p>
        </w:tc>
        <w:tc>
          <w:tcPr>
            <w:tcW w:w="1081" w:type="dxa"/>
            <w:vAlign w:val="center"/>
          </w:tcPr>
          <w:p w14:paraId="03C9D7AE">
            <w:pPr>
              <w:jc w:val="center"/>
              <w:rPr>
                <w:color w:val="000000" w:themeColor="text1"/>
                <w:sz w:val="18"/>
                <w:szCs w:val="18"/>
                <w14:textFill>
                  <w14:solidFill>
                    <w14:schemeClr w14:val="tx1"/>
                  </w14:solidFill>
                </w14:textFill>
              </w:rPr>
            </w:pPr>
          </w:p>
        </w:tc>
        <w:tc>
          <w:tcPr>
            <w:tcW w:w="709" w:type="dxa"/>
            <w:vAlign w:val="center"/>
          </w:tcPr>
          <w:p w14:paraId="2E911C16">
            <w:pPr>
              <w:jc w:val="center"/>
              <w:rPr>
                <w:color w:val="000000" w:themeColor="text1"/>
                <w:sz w:val="18"/>
                <w:szCs w:val="18"/>
                <w14:textFill>
                  <w14:solidFill>
                    <w14:schemeClr w14:val="tx1"/>
                  </w14:solidFill>
                </w14:textFill>
              </w:rPr>
            </w:pPr>
          </w:p>
        </w:tc>
        <w:tc>
          <w:tcPr>
            <w:tcW w:w="709" w:type="dxa"/>
            <w:vAlign w:val="center"/>
          </w:tcPr>
          <w:p w14:paraId="66F2BD07">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5</w:t>
            </w:r>
          </w:p>
        </w:tc>
        <w:tc>
          <w:tcPr>
            <w:tcW w:w="1045" w:type="dxa"/>
            <w:vMerge w:val="continue"/>
          </w:tcPr>
          <w:p w14:paraId="73EF8940">
            <w:pPr>
              <w:jc w:val="center"/>
              <w:rPr>
                <w:color w:val="000000" w:themeColor="text1"/>
                <w:sz w:val="18"/>
                <w:szCs w:val="18"/>
                <w14:textFill>
                  <w14:solidFill>
                    <w14:schemeClr w14:val="tx1"/>
                  </w14:solidFill>
                </w14:textFill>
              </w:rPr>
            </w:pPr>
          </w:p>
        </w:tc>
      </w:tr>
      <w:tr w14:paraId="49769DD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CA2DF76">
            <w:pPr>
              <w:rPr>
                <w:color w:val="000000" w:themeColor="text1"/>
                <w:sz w:val="18"/>
                <w:szCs w:val="18"/>
                <w14:textFill>
                  <w14:solidFill>
                    <w14:schemeClr w14:val="tx1"/>
                  </w14:solidFill>
                </w14:textFill>
              </w:rPr>
            </w:pPr>
          </w:p>
        </w:tc>
        <w:tc>
          <w:tcPr>
            <w:tcW w:w="1226" w:type="dxa"/>
            <w:vMerge w:val="continue"/>
          </w:tcPr>
          <w:p w14:paraId="67982478">
            <w:pPr>
              <w:jc w:val="center"/>
              <w:rPr>
                <w:color w:val="000000" w:themeColor="text1"/>
                <w:sz w:val="18"/>
                <w:szCs w:val="18"/>
                <w14:textFill>
                  <w14:solidFill>
                    <w14:schemeClr w14:val="tx1"/>
                  </w14:solidFill>
                </w14:textFill>
              </w:rPr>
            </w:pPr>
          </w:p>
        </w:tc>
        <w:tc>
          <w:tcPr>
            <w:tcW w:w="3516" w:type="dxa"/>
            <w:vAlign w:val="center"/>
          </w:tcPr>
          <w:p w14:paraId="42162D61">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论文评审</w:t>
            </w:r>
          </w:p>
        </w:tc>
        <w:tc>
          <w:tcPr>
            <w:tcW w:w="1081" w:type="dxa"/>
            <w:vAlign w:val="center"/>
          </w:tcPr>
          <w:p w14:paraId="6F8AA939">
            <w:pPr>
              <w:jc w:val="center"/>
              <w:rPr>
                <w:color w:val="000000" w:themeColor="text1"/>
                <w:sz w:val="18"/>
                <w:szCs w:val="18"/>
                <w14:textFill>
                  <w14:solidFill>
                    <w14:schemeClr w14:val="tx1"/>
                  </w14:solidFill>
                </w14:textFill>
              </w:rPr>
            </w:pPr>
          </w:p>
        </w:tc>
        <w:tc>
          <w:tcPr>
            <w:tcW w:w="709" w:type="dxa"/>
            <w:vAlign w:val="center"/>
          </w:tcPr>
          <w:p w14:paraId="20ECD5AD">
            <w:pPr>
              <w:jc w:val="center"/>
              <w:rPr>
                <w:color w:val="000000" w:themeColor="text1"/>
                <w:sz w:val="18"/>
                <w:szCs w:val="18"/>
                <w14:textFill>
                  <w14:solidFill>
                    <w14:schemeClr w14:val="tx1"/>
                  </w14:solidFill>
                </w14:textFill>
              </w:rPr>
            </w:pPr>
          </w:p>
        </w:tc>
        <w:tc>
          <w:tcPr>
            <w:tcW w:w="709" w:type="dxa"/>
            <w:vAlign w:val="center"/>
          </w:tcPr>
          <w:p w14:paraId="6C570830">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6</w:t>
            </w:r>
          </w:p>
        </w:tc>
        <w:tc>
          <w:tcPr>
            <w:tcW w:w="1045" w:type="dxa"/>
            <w:vMerge w:val="continue"/>
          </w:tcPr>
          <w:p w14:paraId="0631F8FF">
            <w:pPr>
              <w:jc w:val="center"/>
              <w:rPr>
                <w:color w:val="000000" w:themeColor="text1"/>
                <w:sz w:val="18"/>
                <w:szCs w:val="18"/>
                <w14:textFill>
                  <w14:solidFill>
                    <w14:schemeClr w14:val="tx1"/>
                  </w14:solidFill>
                </w14:textFill>
              </w:rPr>
            </w:pPr>
          </w:p>
        </w:tc>
      </w:tr>
      <w:tr w14:paraId="2E35510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5A515BD">
            <w:pPr>
              <w:rPr>
                <w:color w:val="000000" w:themeColor="text1"/>
                <w:sz w:val="18"/>
                <w:szCs w:val="18"/>
                <w14:textFill>
                  <w14:solidFill>
                    <w14:schemeClr w14:val="tx1"/>
                  </w14:solidFill>
                </w14:textFill>
              </w:rPr>
            </w:pPr>
          </w:p>
        </w:tc>
        <w:tc>
          <w:tcPr>
            <w:tcW w:w="1226" w:type="dxa"/>
            <w:vMerge w:val="continue"/>
          </w:tcPr>
          <w:p w14:paraId="29CC3EE7">
            <w:pPr>
              <w:jc w:val="center"/>
              <w:rPr>
                <w:color w:val="000000" w:themeColor="text1"/>
                <w:sz w:val="18"/>
                <w:szCs w:val="18"/>
                <w14:textFill>
                  <w14:solidFill>
                    <w14:schemeClr w14:val="tx1"/>
                  </w14:solidFill>
                </w14:textFill>
              </w:rPr>
            </w:pPr>
          </w:p>
        </w:tc>
        <w:tc>
          <w:tcPr>
            <w:tcW w:w="3516" w:type="dxa"/>
            <w:vAlign w:val="center"/>
          </w:tcPr>
          <w:p w14:paraId="191560F1">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论文答辩</w:t>
            </w:r>
          </w:p>
        </w:tc>
        <w:tc>
          <w:tcPr>
            <w:tcW w:w="1081" w:type="dxa"/>
            <w:vAlign w:val="center"/>
          </w:tcPr>
          <w:p w14:paraId="222D6701">
            <w:pPr>
              <w:jc w:val="center"/>
              <w:rPr>
                <w:color w:val="000000" w:themeColor="text1"/>
                <w:sz w:val="18"/>
                <w:szCs w:val="18"/>
                <w14:textFill>
                  <w14:solidFill>
                    <w14:schemeClr w14:val="tx1"/>
                  </w14:solidFill>
                </w14:textFill>
              </w:rPr>
            </w:pPr>
          </w:p>
        </w:tc>
        <w:tc>
          <w:tcPr>
            <w:tcW w:w="709" w:type="dxa"/>
            <w:vAlign w:val="center"/>
          </w:tcPr>
          <w:p w14:paraId="6290A359">
            <w:pPr>
              <w:jc w:val="center"/>
              <w:rPr>
                <w:color w:val="000000" w:themeColor="text1"/>
                <w:sz w:val="18"/>
                <w:szCs w:val="18"/>
                <w14:textFill>
                  <w14:solidFill>
                    <w14:schemeClr w14:val="tx1"/>
                  </w14:solidFill>
                </w14:textFill>
              </w:rPr>
            </w:pPr>
          </w:p>
        </w:tc>
        <w:tc>
          <w:tcPr>
            <w:tcW w:w="709" w:type="dxa"/>
            <w:vAlign w:val="center"/>
          </w:tcPr>
          <w:p w14:paraId="1A09F5BD">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6</w:t>
            </w:r>
          </w:p>
        </w:tc>
        <w:tc>
          <w:tcPr>
            <w:tcW w:w="1045" w:type="dxa"/>
            <w:vMerge w:val="continue"/>
          </w:tcPr>
          <w:p w14:paraId="4CB8E9F0">
            <w:pPr>
              <w:jc w:val="center"/>
              <w:rPr>
                <w:color w:val="000000" w:themeColor="text1"/>
                <w:sz w:val="18"/>
                <w:szCs w:val="18"/>
                <w14:textFill>
                  <w14:solidFill>
                    <w14:schemeClr w14:val="tx1"/>
                  </w14:solidFill>
                </w14:textFill>
              </w:rPr>
            </w:pPr>
          </w:p>
        </w:tc>
      </w:tr>
    </w:tbl>
    <w:p w14:paraId="1936739B">
      <w:pPr>
        <w:spacing w:line="440" w:lineRule="exact"/>
        <w:ind w:firstLine="480" w:firstLineChars="200"/>
        <w:rPr>
          <w:rFonts w:eastAsiaTheme="minorEastAsia"/>
          <w:bCs/>
          <w:sz w:val="24"/>
        </w:rPr>
      </w:pPr>
      <w:r>
        <w:rPr>
          <w:rFonts w:eastAsiaTheme="minorEastAsia"/>
          <w:bCs/>
          <w:sz w:val="24"/>
        </w:rPr>
        <w:t>*公共外语课程按入学时的外国语考试科目修读相关语种。</w:t>
      </w:r>
    </w:p>
    <w:p w14:paraId="1C5F011E">
      <w:pPr>
        <w:spacing w:line="440" w:lineRule="exact"/>
        <w:ind w:firstLine="560" w:firstLineChars="200"/>
        <w:rPr>
          <w:rFonts w:eastAsia="黑体"/>
          <w:bCs/>
          <w:sz w:val="28"/>
          <w:szCs w:val="28"/>
        </w:rPr>
      </w:pPr>
      <w:r>
        <w:rPr>
          <w:rFonts w:eastAsia="黑体"/>
          <w:bCs/>
          <w:sz w:val="28"/>
          <w:szCs w:val="28"/>
        </w:rPr>
        <w:t>十</w:t>
      </w:r>
      <w:r>
        <w:rPr>
          <w:rFonts w:hint="eastAsia" w:eastAsia="黑体"/>
          <w:bCs/>
          <w:sz w:val="28"/>
          <w:szCs w:val="28"/>
        </w:rPr>
        <w:t>三</w:t>
      </w:r>
      <w:r>
        <w:rPr>
          <w:rFonts w:eastAsia="黑体"/>
          <w:bCs/>
          <w:sz w:val="28"/>
          <w:szCs w:val="28"/>
        </w:rPr>
        <w:t>、其他需要说明事项</w:t>
      </w:r>
    </w:p>
    <w:p w14:paraId="0D40BBAF">
      <w:pPr>
        <w:spacing w:line="440" w:lineRule="exact"/>
        <w:ind w:firstLine="480" w:firstLineChars="200"/>
        <w:rPr>
          <w:rFonts w:eastAsiaTheme="minorEastAsia"/>
          <w:bCs/>
          <w:sz w:val="24"/>
        </w:rPr>
      </w:pPr>
      <w:r>
        <w:rPr>
          <w:rFonts w:eastAsiaTheme="minorEastAsia"/>
          <w:bCs/>
          <w:sz w:val="24"/>
        </w:rPr>
        <w:t>1.非学位课中的方向选修课模块由各培养单位自行设置，并给出具体选修学分要求。</w:t>
      </w:r>
    </w:p>
    <w:bookmarkEnd w:id="0"/>
    <w:bookmarkEnd w:id="1"/>
    <w:p w14:paraId="02E7B163">
      <w:pPr>
        <w:spacing w:line="440" w:lineRule="exact"/>
        <w:ind w:firstLine="480" w:firstLineChars="200"/>
        <w:rPr>
          <w:rFonts w:eastAsiaTheme="minorEastAsia"/>
          <w:bCs/>
          <w:sz w:val="24"/>
        </w:rPr>
      </w:pPr>
      <w:r>
        <w:rPr>
          <w:rFonts w:eastAsiaTheme="minorEastAsia"/>
          <w:bCs/>
          <w:sz w:val="24"/>
        </w:rPr>
        <w:t>2.毕业总学分：</w:t>
      </w:r>
      <w:r>
        <w:rPr>
          <w:rFonts w:hint="eastAsia" w:eastAsiaTheme="minorEastAsia"/>
          <w:bCs/>
          <w:sz w:val="24"/>
        </w:rPr>
        <w:t>学位课</w:t>
      </w:r>
      <w:r>
        <w:rPr>
          <w:rFonts w:eastAsiaTheme="minorEastAsia"/>
          <w:bCs/>
          <w:sz w:val="24"/>
        </w:rPr>
        <w:t>+</w:t>
      </w:r>
      <w:r>
        <w:rPr>
          <w:rFonts w:hint="eastAsia" w:eastAsiaTheme="minorEastAsia"/>
          <w:bCs/>
          <w:sz w:val="24"/>
        </w:rPr>
        <w:t>非学位课</w:t>
      </w:r>
      <w:r>
        <w:rPr>
          <w:rFonts w:eastAsiaTheme="minorEastAsia"/>
          <w:bCs/>
          <w:sz w:val="24"/>
        </w:rPr>
        <w:t>+必修环节。</w:t>
      </w:r>
    </w:p>
    <w:p w14:paraId="0F4C46D4"/>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73768C">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10AF671">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10AF671">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248D"/>
    <w:rsid w:val="005831B7"/>
    <w:rsid w:val="007E248D"/>
    <w:rsid w:val="00C33969"/>
    <w:rsid w:val="00E728FD"/>
    <w:rsid w:val="0CD47374"/>
    <w:rsid w:val="0E4A266A"/>
    <w:rsid w:val="109220A6"/>
    <w:rsid w:val="122F6C50"/>
    <w:rsid w:val="13F60B9E"/>
    <w:rsid w:val="1EFF2FFD"/>
    <w:rsid w:val="1FCF6E73"/>
    <w:rsid w:val="27A44EAE"/>
    <w:rsid w:val="292C2C40"/>
    <w:rsid w:val="2A7B7321"/>
    <w:rsid w:val="2E8452CD"/>
    <w:rsid w:val="2E9E23F9"/>
    <w:rsid w:val="2F36237D"/>
    <w:rsid w:val="36774A8F"/>
    <w:rsid w:val="37543B69"/>
    <w:rsid w:val="37C14E9C"/>
    <w:rsid w:val="3CBC01F2"/>
    <w:rsid w:val="3F626F64"/>
    <w:rsid w:val="46B5206F"/>
    <w:rsid w:val="46E841F3"/>
    <w:rsid w:val="47930FDE"/>
    <w:rsid w:val="4C672A37"/>
    <w:rsid w:val="4EED5FEF"/>
    <w:rsid w:val="532E7431"/>
    <w:rsid w:val="55F2340E"/>
    <w:rsid w:val="5B156152"/>
    <w:rsid w:val="5BB20B86"/>
    <w:rsid w:val="61C86CA3"/>
    <w:rsid w:val="69642315"/>
    <w:rsid w:val="6B2B4A32"/>
    <w:rsid w:val="6EE90259"/>
    <w:rsid w:val="6F414601"/>
    <w:rsid w:val="7A601A0F"/>
    <w:rsid w:val="7C7623EB"/>
    <w:rsid w:val="7D104A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0"/>
    <w:semiHidden/>
    <w:unhideWhenUsed/>
    <w:qFormat/>
    <w:uiPriority w:val="99"/>
    <w:pPr>
      <w:jc w:val="left"/>
    </w:pPr>
  </w:style>
  <w:style w:type="paragraph" w:styleId="3">
    <w:name w:val="Balloon Text"/>
    <w:basedOn w:val="1"/>
    <w:link w:val="12"/>
    <w:qFormat/>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annotation subject"/>
    <w:basedOn w:val="2"/>
    <w:next w:val="2"/>
    <w:link w:val="11"/>
    <w:qFormat/>
    <w:uiPriority w:val="0"/>
    <w:rPr>
      <w:b/>
      <w:bCs/>
    </w:rPr>
  </w:style>
  <w:style w:type="character" w:styleId="9">
    <w:name w:val="annotation reference"/>
    <w:basedOn w:val="8"/>
    <w:qFormat/>
    <w:uiPriority w:val="0"/>
    <w:rPr>
      <w:sz w:val="21"/>
      <w:szCs w:val="21"/>
    </w:rPr>
  </w:style>
  <w:style w:type="character" w:customStyle="1" w:styleId="10">
    <w:name w:val="批注文字 Char"/>
    <w:basedOn w:val="8"/>
    <w:link w:val="2"/>
    <w:semiHidden/>
    <w:qFormat/>
    <w:uiPriority w:val="99"/>
    <w:rPr>
      <w:rFonts w:ascii="Times New Roman" w:hAnsi="Times New Roman" w:eastAsia="宋体" w:cs="Times New Roman"/>
      <w:kern w:val="2"/>
      <w:sz w:val="21"/>
      <w:szCs w:val="24"/>
    </w:rPr>
  </w:style>
  <w:style w:type="character" w:customStyle="1" w:styleId="11">
    <w:name w:val="批注主题 Char"/>
    <w:basedOn w:val="10"/>
    <w:link w:val="6"/>
    <w:qFormat/>
    <w:uiPriority w:val="0"/>
    <w:rPr>
      <w:rFonts w:ascii="Times New Roman" w:hAnsi="Times New Roman" w:eastAsia="宋体" w:cs="Times New Roman"/>
      <w:b/>
      <w:bCs/>
      <w:kern w:val="2"/>
      <w:sz w:val="21"/>
      <w:szCs w:val="24"/>
    </w:rPr>
  </w:style>
  <w:style w:type="character" w:customStyle="1" w:styleId="12">
    <w:name w:val="批注框文本 Char"/>
    <w:basedOn w:val="8"/>
    <w:link w:val="3"/>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3730</Words>
  <Characters>4001</Characters>
  <Lines>28</Lines>
  <Paragraphs>8</Paragraphs>
  <TotalTime>2</TotalTime>
  <ScaleCrop>false</ScaleCrop>
  <LinksUpToDate>false</LinksUpToDate>
  <CharactersWithSpaces>4001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2025-04-16T02:57:00Z</dcterms:created>
  <dc:creator>PC</dc:creator>
  <cp:lastModifiedBy>A宋宋</cp:lastModifiedBy>
  <dcterms:modified xsi:type="dcterms:W3CDTF">2025-06-11T08:16:30Z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eyJoZGlkIjoiNTRlMmI4MzVlYjZjZDdhYmNmOTUwMTcwODNhY2JlYzciLCJ1c2VySWQiOiIxMDI1OTcxODgyIn0=</vt:lpwstr>
  </property>
  <property fmtid="{D5CDD505-2E9C-101B-9397-08002B2CF9AE}" pid="4" name="ICV">
    <vt:lpwstr>AE8BC1B6029D4C1C87B3EC6EF8BBC971_13</vt:lpwstr>
  </property>
</Properties>
</file>