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288EA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  <w:u w:val="single"/>
        </w:rPr>
        <w:t>美</w:t>
      </w:r>
      <w:r>
        <w:rPr>
          <w:rFonts w:eastAsia="黑体"/>
          <w:b/>
          <w:bCs/>
          <w:sz w:val="36"/>
          <w:szCs w:val="36"/>
          <w:u w:val="single"/>
        </w:rPr>
        <w:t>学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</w:p>
    <w:p w14:paraId="16CB6E20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（哲学与社会学学院)</w:t>
      </w:r>
    </w:p>
    <w:p w14:paraId="113CA7A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5EF8D037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美学</w:t>
      </w:r>
    </w:p>
    <w:p w14:paraId="0A58B54F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专业代码：0101</w:t>
      </w:r>
      <w:r>
        <w:rPr>
          <w:rFonts w:hint="eastAsia"/>
          <w:color w:val="222222"/>
          <w:kern w:val="0"/>
          <w:sz w:val="24"/>
        </w:rPr>
        <w:t>06</w:t>
      </w:r>
    </w:p>
    <w:p w14:paraId="08305DB0">
      <w:pPr>
        <w:spacing w:line="360" w:lineRule="auto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4046A1E0">
      <w:pPr>
        <w:spacing w:line="360" w:lineRule="auto"/>
        <w:ind w:firstLine="480" w:firstLineChars="200"/>
      </w:pPr>
      <w:r>
        <w:rPr>
          <w:rFonts w:hint="eastAsia" w:ascii="宋体" w:hAnsi="宋体" w:cs="宋体"/>
          <w:sz w:val="24"/>
        </w:rPr>
        <w:t>河北大学美学专业依托河北大学“国家一流”哲学本科专业和河北大学哲学一级学科博士点，是河北省高等学校唯一的美学专业。美学专业</w:t>
      </w:r>
      <w:r>
        <w:rPr>
          <w:rFonts w:hint="eastAsia" w:ascii="宋体" w:hAnsi="宋体" w:cs="宋体"/>
          <w:kern w:val="0"/>
          <w:sz w:val="24"/>
          <w:shd w:val="clear" w:color="auto" w:fill="FFFFFF"/>
          <w:lang w:bidi="ar"/>
        </w:rPr>
        <w:t>旨在培养具有深厚学术素养、广阔理论视野和批判性思维能力的美学人才。既注重文本的历史解读，又强调现代分析的理论论证。在课程设置上，美学专业设有美学理论与当代美学思潮、中国美学史、西方美学史、艺术哲学等课程。学生需要掌握美学的基本理论和方法，了解中外美学的历史，探讨当代美学的前沿问题。此外，美学专业还开设了选修课程，比如：中西美学原著导读、先秦儒家诗学、魏晋美学与艺术等帮助学生拓宽学术视野。</w:t>
      </w:r>
      <w:r>
        <w:rPr>
          <w:rFonts w:hint="eastAsia" w:ascii="宋体" w:hAnsi="宋体" w:cs="宋体"/>
          <w:sz w:val="24"/>
        </w:rPr>
        <w:t>美学专业拥有实力比较雄厚的师资队伍、</w:t>
      </w:r>
      <w:r>
        <w:rPr>
          <w:rFonts w:hint="eastAsia" w:ascii="宋体" w:hAnsi="宋体" w:cs="宋体"/>
          <w:kern w:val="0"/>
          <w:sz w:val="24"/>
          <w:shd w:val="clear" w:color="auto" w:fill="FFFFFF"/>
          <w:lang w:bidi="ar"/>
        </w:rPr>
        <w:t>丰富的学术资源和良好的学术氛围，是进行美学研究的良好学术平台。</w:t>
      </w:r>
    </w:p>
    <w:p w14:paraId="48C2F733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34286A32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美学专业下设四个研究方向。</w:t>
      </w:r>
    </w:p>
    <w:p w14:paraId="0D7ED908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eastAsiaTheme="minorEastAsia"/>
          <w:sz w:val="24"/>
        </w:rPr>
        <w:t>第一，</w:t>
      </w:r>
      <w:r>
        <w:rPr>
          <w:rFonts w:hint="eastAsia" w:ascii="宋体" w:hAnsi="宋体" w:cs="宋体"/>
          <w:sz w:val="24"/>
        </w:rPr>
        <w:t>美学理论与当代美学思潮。</w:t>
      </w:r>
    </w:p>
    <w:p w14:paraId="5658CBB7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  <w:lang w:bidi="ar"/>
        </w:rPr>
        <w:t>美学理论与当代美学思潮方向主要探讨美的问题、审美心理与美感、审美范畴、美育等美学基本问题，强调理论分析和哲学思考。‌</w:t>
      </w:r>
      <w:r>
        <w:rPr>
          <w:rFonts w:hint="eastAsia" w:ascii="宋体" w:hAnsi="宋体" w:cs="宋体"/>
          <w:sz w:val="24"/>
        </w:rPr>
        <w:t>探讨以审美活动为核心的美学基本范畴、理论等基本问题。关注当代美学前沿问题与思潮，运用美学基本理论分析当代社会美学问题，深入研究当代审美文化现象。旨在深入研究美学基本理论和美学前沿问题。</w:t>
      </w:r>
    </w:p>
    <w:p w14:paraId="278C1415">
      <w:pPr>
        <w:widowControl/>
        <w:spacing w:line="360" w:lineRule="auto"/>
        <w:ind w:left="480"/>
        <w:jc w:val="left"/>
        <w:rPr>
          <w:rFonts w:ascii="宋体" w:hAnsi="宋体" w:cs="宋体"/>
          <w:sz w:val="24"/>
        </w:rPr>
      </w:pPr>
      <w:r>
        <w:rPr>
          <w:rFonts w:hint="eastAsia" w:eastAsiaTheme="minorEastAsia"/>
          <w:sz w:val="24"/>
        </w:rPr>
        <w:t>第二，</w:t>
      </w:r>
      <w:r>
        <w:rPr>
          <w:rFonts w:hint="eastAsia" w:ascii="宋体" w:hAnsi="宋体" w:cs="宋体"/>
          <w:sz w:val="24"/>
        </w:rPr>
        <w:t>中国美学研究。</w:t>
      </w:r>
    </w:p>
    <w:p w14:paraId="43EB32F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中国美学研究方向运用中国美学与艺术的基本理论，通过对先秦、两汉、唐宋、明清美学思想史的梳理，探讨中国传统美学思想的发展规律与内在逻辑。</w:t>
      </w:r>
      <w:r>
        <w:rPr>
          <w:rFonts w:hint="eastAsia" w:ascii="宋体" w:hAnsi="宋体" w:cs="宋体"/>
          <w:kern w:val="0"/>
          <w:sz w:val="24"/>
          <w:shd w:val="clear" w:color="auto" w:fill="FFFFFF"/>
          <w:lang w:bidi="ar"/>
        </w:rPr>
        <w:t>研究中国古典美学体系、审美意象问题、中国古典艺术批评传统等，旨在深入理解中国传统美学和艺术的理论与实践‌。</w:t>
      </w:r>
    </w:p>
    <w:p w14:paraId="310FC0B8">
      <w:pPr>
        <w:spacing w:line="360" w:lineRule="auto"/>
        <w:ind w:left="480"/>
        <w:rPr>
          <w:rFonts w:ascii="宋体" w:hAnsi="宋体" w:cs="宋体"/>
          <w:sz w:val="24"/>
        </w:rPr>
      </w:pPr>
      <w:r>
        <w:rPr>
          <w:rFonts w:hint="eastAsia" w:eastAsiaTheme="minorEastAsia"/>
          <w:sz w:val="24"/>
        </w:rPr>
        <w:t>第三，</w:t>
      </w:r>
      <w:r>
        <w:rPr>
          <w:rFonts w:hint="eastAsia" w:ascii="宋体" w:hAnsi="宋体" w:cs="宋体"/>
          <w:sz w:val="24"/>
        </w:rPr>
        <w:t>西方美学研究。</w:t>
      </w:r>
    </w:p>
    <w:p w14:paraId="44611E26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西方美学研究方向，通过对西方美学与艺术理论的分析，探讨西方美学发展的内在逻辑与发展方向。研究西方美学史上主要美学范畴、美学理论、艺术观念，研究西方美学对美、美感、艺术、美育等美学基本问题的核心思想，旨在深入理解西方美学和艺术的理论与实践。</w:t>
      </w:r>
    </w:p>
    <w:p w14:paraId="5CCE605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eastAsiaTheme="minorEastAsia"/>
          <w:sz w:val="24"/>
        </w:rPr>
        <w:t>第四，</w:t>
      </w:r>
      <w:r>
        <w:rPr>
          <w:rFonts w:hint="eastAsia" w:ascii="宋体" w:hAnsi="宋体" w:cs="宋体"/>
          <w:sz w:val="24"/>
        </w:rPr>
        <w:t>艺术哲学。</w:t>
      </w:r>
    </w:p>
    <w:p w14:paraId="40DD493D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</w:rPr>
        <w:t>艺术哲学方向从哲学角度对艺术、艺术家、艺术品、艺术现象进哲学分析，探究艺术的起源、艺术的本质。在此基础上，研究艺术家、艺术品、艺术欣赏等核心问题，研究中外艺术史上的艺术理论与艺术流派，研究不同艺术的审美特征、鉴赏和文化价值，分析当代艺术发展与艺术现象，旨在深入探究艺术本质及各类艺术的审美特征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044F797D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77F45918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740ADFC2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64F4FB46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树立正确的中国特色社会主义核心价值观，具有坚定的理想信念，高尚的道德情操，优良的学术作风，高度的社会责任感。</w:t>
      </w:r>
    </w:p>
    <w:p w14:paraId="2558958E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美学学科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坚实的基础理论和系统的专门知识，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熟悉美学学科的主要原典和基本资料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，熟悉本学科的前沿研究领域，具有独立从事科学研究和解决实际问题的能力。</w:t>
      </w:r>
    </w:p>
    <w:p w14:paraId="526E3C5B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至少掌握一门外国语，能熟练阅读本专业的外文资料，具有撰写学术论文和进行国际学术交流的能力。</w:t>
      </w:r>
    </w:p>
    <w:p w14:paraId="6A0E4BBE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具有良好的团队意识和团队合作精神。</w:t>
      </w:r>
    </w:p>
    <w:p w14:paraId="417CAC50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具有健康的身体和良好的心理素质。</w:t>
      </w:r>
    </w:p>
    <w:p w14:paraId="7DDB666A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 培养德智体美劳全面发展的社会主义事业接班人。</w:t>
      </w:r>
    </w:p>
    <w:p w14:paraId="0153F81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35A2F74C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全日制。以培养学生的学术研究能力和创新能力为核心，主要采取以下方式：</w:t>
      </w:r>
    </w:p>
    <w:p w14:paraId="47F5F560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hint="eastAsia" w:eastAsiaTheme="minorEastAsia"/>
          <w:sz w:val="24"/>
        </w:rPr>
        <w:t>课程学习和经典研读相结合。通过课程学习构建学生系统的学科知识体系，通过经典研读培养学生对哲学传统的深入理解。教学方式强调文本细读与批判性讨论，其核心目标是夯实理论基础，塑造哲学思维范式。</w:t>
      </w:r>
    </w:p>
    <w:p w14:paraId="41D34AC0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hint="eastAsia" w:eastAsiaTheme="minorEastAsia"/>
          <w:sz w:val="24"/>
        </w:rPr>
        <w:t>导师负责制与科研训练相结合。导师制作为学术能力孵化的核心机制，贯穿培养全程。通过科研训练不断培养学生的科研能力，其核心目标是实现学生科研能力的内化，推动学生从知识接受者向独立研究者过渡。</w:t>
      </w:r>
    </w:p>
    <w:p w14:paraId="3C41AD39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3E9F3B7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7DB9E90C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602E6BDE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1.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总体要求：按照《河北大学关于开展2025版研究生培养方案修订工作的指导意见》（校政字〔2025〕9号）规定，硕士研究生论文开题与答辩时间间隔原则上不少于12个月。学位（毕业）论文应当表明作者具有独立从事学术研究工作的能力，鼓励硕士研究生参与科学研究，取得创新性成果。</w:t>
      </w:r>
    </w:p>
    <w:p w14:paraId="6FECFCE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2.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71AE771D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原则上在入学后第3学期（最迟不超过第4学期）完成开题。开题由3-5名具有高级专业技术职务人员参加，以学术报告的方式进行。</w:t>
      </w:r>
    </w:p>
    <w:p w14:paraId="4D1C8E0B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3.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5B82153C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4.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学位申请：达到学位授予条件的申请人，经导师同意后，应于答辩前三个月，向所属学位评定分委员会提出学位申请，提交学位申请材料。</w:t>
      </w:r>
    </w:p>
    <w:p w14:paraId="2875857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5.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预答辩：学位申请人须进行学位论文预答辩。预答辩通过者，方可进入学位论文评阅、学位论文答辩等环节。学位（毕业）论文预答辩在正式答辩前3个月进行。</w:t>
      </w:r>
    </w:p>
    <w:p w14:paraId="3F8D60C6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6.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2DC65729">
      <w:pPr>
        <w:widowControl/>
        <w:spacing w:line="360" w:lineRule="auto"/>
        <w:ind w:firstLine="480" w:firstLineChars="200"/>
        <w:jc w:val="left"/>
        <w:rPr>
          <w:rFonts w:eastAsiaTheme="minorEastAsia"/>
          <w:i/>
          <w:color w:val="FF0000"/>
          <w:sz w:val="24"/>
        </w:rPr>
      </w:pPr>
      <w:r>
        <w:rPr>
          <w:bCs/>
          <w:color w:val="222222"/>
          <w:kern w:val="0"/>
          <w:sz w:val="24"/>
        </w:rPr>
        <w:t>7.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《河北大学博士、硕士学位授予工作实施细则》（校政字〔2025〕7号）执行。</w:t>
      </w:r>
    </w:p>
    <w:p w14:paraId="2D0A8175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07153CE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54CD08E8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</w:t>
      </w:r>
      <w:r>
        <w:rPr>
          <w:rFonts w:eastAsiaTheme="minorEastAsia"/>
          <w:bCs/>
          <w:sz w:val="24"/>
        </w:rPr>
        <w:t>于10次</w:t>
      </w:r>
      <w:r>
        <w:rPr>
          <w:rFonts w:eastAsiaTheme="minorEastAsia"/>
          <w:color w:val="000000"/>
          <w:sz w:val="24"/>
        </w:rPr>
        <w:t>学术活动，并撰写学术报告小结；以主讲人或宣讲人身份，参加在校内外举行的学术报告或学术讲座不少于</w:t>
      </w:r>
      <w:r>
        <w:rPr>
          <w:rFonts w:eastAsiaTheme="minorEastAsia"/>
          <w:sz w:val="24"/>
        </w:rPr>
        <w:t>1</w:t>
      </w:r>
      <w:r>
        <w:rPr>
          <w:rFonts w:eastAsiaTheme="minorEastAsia"/>
          <w:color w:val="000000"/>
          <w:sz w:val="24"/>
        </w:rPr>
        <w:t>次。</w:t>
      </w:r>
    </w:p>
    <w:p w14:paraId="7BC5E1A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16DAA5D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172D99B7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55214A10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研究生申请学位取得的创新性成果需满足《哲学与社会学学院关于研究生申请学位取得创新性成果的规定》的有关要求。</w:t>
      </w:r>
    </w:p>
    <w:p w14:paraId="70C4F0D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4E5745B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</w:t>
      </w:r>
      <w:r>
        <w:rPr>
          <w:rFonts w:eastAsiaTheme="minorEastAsia"/>
          <w:bCs/>
          <w:sz w:val="24"/>
        </w:rPr>
        <w:t>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符合《河北大学博士、硕士学位授予工作实施细则》</w:t>
      </w:r>
      <w:r>
        <w:rPr>
          <w:color w:val="222222"/>
          <w:kern w:val="0"/>
          <w:sz w:val="24"/>
        </w:rPr>
        <w:t>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051B25F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5CA70F8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eastAsiaTheme="minorEastAsia"/>
          <w:color w:val="000000"/>
          <w:sz w:val="24"/>
        </w:rPr>
        <w:t>本专业最</w:t>
      </w:r>
      <w:r>
        <w:rPr>
          <w:rFonts w:eastAsiaTheme="minorEastAsia"/>
          <w:sz w:val="24"/>
        </w:rPr>
        <w:t>低毕业学分为</w:t>
      </w:r>
      <w:r>
        <w:rPr>
          <w:rFonts w:hint="eastAsia" w:eastAsiaTheme="minorEastAsia"/>
          <w:sz w:val="24"/>
        </w:rPr>
        <w:t>2</w:t>
      </w:r>
      <w:r>
        <w:rPr>
          <w:rFonts w:eastAsiaTheme="minorEastAsia"/>
          <w:sz w:val="24"/>
        </w:rPr>
        <w:t>8分，其中学位课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5学分，非学位课</w:t>
      </w:r>
      <w:r>
        <w:rPr>
          <w:rFonts w:hint="eastAsia" w:eastAsiaTheme="minorEastAsia"/>
          <w:sz w:val="24"/>
        </w:rPr>
        <w:t>12</w:t>
      </w:r>
      <w:r>
        <w:rPr>
          <w:rFonts w:eastAsiaTheme="minorEastAsia"/>
          <w:sz w:val="24"/>
        </w:rPr>
        <w:t>学分，必修环节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分。课程考试不设补考环节，</w:t>
      </w:r>
      <w:r>
        <w:rPr>
          <w:sz w:val="24"/>
        </w:rPr>
        <w:t>考试成绩低于60分的</w:t>
      </w:r>
      <w:r>
        <w:rPr>
          <w:color w:val="000000"/>
          <w:sz w:val="24"/>
        </w:rPr>
        <w:t>需重修。</w:t>
      </w:r>
    </w:p>
    <w:p w14:paraId="755E96DA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</w:p>
    <w:p w14:paraId="789BE2E8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</w:p>
    <w:p w14:paraId="0F5CCB28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</w:p>
    <w:p w14:paraId="75EA6E28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</w:p>
    <w:p w14:paraId="100ABA35">
      <w:pPr>
        <w:spacing w:after="156" w:afterLines="50" w:line="360" w:lineRule="auto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美学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Style w:val="4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1BBD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06963DC7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4CCCA973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628D766B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804D84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1CEB4F0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0A448556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20BC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1F67DE8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6ED0590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9F441A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A88657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1DAA258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236DAF7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1F032E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6DDB23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32FF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4885C82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F5BE11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2D66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455916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05D0E6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A22C2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296ED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C12C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275F3A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21241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017A506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（8学分）</w:t>
            </w:r>
          </w:p>
        </w:tc>
        <w:tc>
          <w:tcPr>
            <w:tcW w:w="3516" w:type="dxa"/>
            <w:vAlign w:val="center"/>
          </w:tcPr>
          <w:p w14:paraId="4C6BD39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5FA2177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XS2900001</w:t>
            </w:r>
          </w:p>
        </w:tc>
        <w:tc>
          <w:tcPr>
            <w:tcW w:w="709" w:type="dxa"/>
            <w:vAlign w:val="center"/>
          </w:tcPr>
          <w:p w14:paraId="686ADE9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6EAF13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E34D66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84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79CD36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665E9F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ECC4A6C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经典研读</w:t>
            </w:r>
          </w:p>
        </w:tc>
        <w:tc>
          <w:tcPr>
            <w:tcW w:w="1081" w:type="dxa"/>
          </w:tcPr>
          <w:p w14:paraId="4E4FC77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XS2900002</w:t>
            </w:r>
          </w:p>
        </w:tc>
        <w:tc>
          <w:tcPr>
            <w:tcW w:w="709" w:type="dxa"/>
            <w:vAlign w:val="center"/>
          </w:tcPr>
          <w:p w14:paraId="65A4A70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78A7ABB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373DAA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E8F3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22944E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4454DA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1BFC8B1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哲学基本问题与方法</w:t>
            </w:r>
          </w:p>
        </w:tc>
        <w:tc>
          <w:tcPr>
            <w:tcW w:w="1081" w:type="dxa"/>
          </w:tcPr>
          <w:p w14:paraId="758318C5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XS2900003</w:t>
            </w:r>
          </w:p>
        </w:tc>
        <w:tc>
          <w:tcPr>
            <w:tcW w:w="709" w:type="dxa"/>
            <w:vAlign w:val="center"/>
          </w:tcPr>
          <w:p w14:paraId="415A420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3EA458D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41F21151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14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6CAF39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2EEB60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ACAE949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哲学学科前沿问题</w:t>
            </w:r>
          </w:p>
        </w:tc>
        <w:tc>
          <w:tcPr>
            <w:tcW w:w="1081" w:type="dxa"/>
          </w:tcPr>
          <w:p w14:paraId="35648A2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XS2900004</w:t>
            </w:r>
          </w:p>
        </w:tc>
        <w:tc>
          <w:tcPr>
            <w:tcW w:w="709" w:type="dxa"/>
            <w:vAlign w:val="center"/>
          </w:tcPr>
          <w:p w14:paraId="6D15FF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0002FCF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0DAF711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407F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6EEA56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C4C07D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1BD6AEA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（3学分）</w:t>
            </w:r>
          </w:p>
        </w:tc>
        <w:tc>
          <w:tcPr>
            <w:tcW w:w="3516" w:type="dxa"/>
          </w:tcPr>
          <w:p w14:paraId="15F7492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逻辑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思维与训练</w:t>
            </w:r>
          </w:p>
        </w:tc>
        <w:tc>
          <w:tcPr>
            <w:tcW w:w="1081" w:type="dxa"/>
          </w:tcPr>
          <w:p w14:paraId="4ABE7379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XS2900005</w:t>
            </w:r>
          </w:p>
        </w:tc>
        <w:tc>
          <w:tcPr>
            <w:tcW w:w="709" w:type="dxa"/>
            <w:vAlign w:val="center"/>
          </w:tcPr>
          <w:p w14:paraId="0760D10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840053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B14B2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59093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F93435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F8BC41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</w:tcPr>
          <w:p w14:paraId="1FEE6B8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哲学专业外语</w:t>
            </w:r>
          </w:p>
        </w:tc>
        <w:tc>
          <w:tcPr>
            <w:tcW w:w="1081" w:type="dxa"/>
          </w:tcPr>
          <w:p w14:paraId="189F7388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XS2900006</w:t>
            </w:r>
          </w:p>
        </w:tc>
        <w:tc>
          <w:tcPr>
            <w:tcW w:w="709" w:type="dxa"/>
            <w:vAlign w:val="center"/>
          </w:tcPr>
          <w:p w14:paraId="381FF44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CEC54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5176E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6029A0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51E1027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029B0B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1A6DD3A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025E29E1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71795FA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585745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6FF6F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3069A6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C2FC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380FF11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6A14B1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4CA604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62DBB8F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vAlign w:val="center"/>
          </w:tcPr>
          <w:p w14:paraId="2252BD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B477F6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60EF021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CC796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831CD5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 w:colFirst="3" w:colLast="3"/>
          </w:p>
        </w:tc>
        <w:tc>
          <w:tcPr>
            <w:tcW w:w="1226" w:type="dxa"/>
            <w:vMerge w:val="restart"/>
            <w:vAlign w:val="center"/>
          </w:tcPr>
          <w:p w14:paraId="299F563A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</w:t>
            </w:r>
          </w:p>
          <w:p w14:paraId="60BBBDD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1D6DF776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美学理论与当代美学专题</w:t>
            </w:r>
          </w:p>
        </w:tc>
        <w:tc>
          <w:tcPr>
            <w:tcW w:w="1081" w:type="dxa"/>
            <w:shd w:val="clear" w:color="auto" w:fill="auto"/>
          </w:tcPr>
          <w:p w14:paraId="1EBB19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0ABAD22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C1C914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2EFF628F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至少选修</w:t>
            </w:r>
          </w:p>
          <w:p w14:paraId="1674E02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bookmarkEnd w:id="1"/>
      <w:tr w14:paraId="025435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0BAE805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D63C842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806478C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中国美学原著导读</w:t>
            </w:r>
          </w:p>
        </w:tc>
        <w:tc>
          <w:tcPr>
            <w:tcW w:w="1081" w:type="dxa"/>
            <w:shd w:val="clear" w:color="auto" w:fill="auto"/>
          </w:tcPr>
          <w:p w14:paraId="43F394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728EEB4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FE56D04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4F942B76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5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69FC8A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AE0CACB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CD07C59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西方美学原著导读</w:t>
            </w:r>
          </w:p>
        </w:tc>
        <w:tc>
          <w:tcPr>
            <w:tcW w:w="1081" w:type="dxa"/>
            <w:shd w:val="clear" w:color="auto" w:fill="auto"/>
          </w:tcPr>
          <w:p w14:paraId="153F61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3B9734CF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2D1CC6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359B782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8784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59494A2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016FA59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C8EE699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中国美学专题</w:t>
            </w:r>
          </w:p>
        </w:tc>
        <w:tc>
          <w:tcPr>
            <w:tcW w:w="1081" w:type="dxa"/>
            <w:shd w:val="clear" w:color="auto" w:fill="auto"/>
          </w:tcPr>
          <w:p w14:paraId="713153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0C5385A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B3B5BE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2F4210B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54A6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B0F53C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60D2812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1C71846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西方美学专题</w:t>
            </w:r>
          </w:p>
        </w:tc>
        <w:tc>
          <w:tcPr>
            <w:tcW w:w="1081" w:type="dxa"/>
            <w:shd w:val="clear" w:color="auto" w:fill="auto"/>
          </w:tcPr>
          <w:p w14:paraId="5DFB182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04DBAC5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A6FB40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2A5AB81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64D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C0CF01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7644680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CF17EBB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艺术美学</w:t>
            </w:r>
          </w:p>
        </w:tc>
        <w:tc>
          <w:tcPr>
            <w:tcW w:w="1081" w:type="dxa"/>
            <w:shd w:val="clear" w:color="auto" w:fill="auto"/>
          </w:tcPr>
          <w:p w14:paraId="0797AA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6080061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A7659C1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95DF9D6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5B7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40EE27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3A123610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7B0C6F2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先秦儒家诗学研究</w:t>
            </w:r>
          </w:p>
        </w:tc>
        <w:tc>
          <w:tcPr>
            <w:tcW w:w="1081" w:type="dxa"/>
            <w:shd w:val="clear" w:color="auto" w:fill="auto"/>
          </w:tcPr>
          <w:p w14:paraId="03CD28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70988B1F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71E1A6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48E88C4F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7817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69BE1C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3530D320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D2051EF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魏晋美学与艺术</w:t>
            </w:r>
          </w:p>
        </w:tc>
        <w:tc>
          <w:tcPr>
            <w:tcW w:w="1081" w:type="dxa"/>
            <w:shd w:val="clear" w:color="auto" w:fill="auto"/>
          </w:tcPr>
          <w:p w14:paraId="4BF419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XS29062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6E81A35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E6390B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4CB406DD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D82E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3EB1FD9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4D59B54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58BA26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58E24C2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7C90E60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DD5CDF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E4C8AA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0970DCE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3AE5D7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056BFDF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AFAEA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715A1D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3EF465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D6B6F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D8E07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4-5</w:t>
            </w:r>
          </w:p>
        </w:tc>
        <w:tc>
          <w:tcPr>
            <w:tcW w:w="1045" w:type="dxa"/>
            <w:vMerge w:val="continue"/>
            <w:vAlign w:val="center"/>
          </w:tcPr>
          <w:p w14:paraId="7CB806B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540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jc w:val="center"/>
        </w:trPr>
        <w:tc>
          <w:tcPr>
            <w:tcW w:w="571" w:type="dxa"/>
            <w:vMerge w:val="continue"/>
          </w:tcPr>
          <w:p w14:paraId="1E8BCE1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46DF7D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39CA92E8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2B729BF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6D6D3E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8B6DE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restart"/>
            <w:vAlign w:val="center"/>
          </w:tcPr>
          <w:p w14:paraId="3204FB5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042BBF3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CAE50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B980A4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2CE1B6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7FE3CA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7F6A6E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129598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A5D8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continue"/>
            <w:vAlign w:val="center"/>
          </w:tcPr>
          <w:p w14:paraId="112467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59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65421F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4A7A8D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F043A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30484C1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09C89D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05FE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2942FC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A80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285642E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261344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61F02B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7EB7596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ECBB9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6E5C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7777092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68E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446CDD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B53E6B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CC7792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5B80030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900AA9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99D192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6ADBC7A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6B0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113FB0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69294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06A660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5CD91C9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02BBFD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96AE71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1530CE6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CF645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2F4A02A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62C02A7C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</w:t>
      </w:r>
      <w:r>
        <w:rPr>
          <w:rFonts w:hint="eastAsia" w:eastAsiaTheme="minorEastAsia"/>
          <w:bCs/>
          <w:sz w:val="24"/>
        </w:rPr>
        <w:t xml:space="preserve"> 学位课为一级学科下所有专业方向的必修课程。必修环节为研究生培养过程中必须完成的培养活动。</w:t>
      </w:r>
    </w:p>
    <w:p w14:paraId="012AD59B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2</w:t>
      </w:r>
      <w:r>
        <w:rPr>
          <w:rFonts w:eastAsiaTheme="minorEastAsia"/>
          <w:bCs/>
          <w:sz w:val="24"/>
        </w:rPr>
        <w:t>. 非学位课中的公共通识课为</w:t>
      </w:r>
      <w:r>
        <w:rPr>
          <w:rFonts w:hint="eastAsia" w:eastAsiaTheme="minorEastAsia"/>
          <w:bCs/>
          <w:sz w:val="24"/>
        </w:rPr>
        <w:t>必选课程。</w:t>
      </w:r>
    </w:p>
    <w:p w14:paraId="730D42EA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3</w:t>
      </w:r>
      <w:r>
        <w:rPr>
          <w:rFonts w:eastAsiaTheme="minorEastAsia"/>
          <w:bCs/>
          <w:sz w:val="24"/>
        </w:rPr>
        <w:t>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29094764"/>
    </w:sdtPr>
    <w:sdtContent>
      <w:p w14:paraId="2A80EB5E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418FE6B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B8"/>
    <w:rsid w:val="000B4D89"/>
    <w:rsid w:val="00115DF3"/>
    <w:rsid w:val="001809F6"/>
    <w:rsid w:val="001D7194"/>
    <w:rsid w:val="00211A27"/>
    <w:rsid w:val="00262D86"/>
    <w:rsid w:val="002B6BD2"/>
    <w:rsid w:val="002F7380"/>
    <w:rsid w:val="00361CF5"/>
    <w:rsid w:val="00380D4C"/>
    <w:rsid w:val="00392BB8"/>
    <w:rsid w:val="00397FA6"/>
    <w:rsid w:val="00402C4E"/>
    <w:rsid w:val="00447A8D"/>
    <w:rsid w:val="004B61E0"/>
    <w:rsid w:val="0054317C"/>
    <w:rsid w:val="00580523"/>
    <w:rsid w:val="00583396"/>
    <w:rsid w:val="005C14E6"/>
    <w:rsid w:val="00676327"/>
    <w:rsid w:val="006F7DB1"/>
    <w:rsid w:val="00765FBC"/>
    <w:rsid w:val="007D411F"/>
    <w:rsid w:val="008B49B7"/>
    <w:rsid w:val="008C09CC"/>
    <w:rsid w:val="008E6542"/>
    <w:rsid w:val="008E7CAD"/>
    <w:rsid w:val="008F12BD"/>
    <w:rsid w:val="008F7FC5"/>
    <w:rsid w:val="009369D0"/>
    <w:rsid w:val="0097110B"/>
    <w:rsid w:val="00975458"/>
    <w:rsid w:val="00997007"/>
    <w:rsid w:val="009A1756"/>
    <w:rsid w:val="009E5B92"/>
    <w:rsid w:val="00A938E7"/>
    <w:rsid w:val="00AD7876"/>
    <w:rsid w:val="00B336A3"/>
    <w:rsid w:val="00BB6AC7"/>
    <w:rsid w:val="00BE492D"/>
    <w:rsid w:val="00C41F35"/>
    <w:rsid w:val="00C424CD"/>
    <w:rsid w:val="00C4770D"/>
    <w:rsid w:val="00C51F77"/>
    <w:rsid w:val="00C733EC"/>
    <w:rsid w:val="00C82A90"/>
    <w:rsid w:val="00D416F7"/>
    <w:rsid w:val="00DB7992"/>
    <w:rsid w:val="00DD41E5"/>
    <w:rsid w:val="00E073A7"/>
    <w:rsid w:val="00FA578D"/>
    <w:rsid w:val="025153F8"/>
    <w:rsid w:val="026003DA"/>
    <w:rsid w:val="040A2CF3"/>
    <w:rsid w:val="085F37E6"/>
    <w:rsid w:val="0C140DB6"/>
    <w:rsid w:val="0E8004E8"/>
    <w:rsid w:val="13F03DCE"/>
    <w:rsid w:val="15A80551"/>
    <w:rsid w:val="1F884DA0"/>
    <w:rsid w:val="2AF72431"/>
    <w:rsid w:val="2C0B1233"/>
    <w:rsid w:val="2C7B1B7F"/>
    <w:rsid w:val="407E705F"/>
    <w:rsid w:val="4AD14F9E"/>
    <w:rsid w:val="52630101"/>
    <w:rsid w:val="5DA84284"/>
    <w:rsid w:val="601B4AB2"/>
    <w:rsid w:val="66650F64"/>
    <w:rsid w:val="779E2F73"/>
    <w:rsid w:val="7C2A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3222</Words>
  <Characters>3424</Characters>
  <Lines>26</Lines>
  <Paragraphs>7</Paragraphs>
  <TotalTime>7</TotalTime>
  <ScaleCrop>false</ScaleCrop>
  <LinksUpToDate>false</LinksUpToDate>
  <CharactersWithSpaces>3444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2025-04-30T07:41:00Z</dcterms:created>
  <dc:creator>zhao</dc:creator>
  <cp:lastModifiedBy>A宋宋</cp:lastModifiedBy>
  <dcterms:modified xsi:type="dcterms:W3CDTF">2025-06-16T08:13:58Z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eyJoZGlkIjoiNTRlMmI4MzVlYjZjZDdhYmNmOTUwMTcwODNhY2JlYzciLCJ1c2VySWQiOiIxMDI1OTcxODgyIn0=</vt:lpwstr>
  </property>
  <property fmtid="{D5CDD505-2E9C-101B-9397-08002B2CF9AE}" pid="3" name="KSOProductBuildVer">
    <vt:lpwstr>2052-12.1.0.21171</vt:lpwstr>
  </property>
  <property fmtid="{D5CDD505-2E9C-101B-9397-08002B2CF9AE}" pid="4" name="ICV">
    <vt:lpwstr>7D0294C2796B4083A45E79B705F71AB4_12</vt:lpwstr>
  </property>
</Properties>
</file>