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17DDD">
      <w:pPr>
        <w:adjustRightInd w:val="0"/>
        <w:snapToGrid w:val="0"/>
        <w:spacing w:line="360" w:lineRule="auto"/>
        <w:ind w:left="321" w:leftChars="153" w:right="227"/>
        <w:jc w:val="center"/>
        <w:rPr>
          <w:rFonts w:eastAsia="黑体"/>
          <w:b/>
          <w:bCs/>
          <w:sz w:val="36"/>
          <w:szCs w:val="36"/>
        </w:rPr>
      </w:pPr>
      <w:r>
        <w:rPr>
          <w:rFonts w:hint="eastAsia" w:eastAsia="黑体"/>
          <w:b/>
          <w:bCs/>
          <w:iCs/>
          <w:sz w:val="36"/>
          <w:szCs w:val="36"/>
        </w:rPr>
        <w:t>微生物学</w:t>
      </w:r>
      <w:r>
        <w:rPr>
          <w:rFonts w:eastAsia="黑体"/>
          <w:b/>
          <w:bCs/>
          <w:sz w:val="36"/>
          <w:szCs w:val="36"/>
        </w:rPr>
        <w:t>专业学术学位硕士研究生培养方案</w:t>
      </w:r>
    </w:p>
    <w:p w14:paraId="657670DB">
      <w:pPr>
        <w:adjustRightInd w:val="0"/>
        <w:snapToGrid w:val="0"/>
        <w:spacing w:line="360" w:lineRule="auto"/>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生命科学</w:t>
      </w:r>
      <w:r>
        <w:rPr>
          <w:rFonts w:eastAsia="黑体"/>
          <w:b/>
          <w:bCs/>
          <w:sz w:val="28"/>
          <w:szCs w:val="28"/>
        </w:rPr>
        <w:t>学院)</w:t>
      </w:r>
    </w:p>
    <w:p w14:paraId="0C7EF897">
      <w:pPr>
        <w:adjustRightInd w:val="0"/>
        <w:snapToGrid w:val="0"/>
        <w:spacing w:line="360" w:lineRule="auto"/>
        <w:ind w:firstLine="560"/>
        <w:rPr>
          <w:rFonts w:eastAsia="黑体"/>
          <w:bCs/>
          <w:sz w:val="28"/>
          <w:szCs w:val="28"/>
        </w:rPr>
      </w:pPr>
      <w:r>
        <w:rPr>
          <w:rFonts w:eastAsia="黑体"/>
          <w:bCs/>
          <w:sz w:val="28"/>
          <w:szCs w:val="28"/>
        </w:rPr>
        <w:t>一、专业名称、代码</w:t>
      </w:r>
    </w:p>
    <w:p w14:paraId="7E137F49">
      <w:pPr>
        <w:widowControl/>
        <w:adjustRightInd w:val="0"/>
        <w:snapToGrid w:val="0"/>
        <w:spacing w:before="100" w:beforeAutospacing="1" w:after="100" w:afterAutospacing="1"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微生物学</w:t>
      </w:r>
    </w:p>
    <w:p w14:paraId="4D0709D5">
      <w:pPr>
        <w:widowControl/>
        <w:adjustRightInd w:val="0"/>
        <w:snapToGrid w:val="0"/>
        <w:spacing w:before="100" w:beforeAutospacing="1" w:after="100" w:afterAutospacing="1"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071005</w:t>
      </w:r>
    </w:p>
    <w:p w14:paraId="22110307">
      <w:pPr>
        <w:adjustRightInd w:val="0"/>
        <w:snapToGrid w:val="0"/>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5E3F5875">
      <w:pPr>
        <w:adjustRightInd w:val="0"/>
        <w:snapToGrid w:val="0"/>
        <w:spacing w:line="360" w:lineRule="auto"/>
        <w:ind w:firstLine="480" w:firstLineChars="200"/>
        <w:rPr>
          <w:rFonts w:eastAsiaTheme="minorEastAsia"/>
          <w:i/>
          <w:iCs/>
          <w:color w:val="FF0000"/>
          <w:sz w:val="24"/>
        </w:rPr>
      </w:pPr>
      <w:r>
        <w:rPr>
          <w:rFonts w:hint="eastAsia" w:eastAsiaTheme="minorEastAsia"/>
          <w:sz w:val="24"/>
        </w:rPr>
        <w:t>主要开展微生物系统学与生物多样性、资源与应用微生物学、病原微生物学、环境微生物学及微生物合成生物学方面的研究。</w:t>
      </w:r>
    </w:p>
    <w:p w14:paraId="01ADE46F">
      <w:pPr>
        <w:adjustRightInd w:val="0"/>
        <w:snapToGrid w:val="0"/>
        <w:spacing w:line="360" w:lineRule="auto"/>
        <w:ind w:firstLine="480" w:firstLineChars="200"/>
        <w:rPr>
          <w:rFonts w:eastAsiaTheme="minorEastAsia"/>
          <w:iCs/>
          <w:sz w:val="24"/>
        </w:rPr>
      </w:pPr>
      <w:r>
        <w:rPr>
          <w:rFonts w:hint="eastAsia" w:eastAsiaTheme="minorEastAsia"/>
          <w:iCs/>
          <w:sz w:val="24"/>
        </w:rPr>
        <w:t>微生物学专业所属生物学学科是教育部“一省一校”重点支持学科、河北省优先支持国家“双一流”建设学科、河北大学“生命科学与绿色发展”学科群牵头学科，依托河北省微生物资源开发与利用重点实验室、河北省</w:t>
      </w:r>
      <w:r>
        <w:rPr>
          <w:rFonts w:eastAsiaTheme="minorEastAsia"/>
          <w:iCs/>
          <w:sz w:val="24"/>
        </w:rPr>
        <w:t>微生物育种和保育工程实验室</w:t>
      </w:r>
      <w:r>
        <w:rPr>
          <w:rFonts w:hint="eastAsia" w:eastAsiaTheme="minorEastAsia"/>
          <w:iCs/>
          <w:sz w:val="24"/>
        </w:rPr>
        <w:t>及</w:t>
      </w:r>
      <w:r>
        <w:rPr>
          <w:rFonts w:eastAsiaTheme="minorEastAsia"/>
          <w:iCs/>
          <w:sz w:val="24"/>
        </w:rPr>
        <w:t>生物互作基础学科研究中心</w:t>
      </w:r>
      <w:r>
        <w:rPr>
          <w:rFonts w:hint="eastAsia" w:eastAsiaTheme="minorEastAsia"/>
          <w:iCs/>
          <w:sz w:val="24"/>
        </w:rPr>
        <w:t>，形成了集基础研究、应用开发与产业转化于一体的高层次人才培养体系。本专业立足微生物学科前沿，聚焦微生物资源挖掘、功能机制解析及工程化应用三大方向，重点开展</w:t>
      </w:r>
      <w:r>
        <w:rPr>
          <w:rFonts w:hint="eastAsia" w:eastAsiaTheme="minorEastAsia"/>
          <w:sz w:val="24"/>
        </w:rPr>
        <w:t>微生物系统学与生物多样性</w:t>
      </w:r>
      <w:r>
        <w:rPr>
          <w:rFonts w:hint="eastAsia" w:eastAsiaTheme="minorEastAsia"/>
          <w:iCs/>
          <w:sz w:val="24"/>
        </w:rPr>
        <w:t>、合成生物学与合成微生物组学</w:t>
      </w:r>
      <w:r>
        <w:rPr>
          <w:rFonts w:hint="eastAsia" w:eastAsiaTheme="minorEastAsia"/>
          <w:sz w:val="24"/>
        </w:rPr>
        <w:t>、</w:t>
      </w:r>
      <w:r>
        <w:rPr>
          <w:rFonts w:hint="eastAsia" w:eastAsiaTheme="minorEastAsia"/>
          <w:iCs/>
          <w:sz w:val="24"/>
        </w:rPr>
        <w:t>病原微生物与免疫、</w:t>
      </w:r>
      <w:r>
        <w:rPr>
          <w:rFonts w:eastAsiaTheme="minorEastAsia"/>
          <w:sz w:val="24"/>
        </w:rPr>
        <w:t>环境微生物技术</w:t>
      </w:r>
      <w:r>
        <w:rPr>
          <w:rFonts w:hint="eastAsia" w:eastAsiaTheme="minorEastAsia"/>
          <w:iCs/>
          <w:sz w:val="24"/>
        </w:rPr>
        <w:t>等领域研究。本专业学科交叉融合显著，产学研平台完备，毕业生就业率高。毕业生在生物医药、生物制造、环境治理、食品检测等领域展现突出竞争力，已成为华北地区微生物领域高层次人才培养的重要基地。</w:t>
      </w:r>
    </w:p>
    <w:p w14:paraId="07213558">
      <w:pPr>
        <w:adjustRightInd w:val="0"/>
        <w:snapToGrid w:val="0"/>
        <w:spacing w:line="360" w:lineRule="auto"/>
        <w:ind w:firstLine="560" w:firstLineChars="200"/>
        <w:rPr>
          <w:rFonts w:eastAsia="黑体"/>
          <w:bCs/>
          <w:sz w:val="28"/>
          <w:szCs w:val="28"/>
        </w:rPr>
      </w:pPr>
      <w:r>
        <w:rPr>
          <w:rFonts w:eastAsia="黑体"/>
          <w:bCs/>
          <w:sz w:val="28"/>
          <w:szCs w:val="28"/>
        </w:rPr>
        <w:t>三、研究方向</w:t>
      </w:r>
    </w:p>
    <w:p w14:paraId="3AF8F7A2">
      <w:pPr>
        <w:adjustRightInd w:val="0"/>
        <w:snapToGrid w:val="0"/>
        <w:spacing w:line="360" w:lineRule="auto"/>
        <w:ind w:firstLine="482" w:firstLineChars="200"/>
        <w:rPr>
          <w:rFonts w:eastAsiaTheme="minorEastAsia"/>
          <w:sz w:val="24"/>
        </w:rPr>
      </w:pPr>
      <w:r>
        <w:rPr>
          <w:rFonts w:hint="eastAsia" w:eastAsiaTheme="minorEastAsia"/>
          <w:b/>
          <w:bCs/>
          <w:sz w:val="24"/>
        </w:rPr>
        <w:t>微生物系统学与生物多样性：</w:t>
      </w:r>
      <w:r>
        <w:rPr>
          <w:rFonts w:hint="eastAsia" w:eastAsiaTheme="minorEastAsia"/>
          <w:sz w:val="24"/>
        </w:rPr>
        <w:t>本</w:t>
      </w:r>
      <w:r>
        <w:rPr>
          <w:rFonts w:eastAsiaTheme="minorEastAsia"/>
          <w:sz w:val="24"/>
        </w:rPr>
        <w:t>方向聚焦微生物物种多样性形成机制及其生态功能研究，依托河北省</w:t>
      </w:r>
      <w:r>
        <w:rPr>
          <w:rFonts w:hint="eastAsia" w:eastAsiaTheme="minorEastAsia"/>
          <w:iCs/>
          <w:sz w:val="24"/>
        </w:rPr>
        <w:t>微生物资源开发与利用重点实验室</w:t>
      </w:r>
      <w:r>
        <w:rPr>
          <w:rFonts w:eastAsiaTheme="minorEastAsia"/>
          <w:sz w:val="24"/>
        </w:rPr>
        <w:t>，系统开展微生物分类鉴定、系统发育重建及多样性演化规律探索。研究涵盖</w:t>
      </w:r>
      <w:r>
        <w:rPr>
          <w:rFonts w:hint="eastAsia" w:eastAsiaTheme="minorEastAsia"/>
          <w:sz w:val="24"/>
        </w:rPr>
        <w:t>细菌</w:t>
      </w:r>
      <w:r>
        <w:rPr>
          <w:rFonts w:eastAsiaTheme="minorEastAsia"/>
          <w:sz w:val="24"/>
        </w:rPr>
        <w:t>、真菌</w:t>
      </w:r>
      <w:r>
        <w:rPr>
          <w:rFonts w:hint="eastAsia" w:eastAsiaTheme="minorEastAsia"/>
          <w:sz w:val="24"/>
        </w:rPr>
        <w:t>两大</w:t>
      </w:r>
      <w:r>
        <w:rPr>
          <w:rFonts w:eastAsiaTheme="minorEastAsia"/>
          <w:sz w:val="24"/>
        </w:rPr>
        <w:t>类群，运用宏基因组学、单细胞测序及多组学整合分析技术，解析极端环境、特殊生境中微生物群落结构与功能适应机制，挖掘具有特殊代谢功能或生态价值的微生物新种质资源。研究团队在</w:t>
      </w:r>
      <w:r>
        <w:rPr>
          <w:rFonts w:hint="eastAsia" w:eastAsiaTheme="minorEastAsia"/>
          <w:sz w:val="24"/>
        </w:rPr>
        <w:t>放线菌、根瘤菌、地衣型真菌和酵母菌系统学与多样性</w:t>
      </w:r>
      <w:r>
        <w:rPr>
          <w:rFonts w:eastAsiaTheme="minorEastAsia"/>
          <w:sz w:val="24"/>
        </w:rPr>
        <w:t>等领域形成鲜明特色。本方向注重培养学生系统性研究思维与生物多样性保护意识，为生态环境保护、农业可持续发展及生物医药开发提供理论与技术支撑。</w:t>
      </w:r>
    </w:p>
    <w:p w14:paraId="592C98A1">
      <w:pPr>
        <w:adjustRightInd w:val="0"/>
        <w:snapToGrid w:val="0"/>
        <w:spacing w:line="360" w:lineRule="auto"/>
        <w:ind w:firstLine="482" w:firstLineChars="200"/>
        <w:rPr>
          <w:rFonts w:eastAsiaTheme="minorEastAsia"/>
          <w:iCs/>
          <w:color w:val="FF0000"/>
          <w:sz w:val="24"/>
        </w:rPr>
      </w:pPr>
      <w:r>
        <w:rPr>
          <w:rFonts w:hint="eastAsia" w:eastAsiaTheme="minorEastAsia"/>
          <w:b/>
          <w:bCs/>
          <w:iCs/>
          <w:sz w:val="24"/>
        </w:rPr>
        <w:t>合成生物学及合成微生物组学：</w:t>
      </w:r>
      <w:r>
        <w:rPr>
          <w:rFonts w:hint="eastAsia" w:eastAsiaTheme="minorEastAsia"/>
          <w:iCs/>
          <w:sz w:val="24"/>
        </w:rPr>
        <w:t>本</w:t>
      </w:r>
      <w:r>
        <w:rPr>
          <w:rFonts w:eastAsiaTheme="minorEastAsia"/>
          <w:iCs/>
          <w:sz w:val="24"/>
        </w:rPr>
        <w:t>研究方向以微生物底盘细胞设计与功能微生物组</w:t>
      </w:r>
      <w:r>
        <w:rPr>
          <w:rFonts w:hint="eastAsia" w:eastAsiaTheme="minorEastAsia"/>
          <w:iCs/>
          <w:sz w:val="24"/>
        </w:rPr>
        <w:t>只能组装</w:t>
      </w:r>
      <w:r>
        <w:rPr>
          <w:rFonts w:eastAsiaTheme="minorEastAsia"/>
          <w:iCs/>
          <w:sz w:val="24"/>
        </w:rPr>
        <w:t>为核心，聚焦生物活性分子高效合成与</w:t>
      </w:r>
      <w:r>
        <w:rPr>
          <w:rFonts w:hint="eastAsia" w:eastAsiaTheme="minorEastAsia"/>
          <w:iCs/>
          <w:sz w:val="24"/>
        </w:rPr>
        <w:t>慢性</w:t>
      </w:r>
      <w:r>
        <w:rPr>
          <w:rFonts w:eastAsiaTheme="minorEastAsia"/>
          <w:iCs/>
          <w:sz w:val="24"/>
        </w:rPr>
        <w:t>疾病精准干预两大领域。依托基因组编辑、代谢通路理性重构及微生物群落互作调控技术，本方向在5-羟基色氨酸及其衍生物生物合成领域</w:t>
      </w:r>
      <w:r>
        <w:rPr>
          <w:rFonts w:hint="eastAsia" w:eastAsiaTheme="minorEastAsia"/>
          <w:iCs/>
          <w:sz w:val="24"/>
        </w:rPr>
        <w:t>率先实现产业化生产</w:t>
      </w:r>
      <w:r>
        <w:rPr>
          <w:rFonts w:eastAsiaTheme="minorEastAsia"/>
          <w:iCs/>
          <w:sz w:val="24"/>
        </w:rPr>
        <w:t>；</w:t>
      </w:r>
      <w:r>
        <w:rPr>
          <w:rFonts w:hint="eastAsia" w:eastAsiaTheme="minorEastAsia"/>
          <w:iCs/>
          <w:sz w:val="24"/>
        </w:rPr>
        <w:t>国内</w:t>
      </w:r>
      <w:r>
        <w:rPr>
          <w:rFonts w:eastAsiaTheme="minorEastAsia"/>
          <w:iCs/>
          <w:sz w:val="24"/>
        </w:rPr>
        <w:t>首创谷胱甘肽</w:t>
      </w:r>
      <w:r>
        <w:rPr>
          <w:rFonts w:hint="eastAsia" w:eastAsiaTheme="minorEastAsia"/>
          <w:iCs/>
          <w:sz w:val="24"/>
        </w:rPr>
        <w:t>生物合成</w:t>
      </w:r>
      <w:r>
        <w:rPr>
          <w:rFonts w:eastAsiaTheme="minorEastAsia"/>
          <w:iCs/>
          <w:sz w:val="24"/>
        </w:rPr>
        <w:t>工艺，填补国内产业化空白。针对慢性疾病治疗需求，创新开发</w:t>
      </w:r>
      <w:r>
        <w:rPr>
          <w:rFonts w:hint="eastAsia" w:eastAsiaTheme="minorEastAsia"/>
          <w:iCs/>
          <w:sz w:val="24"/>
        </w:rPr>
        <w:t>酒精性肝病、</w:t>
      </w:r>
      <w:r>
        <w:rPr>
          <w:rFonts w:eastAsiaTheme="minorEastAsia"/>
          <w:iCs/>
          <w:sz w:val="24"/>
        </w:rPr>
        <w:t>I型糖尿病、强直性脊柱炎等疾病的合成微生物组疗法，通过定向调控肠道菌群代谢网络实现疾病干预。本方向注重“基础研究-技术开发-</w:t>
      </w:r>
      <w:r>
        <w:rPr>
          <w:rFonts w:hint="eastAsia" w:eastAsiaTheme="minorEastAsia"/>
          <w:iCs/>
          <w:sz w:val="24"/>
        </w:rPr>
        <w:t>成果</w:t>
      </w:r>
      <w:r>
        <w:rPr>
          <w:rFonts w:eastAsiaTheme="minorEastAsia"/>
          <w:iCs/>
          <w:sz w:val="24"/>
        </w:rPr>
        <w:t>转化”全链条创新，培养具有工程思维与转化能力的复合型人才，为生物医药与大健康产业提供关键技术支撑。</w:t>
      </w:r>
    </w:p>
    <w:p w14:paraId="30836E71">
      <w:pPr>
        <w:adjustRightInd w:val="0"/>
        <w:snapToGrid w:val="0"/>
        <w:spacing w:line="360" w:lineRule="auto"/>
        <w:ind w:firstLine="482" w:firstLineChars="200"/>
        <w:rPr>
          <w:rFonts w:eastAsiaTheme="minorEastAsia"/>
          <w:iCs/>
          <w:sz w:val="24"/>
        </w:rPr>
      </w:pPr>
      <w:r>
        <w:rPr>
          <w:rFonts w:hint="eastAsia" w:eastAsiaTheme="minorEastAsia"/>
          <w:b/>
          <w:bCs/>
          <w:iCs/>
          <w:sz w:val="24"/>
        </w:rPr>
        <w:t>分子病毒及免疫学</w:t>
      </w:r>
      <w:r>
        <w:rPr>
          <w:rFonts w:hint="eastAsia" w:eastAsiaTheme="minorEastAsia"/>
          <w:iCs/>
          <w:sz w:val="24"/>
        </w:rPr>
        <w:t>：主要针对引起动物重大经济损失的病毒，如牛疱疹病毒1型(BoAHV1)，开展基础与应用基础研究，从细胞和动物水平揭示调控病毒感染的宿主分子及其与病毒互作的分子机制，从而揭示病毒感染、复制、致病、传播的机制与规律；系统揭示该病毒B细胞表位，并基于相关优势B细胞表位研发新型诊断技术，为防控技术研究提供理论支撑和技术支持；针对该病毒具有溶瘤这一特点，开展该病毒溶瘤的分子机制及抗肿瘤药物研发；针对奶牛养殖中常见的病毒及新发病毒，开展分子流行病学调查，为牧场新发病原的发现与传播规律，为感染性疾病的防治提供理论基础和技术支撑。</w:t>
      </w:r>
    </w:p>
    <w:p w14:paraId="42A76FD3">
      <w:pPr>
        <w:adjustRightInd w:val="0"/>
        <w:snapToGrid w:val="0"/>
        <w:spacing w:line="360" w:lineRule="auto"/>
        <w:ind w:firstLine="482" w:firstLineChars="200"/>
        <w:rPr>
          <w:rFonts w:eastAsiaTheme="minorEastAsia"/>
          <w:iCs/>
          <w:color w:val="FF0000"/>
          <w:sz w:val="24"/>
        </w:rPr>
      </w:pPr>
      <w:r>
        <w:rPr>
          <w:rFonts w:eastAsiaTheme="minorEastAsia"/>
          <w:b/>
          <w:bCs/>
          <w:sz w:val="24"/>
        </w:rPr>
        <w:t>环境微生物技术</w:t>
      </w:r>
      <w:r>
        <w:rPr>
          <w:rFonts w:hint="eastAsia" w:eastAsiaTheme="minorEastAsia"/>
          <w:b/>
          <w:bCs/>
          <w:sz w:val="24"/>
        </w:rPr>
        <w:t>：</w:t>
      </w:r>
      <w:r>
        <w:rPr>
          <w:rFonts w:hint="eastAsia" w:eastAsiaTheme="minorEastAsia"/>
          <w:sz w:val="24"/>
        </w:rPr>
        <w:t>环境微生物技术利用微生物的代谢功能解决大气、水体及土壤中的环境问题，该技术广泛应用于大气污染治理、温室气体控制、污水处理、土壤修复及固体废弃物处理等领域。通过筛选和优化特定功能的微生物菌株，或构建人工微生物群落，或构建微生物与化学材料复合体系，环境微生物技术能够实现对污染物的高效降解、资源回收及生态修复。该技术以微生物为核心，结合生态学、化学、分子生物学及工程学原理，在环境治理中展现出绿色、可持续的优势。环境微生物技术将在碳中和及循环经济中发挥关键作用，成为绿色技术创新的重要方向。</w:t>
      </w:r>
    </w:p>
    <w:p w14:paraId="720981FC">
      <w:pPr>
        <w:adjustRightInd w:val="0"/>
        <w:snapToGrid w:val="0"/>
        <w:spacing w:line="360" w:lineRule="auto"/>
        <w:ind w:firstLine="560" w:firstLineChars="200"/>
        <w:rPr>
          <w:rFonts w:eastAsia="黑体"/>
          <w:bCs/>
          <w:sz w:val="28"/>
          <w:szCs w:val="28"/>
        </w:rPr>
      </w:pPr>
      <w:r>
        <w:rPr>
          <w:rFonts w:eastAsia="黑体"/>
          <w:bCs/>
          <w:sz w:val="28"/>
          <w:szCs w:val="28"/>
        </w:rPr>
        <w:t>四、学制及学习年限</w:t>
      </w:r>
    </w:p>
    <w:p w14:paraId="71CC9026">
      <w:pPr>
        <w:adjustRightInd w:val="0"/>
        <w:snapToGrid w:val="0"/>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4FC3041B">
      <w:pPr>
        <w:adjustRightInd w:val="0"/>
        <w:snapToGrid w:val="0"/>
        <w:spacing w:line="360" w:lineRule="auto"/>
        <w:ind w:firstLine="560" w:firstLineChars="200"/>
        <w:rPr>
          <w:rFonts w:eastAsia="黑体"/>
          <w:bCs/>
          <w:sz w:val="28"/>
          <w:szCs w:val="28"/>
        </w:rPr>
      </w:pPr>
      <w:r>
        <w:rPr>
          <w:rFonts w:eastAsia="黑体"/>
          <w:bCs/>
          <w:sz w:val="28"/>
          <w:szCs w:val="28"/>
        </w:rPr>
        <w:t>五、培养目标</w:t>
      </w:r>
    </w:p>
    <w:p w14:paraId="4C1A11B5">
      <w:pPr>
        <w:adjustRightInd w:val="0"/>
        <w:snapToGrid w:val="0"/>
        <w:spacing w:line="360" w:lineRule="auto"/>
        <w:ind w:firstLine="480"/>
        <w:rPr>
          <w:rFonts w:hint="eastAsia" w:asciiTheme="minorEastAsia" w:hAnsiTheme="minorEastAsia" w:eastAsiaTheme="minorEastAsia"/>
          <w:iCs/>
          <w:sz w:val="24"/>
        </w:rPr>
      </w:pPr>
      <w:r>
        <w:rPr>
          <w:rFonts w:hint="eastAsia" w:asciiTheme="minorEastAsia" w:hAnsiTheme="minorEastAsia" w:eastAsiaTheme="minorEastAsia"/>
          <w:iCs/>
          <w:sz w:val="24"/>
        </w:rPr>
        <w:t>培养掌握现代微生物学基础理论、专业知识和专业技能，具有较强科研能力、技术创新能力和国家化视野的微生物学高层次人才。</w:t>
      </w:r>
    </w:p>
    <w:p w14:paraId="1F262C4A">
      <w:pPr>
        <w:adjustRightInd w:val="0"/>
        <w:snapToGrid w:val="0"/>
        <w:spacing w:line="360" w:lineRule="auto"/>
        <w:ind w:firstLine="480"/>
        <w:rPr>
          <w:rFonts w:hint="eastAsia" w:asciiTheme="minorEastAsia" w:hAnsiTheme="minorEastAsia" w:eastAsiaTheme="minorEastAsia"/>
          <w:iCs/>
          <w:sz w:val="24"/>
        </w:rPr>
      </w:pPr>
      <w:r>
        <w:rPr>
          <w:rFonts w:hint="eastAsia" w:asciiTheme="minorEastAsia" w:hAnsiTheme="minorEastAsia" w:eastAsiaTheme="minorEastAsia"/>
          <w:iCs/>
          <w:sz w:val="24"/>
        </w:rPr>
        <w:t>具体要求如下：</w:t>
      </w:r>
    </w:p>
    <w:p w14:paraId="07A10F42">
      <w:pPr>
        <w:adjustRightInd w:val="0"/>
        <w:snapToGrid w:val="0"/>
        <w:spacing w:line="360" w:lineRule="auto"/>
        <w:ind w:firstLine="480"/>
        <w:rPr>
          <w:rFonts w:eastAsiaTheme="minorEastAsia"/>
          <w:iCs/>
          <w:sz w:val="24"/>
        </w:rPr>
      </w:pPr>
      <w:r>
        <w:rPr>
          <w:rFonts w:eastAsiaTheme="minorEastAsia"/>
          <w:iCs/>
          <w:sz w:val="24"/>
        </w:rPr>
        <w:t>1. 树立正确的中国特色社会主义核心价值观，具有坚定的理想信念，高尚的道德情操，优良的学术作风，高度的社会责任感。</w:t>
      </w:r>
    </w:p>
    <w:p w14:paraId="6E1D74F9">
      <w:pPr>
        <w:adjustRightInd w:val="0"/>
        <w:snapToGrid w:val="0"/>
        <w:spacing w:line="360" w:lineRule="auto"/>
        <w:ind w:firstLine="480"/>
        <w:rPr>
          <w:rFonts w:hint="eastAsia" w:asciiTheme="minorEastAsia" w:hAnsiTheme="minorEastAsia" w:eastAsiaTheme="minorEastAsia"/>
          <w:iCs/>
          <w:sz w:val="24"/>
        </w:rPr>
      </w:pPr>
      <w:r>
        <w:rPr>
          <w:rFonts w:eastAsiaTheme="minorEastAsia"/>
          <w:iCs/>
          <w:sz w:val="24"/>
        </w:rPr>
        <w:t>2.</w:t>
      </w:r>
      <w:r>
        <w:rPr>
          <w:rFonts w:hint="eastAsia" w:eastAsiaTheme="minorEastAsia"/>
          <w:iCs/>
          <w:sz w:val="24"/>
        </w:rPr>
        <w:t xml:space="preserve"> </w:t>
      </w:r>
      <w:r>
        <w:rPr>
          <w:rFonts w:hint="eastAsia" w:asciiTheme="minorEastAsia" w:hAnsiTheme="minorEastAsia" w:eastAsiaTheme="minorEastAsia"/>
          <w:iCs/>
          <w:sz w:val="24"/>
        </w:rPr>
        <w:t>具备广博、扎实的微生物学基础知识，掌握专业领域的科学理论和实验技能，熟悉研究方向的最新进展和发展趋势</w:t>
      </w:r>
      <w:r>
        <w:rPr>
          <w:rFonts w:eastAsiaTheme="minorEastAsia"/>
          <w:iCs/>
          <w:sz w:val="24"/>
        </w:rPr>
        <w:t>。</w:t>
      </w:r>
    </w:p>
    <w:p w14:paraId="627B9EDD">
      <w:pPr>
        <w:adjustRightInd w:val="0"/>
        <w:snapToGrid w:val="0"/>
        <w:spacing w:line="360" w:lineRule="auto"/>
        <w:ind w:firstLine="480"/>
        <w:rPr>
          <w:rFonts w:eastAsiaTheme="minorEastAsia"/>
          <w:iCs/>
          <w:sz w:val="24"/>
        </w:rPr>
      </w:pPr>
      <w:r>
        <w:rPr>
          <w:rFonts w:eastAsiaTheme="minorEastAsia"/>
          <w:iCs/>
          <w:sz w:val="24"/>
        </w:rPr>
        <w:t>3. 至少掌握一门外国语</w:t>
      </w:r>
      <w:r>
        <w:rPr>
          <w:rFonts w:hint="eastAsia" w:eastAsiaTheme="minorEastAsia"/>
          <w:iCs/>
          <w:sz w:val="24"/>
        </w:rPr>
        <w:t>（英语）</w:t>
      </w:r>
      <w:r>
        <w:rPr>
          <w:rFonts w:eastAsiaTheme="minorEastAsia"/>
          <w:iCs/>
          <w:sz w:val="24"/>
        </w:rPr>
        <w:t>，能熟练阅读本专业的外文资料，具有撰写学术论文和进行国际学术交流的能力。</w:t>
      </w:r>
    </w:p>
    <w:p w14:paraId="4BDC6702">
      <w:pPr>
        <w:adjustRightInd w:val="0"/>
        <w:snapToGrid w:val="0"/>
        <w:spacing w:line="360" w:lineRule="auto"/>
        <w:ind w:firstLine="480"/>
        <w:rPr>
          <w:rFonts w:hint="eastAsia" w:asciiTheme="minorEastAsia" w:hAnsiTheme="minorEastAsia" w:eastAsiaTheme="minorEastAsia"/>
          <w:iCs/>
          <w:sz w:val="24"/>
        </w:rPr>
      </w:pPr>
      <w:r>
        <w:rPr>
          <w:rFonts w:eastAsiaTheme="minorEastAsia"/>
          <w:iCs/>
          <w:sz w:val="24"/>
        </w:rPr>
        <w:t xml:space="preserve">4. </w:t>
      </w:r>
      <w:r>
        <w:rPr>
          <w:rFonts w:hint="eastAsia" w:asciiTheme="minorEastAsia" w:hAnsiTheme="minorEastAsia" w:eastAsiaTheme="minorEastAsia"/>
          <w:iCs/>
          <w:sz w:val="24"/>
        </w:rPr>
        <w:t>掌握科学研究的全过程，具备独立进行科学研究的能力。</w:t>
      </w:r>
    </w:p>
    <w:p w14:paraId="3B8A719B">
      <w:pPr>
        <w:adjustRightInd w:val="0"/>
        <w:snapToGrid w:val="0"/>
        <w:spacing w:line="360" w:lineRule="auto"/>
        <w:ind w:firstLine="480"/>
        <w:rPr>
          <w:rFonts w:eastAsiaTheme="minorEastAsia"/>
          <w:iCs/>
          <w:sz w:val="24"/>
        </w:rPr>
      </w:pPr>
      <w:r>
        <w:rPr>
          <w:rFonts w:hint="eastAsia" w:eastAsiaTheme="minorEastAsia"/>
          <w:iCs/>
          <w:sz w:val="24"/>
        </w:rPr>
        <w:t xml:space="preserve">5. </w:t>
      </w:r>
      <w:r>
        <w:rPr>
          <w:rFonts w:eastAsiaTheme="minorEastAsia"/>
          <w:iCs/>
          <w:sz w:val="24"/>
        </w:rPr>
        <w:t>具有良好的团队意识和团队合作精神。</w:t>
      </w:r>
    </w:p>
    <w:p w14:paraId="493521AC">
      <w:pPr>
        <w:adjustRightInd w:val="0"/>
        <w:snapToGrid w:val="0"/>
        <w:spacing w:line="360" w:lineRule="auto"/>
        <w:ind w:firstLine="480"/>
        <w:rPr>
          <w:rFonts w:eastAsiaTheme="minorEastAsia"/>
          <w:iCs/>
          <w:sz w:val="24"/>
        </w:rPr>
      </w:pPr>
      <w:r>
        <w:rPr>
          <w:rFonts w:hint="eastAsia" w:eastAsiaTheme="minorEastAsia"/>
          <w:iCs/>
          <w:sz w:val="24"/>
        </w:rPr>
        <w:t>6</w:t>
      </w:r>
      <w:r>
        <w:rPr>
          <w:rFonts w:eastAsiaTheme="minorEastAsia"/>
          <w:iCs/>
          <w:sz w:val="24"/>
        </w:rPr>
        <w:t>. 具有良好的心理素养。</w:t>
      </w:r>
    </w:p>
    <w:p w14:paraId="16599F93">
      <w:pPr>
        <w:adjustRightInd w:val="0"/>
        <w:snapToGrid w:val="0"/>
        <w:spacing w:line="360" w:lineRule="auto"/>
        <w:ind w:firstLine="480"/>
        <w:rPr>
          <w:rFonts w:eastAsiaTheme="minorEastAsia"/>
          <w:iCs/>
          <w:sz w:val="24"/>
        </w:rPr>
      </w:pPr>
      <w:r>
        <w:rPr>
          <w:rFonts w:hint="eastAsia" w:eastAsiaTheme="minorEastAsia"/>
          <w:iCs/>
          <w:sz w:val="24"/>
        </w:rPr>
        <w:t>7</w:t>
      </w:r>
      <w:r>
        <w:rPr>
          <w:rFonts w:eastAsiaTheme="minorEastAsia"/>
          <w:iCs/>
          <w:sz w:val="24"/>
        </w:rPr>
        <w:t>. 培养德智体美劳全面发展的社会主义事业接班人。</w:t>
      </w:r>
    </w:p>
    <w:p w14:paraId="074B86F3">
      <w:pPr>
        <w:adjustRightInd w:val="0"/>
        <w:snapToGrid w:val="0"/>
        <w:spacing w:line="360" w:lineRule="auto"/>
        <w:ind w:firstLine="560" w:firstLineChars="200"/>
        <w:rPr>
          <w:rFonts w:eastAsia="黑体"/>
          <w:bCs/>
          <w:sz w:val="28"/>
          <w:szCs w:val="28"/>
        </w:rPr>
      </w:pPr>
      <w:r>
        <w:rPr>
          <w:rFonts w:eastAsia="黑体"/>
          <w:bCs/>
          <w:sz w:val="28"/>
          <w:szCs w:val="28"/>
        </w:rPr>
        <w:t>六、培养方式</w:t>
      </w:r>
    </w:p>
    <w:p w14:paraId="7784C2C2">
      <w:pPr>
        <w:adjustRightInd w:val="0"/>
        <w:snapToGrid w:val="0"/>
        <w:spacing w:line="360" w:lineRule="auto"/>
        <w:ind w:firstLine="480" w:firstLineChars="200"/>
        <w:rPr>
          <w:rFonts w:hint="eastAsia" w:asciiTheme="majorEastAsia" w:hAnsiTheme="majorEastAsia" w:eastAsiaTheme="majorEastAsia"/>
          <w:bCs/>
          <w:iCs/>
          <w:sz w:val="24"/>
        </w:rPr>
      </w:pPr>
      <w:r>
        <w:rPr>
          <w:rFonts w:hint="eastAsia" w:asciiTheme="minorEastAsia" w:hAnsiTheme="minorEastAsia" w:eastAsiaTheme="minorEastAsia"/>
          <w:bCs/>
          <w:iCs/>
          <w:sz w:val="24"/>
        </w:rPr>
        <w:t>全日制，统分（非定向）。</w:t>
      </w:r>
    </w:p>
    <w:p w14:paraId="3B308C4E">
      <w:pPr>
        <w:adjustRightInd w:val="0"/>
        <w:snapToGrid w:val="0"/>
        <w:spacing w:line="360" w:lineRule="auto"/>
        <w:ind w:firstLine="560" w:firstLineChars="200"/>
        <w:rPr>
          <w:rFonts w:eastAsia="黑体"/>
          <w:bCs/>
          <w:sz w:val="28"/>
          <w:szCs w:val="28"/>
        </w:rPr>
      </w:pPr>
      <w:r>
        <w:rPr>
          <w:rFonts w:eastAsia="黑体"/>
          <w:bCs/>
          <w:sz w:val="28"/>
          <w:szCs w:val="28"/>
        </w:rPr>
        <w:t>七、中期筛选</w:t>
      </w:r>
    </w:p>
    <w:p w14:paraId="508361AE">
      <w:pPr>
        <w:adjustRightInd w:val="0"/>
        <w:snapToGrid w:val="0"/>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5B4725C7">
      <w:pPr>
        <w:adjustRightInd w:val="0"/>
        <w:snapToGrid w:val="0"/>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2D94C678">
      <w:pPr>
        <w:widowControl/>
        <w:adjustRightInd w:val="0"/>
        <w:snapToGrid w:val="0"/>
        <w:spacing w:line="360" w:lineRule="auto"/>
        <w:ind w:firstLine="482"/>
        <w:jc w:val="left"/>
        <w:rPr>
          <w:color w:val="000000" w:themeColor="text1"/>
          <w:kern w:val="0"/>
          <w:sz w:val="24"/>
          <w14:textFill>
            <w14:solidFill>
              <w14:schemeClr w14:val="tx1"/>
            </w14:solidFill>
          </w14:textFill>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rFonts w:hint="eastAsia"/>
          <w:color w:val="000000" w:themeColor="text1"/>
          <w:kern w:val="0"/>
          <w:sz w:val="24"/>
          <w14:textFill>
            <w14:solidFill>
              <w14:schemeClr w14:val="tx1"/>
            </w14:solidFill>
          </w14:textFill>
        </w:rPr>
        <w:t>研究生必须在导师指导下独立完成学位（毕业）论文。学位（毕业）论文应表明作者较好的掌握了本学科的基础理论、专门知识和基本技能，</w:t>
      </w:r>
      <w:r>
        <w:rPr>
          <w:iCs/>
          <w:kern w:val="0"/>
          <w:sz w:val="24"/>
        </w:rPr>
        <w:t>有独立从事学术研究工作的能力，鼓励硕士研究生参与科学研究，取得创新性成果</w:t>
      </w:r>
      <w:r>
        <w:rPr>
          <w:rFonts w:hint="eastAsia"/>
          <w:iCs/>
          <w:kern w:val="0"/>
          <w:sz w:val="24"/>
        </w:rPr>
        <w:t>。</w:t>
      </w:r>
      <w:r>
        <w:rPr>
          <w:rFonts w:hint="eastAsia"/>
          <w:color w:val="000000" w:themeColor="text1"/>
          <w:kern w:val="0"/>
          <w:sz w:val="24"/>
          <w14:textFill>
            <w14:solidFill>
              <w14:schemeClr w14:val="tx1"/>
            </w14:solidFill>
          </w14:textFill>
        </w:rPr>
        <w:t>学术硕士学位（毕业）论文的研究工作必须经过开题、预答辩、评审、答辩等环节。</w:t>
      </w:r>
    </w:p>
    <w:p w14:paraId="1DC59651">
      <w:pPr>
        <w:widowControl/>
        <w:adjustRightInd w:val="0"/>
        <w:snapToGrid w:val="0"/>
        <w:spacing w:line="360" w:lineRule="auto"/>
        <w:ind w:firstLine="482"/>
        <w:jc w:val="left"/>
        <w:rPr>
          <w:iCs/>
          <w:kern w:val="0"/>
          <w:sz w:val="18"/>
          <w:szCs w:val="18"/>
        </w:rPr>
      </w:pPr>
      <w:r>
        <w:rPr>
          <w:bCs/>
          <w:color w:val="222222"/>
          <w:kern w:val="0"/>
          <w:sz w:val="24"/>
        </w:rPr>
        <w:t>2.开题：</w:t>
      </w:r>
      <w:r>
        <w:rPr>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40245A4C">
      <w:pPr>
        <w:widowControl/>
        <w:adjustRightInd w:val="0"/>
        <w:snapToGrid w:val="0"/>
        <w:spacing w:line="360" w:lineRule="auto"/>
        <w:ind w:firstLine="482"/>
        <w:jc w:val="left"/>
        <w:rPr>
          <w:iCs/>
          <w:kern w:val="0"/>
          <w:sz w:val="18"/>
          <w:szCs w:val="18"/>
        </w:rPr>
      </w:pPr>
      <w:r>
        <w:rPr>
          <w:iCs/>
          <w:kern w:val="0"/>
          <w:sz w:val="24"/>
        </w:rPr>
        <w:t>原则上在入学后第3学期（最迟不超过第4学期）完成开题。开题</w:t>
      </w:r>
      <w:bookmarkStart w:id="1" w:name="_Hlk195599633"/>
      <w:r>
        <w:rPr>
          <w:iCs/>
          <w:kern w:val="0"/>
          <w:sz w:val="24"/>
        </w:rPr>
        <w:t>由3-5名具有高级专业技术职务人员参加，以学术报告的方式进行。</w:t>
      </w:r>
    </w:p>
    <w:bookmarkEnd w:id="1"/>
    <w:p w14:paraId="4DA8EA47">
      <w:pPr>
        <w:widowControl/>
        <w:adjustRightInd w:val="0"/>
        <w:snapToGrid w:val="0"/>
        <w:spacing w:line="360" w:lineRule="auto"/>
        <w:ind w:firstLine="482"/>
        <w:jc w:val="left"/>
        <w:rPr>
          <w:iCs/>
          <w:kern w:val="0"/>
          <w:sz w:val="24"/>
        </w:rPr>
      </w:pPr>
      <w:r>
        <w:rPr>
          <w:bCs/>
          <w:color w:val="222222"/>
          <w:kern w:val="0"/>
          <w:sz w:val="24"/>
        </w:rPr>
        <w:t>3.中期进展报告：</w:t>
      </w:r>
      <w:r>
        <w:rPr>
          <w:iCs/>
          <w:kern w:val="0"/>
          <w:sz w:val="24"/>
        </w:rPr>
        <w:t>中期进展报告是检查研究生个人综合能力及学位论文进展、指导研究生把握学位（毕业）论文方向、提高学位（毕业）论文质量的必要环节。中期进展报告原则上应在入学后第5学期进行；中期考核</w:t>
      </w:r>
      <w:r>
        <w:rPr>
          <w:rFonts w:hint="eastAsia"/>
          <w:iCs/>
          <w:kern w:val="0"/>
          <w:sz w:val="24"/>
        </w:rPr>
        <w:t>由3-5名具有高级专业技术职务人员参加，以学术报告的方式进行。</w:t>
      </w:r>
    </w:p>
    <w:p w14:paraId="6430895F">
      <w:pPr>
        <w:widowControl/>
        <w:adjustRightInd w:val="0"/>
        <w:snapToGrid w:val="0"/>
        <w:spacing w:line="360" w:lineRule="auto"/>
        <w:ind w:firstLine="482"/>
        <w:jc w:val="left"/>
        <w:rPr>
          <w:iCs/>
          <w:kern w:val="0"/>
          <w:sz w:val="24"/>
        </w:rPr>
      </w:pPr>
      <w:r>
        <w:rPr>
          <w:bCs/>
          <w:color w:val="222222"/>
          <w:kern w:val="0"/>
          <w:sz w:val="24"/>
        </w:rPr>
        <w:t>4.学位申请：</w:t>
      </w:r>
      <w:r>
        <w:rPr>
          <w:iCs/>
          <w:kern w:val="0"/>
          <w:sz w:val="24"/>
        </w:rPr>
        <w:t>达到学位授予条件的申请人，经导师同意后，应于答辩前三个月，向所属学位评定分委员会提出学位申请，提交学位申请材料。</w:t>
      </w:r>
    </w:p>
    <w:p w14:paraId="3512EAB6">
      <w:pPr>
        <w:widowControl/>
        <w:adjustRightInd w:val="0"/>
        <w:snapToGrid w:val="0"/>
        <w:spacing w:line="360" w:lineRule="auto"/>
        <w:ind w:firstLine="482"/>
        <w:jc w:val="left"/>
        <w:rPr>
          <w:i/>
          <w:color w:val="FF0000"/>
          <w:kern w:val="0"/>
          <w:sz w:val="24"/>
        </w:rPr>
      </w:pPr>
      <w:r>
        <w:rPr>
          <w:bCs/>
          <w:color w:val="222222"/>
          <w:kern w:val="0"/>
          <w:sz w:val="24"/>
        </w:rPr>
        <w:t>5.预答辩：</w:t>
      </w:r>
      <w:r>
        <w:rPr>
          <w:iCs/>
          <w:kern w:val="0"/>
          <w:sz w:val="24"/>
        </w:rPr>
        <w:t>学位申请人须进行学位论文预答辩。预答辩通过者，方可进入学位论文评阅、学位论文答辩等环节。学位（毕业）论文预答辩在正式答辩前3个月进行</w:t>
      </w:r>
      <w:r>
        <w:rPr>
          <w:rFonts w:hint="eastAsia"/>
          <w:iCs/>
          <w:kern w:val="0"/>
          <w:sz w:val="24"/>
        </w:rPr>
        <w:t>，预答辩小组由3-5名具有高级专业技术职务人员组成，组长需具有正高级职称和硕士研究生导师资格</w:t>
      </w:r>
      <w:r>
        <w:rPr>
          <w:iCs/>
          <w:kern w:val="0"/>
          <w:sz w:val="24"/>
        </w:rPr>
        <w:t>。</w:t>
      </w:r>
    </w:p>
    <w:p w14:paraId="31C322DB">
      <w:pPr>
        <w:widowControl/>
        <w:adjustRightInd w:val="0"/>
        <w:snapToGrid w:val="0"/>
        <w:spacing w:line="360" w:lineRule="auto"/>
        <w:ind w:firstLine="482"/>
        <w:jc w:val="left"/>
        <w:rPr>
          <w:iCs/>
          <w:kern w:val="0"/>
          <w:sz w:val="24"/>
        </w:rPr>
      </w:pPr>
      <w:r>
        <w:rPr>
          <w:iCs/>
          <w:kern w:val="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261D0420">
      <w:pPr>
        <w:widowControl/>
        <w:adjustRightInd w:val="0"/>
        <w:snapToGrid w:val="0"/>
        <w:spacing w:line="360" w:lineRule="auto"/>
        <w:ind w:firstLine="482"/>
        <w:jc w:val="left"/>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42340DED">
      <w:pPr>
        <w:adjustRightInd w:val="0"/>
        <w:snapToGrid w:val="0"/>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62070FD1">
      <w:pPr>
        <w:adjustRightInd w:val="0"/>
        <w:snapToGrid w:val="0"/>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43F6B325">
      <w:pPr>
        <w:adjustRightInd w:val="0"/>
        <w:snapToGrid w:val="0"/>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w:t>
      </w:r>
      <w:r>
        <w:rPr>
          <w:rFonts w:eastAsiaTheme="minorEastAsia"/>
          <w:sz w:val="24"/>
        </w:rPr>
        <w:t>于10次学术活动，并撰写学术报告小结；以主讲人或宣讲人身份，参加在校内外举行的学术报告或学术讲座不少于1次</w:t>
      </w:r>
      <w:r>
        <w:rPr>
          <w:rFonts w:eastAsiaTheme="minorEastAsia"/>
          <w:color w:val="000000"/>
          <w:sz w:val="24"/>
        </w:rPr>
        <w:t>。</w:t>
      </w:r>
    </w:p>
    <w:p w14:paraId="38BA6B07">
      <w:pPr>
        <w:adjustRightInd w:val="0"/>
        <w:snapToGrid w:val="0"/>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62A8AC94">
      <w:pPr>
        <w:adjustRightInd w:val="0"/>
        <w:snapToGrid w:val="0"/>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7BF19D14">
      <w:pPr>
        <w:adjustRightInd w:val="0"/>
        <w:snapToGrid w:val="0"/>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7F23F702">
      <w:pPr>
        <w:adjustRightInd w:val="0"/>
        <w:snapToGrid w:val="0"/>
        <w:spacing w:line="360" w:lineRule="auto"/>
        <w:ind w:firstLine="480" w:firstLineChars="200"/>
        <w:rPr>
          <w:rFonts w:eastAsiaTheme="minorEastAsia"/>
          <w:iCs/>
          <w:sz w:val="24"/>
        </w:rPr>
      </w:pPr>
      <w:r>
        <w:rPr>
          <w:rFonts w:hint="eastAsia" w:eastAsiaTheme="minorEastAsia"/>
          <w:iCs/>
          <w:sz w:val="24"/>
        </w:rPr>
        <w:t>按照“生命科学学院关于研究生申请学位取得创新性成果的规定”执行。</w:t>
      </w:r>
    </w:p>
    <w:p w14:paraId="21C7F38D">
      <w:pPr>
        <w:adjustRightInd w:val="0"/>
        <w:snapToGrid w:val="0"/>
        <w:spacing w:line="360" w:lineRule="auto"/>
        <w:ind w:firstLine="560" w:firstLineChars="200"/>
        <w:rPr>
          <w:rFonts w:eastAsia="黑体"/>
          <w:bCs/>
          <w:sz w:val="28"/>
          <w:szCs w:val="28"/>
        </w:rPr>
      </w:pPr>
      <w:r>
        <w:rPr>
          <w:rFonts w:eastAsia="黑体"/>
          <w:bCs/>
          <w:sz w:val="28"/>
          <w:szCs w:val="28"/>
        </w:rPr>
        <w:t>十一、学位授予</w:t>
      </w:r>
    </w:p>
    <w:p w14:paraId="0ED72A63">
      <w:pPr>
        <w:adjustRightInd w:val="0"/>
        <w:snapToGrid w:val="0"/>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w:t>
      </w:r>
      <w:r>
        <w:rPr>
          <w:rFonts w:hint="eastAsia"/>
          <w:iCs/>
          <w:kern w:val="0"/>
          <w:sz w:val="24"/>
        </w:rPr>
        <w:t>生命科学学院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6F81DA59">
      <w:pPr>
        <w:adjustRightInd w:val="0"/>
        <w:snapToGrid w:val="0"/>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3A285FC">
      <w:pPr>
        <w:adjustRightInd w:val="0"/>
        <w:snapToGrid w:val="0"/>
        <w:spacing w:line="360" w:lineRule="auto"/>
        <w:ind w:firstLine="480" w:firstLineChars="200"/>
        <w:rPr>
          <w:rFonts w:eastAsiaTheme="minorEastAsia"/>
          <w:color w:val="000000"/>
          <w:sz w:val="24"/>
        </w:rPr>
      </w:pPr>
      <w:r>
        <w:rPr>
          <w:rFonts w:eastAsiaTheme="minorEastAsia"/>
          <w:sz w:val="24"/>
        </w:rPr>
        <w:t>本专业最低毕业学分为</w:t>
      </w:r>
      <w:r>
        <w:rPr>
          <w:rFonts w:hint="eastAsia" w:eastAsiaTheme="minorEastAsia"/>
          <w:sz w:val="24"/>
        </w:rPr>
        <w:t>24</w:t>
      </w:r>
      <w:r>
        <w:rPr>
          <w:rFonts w:eastAsiaTheme="minorEastAsia"/>
          <w:sz w:val="24"/>
        </w:rPr>
        <w:t>分，其中学位课</w:t>
      </w:r>
      <w:r>
        <w:rPr>
          <w:rFonts w:hint="eastAsia" w:eastAsiaTheme="minorEastAsia"/>
          <w:sz w:val="24"/>
        </w:rPr>
        <w:t>17</w:t>
      </w:r>
      <w:r>
        <w:rPr>
          <w:rFonts w:eastAsiaTheme="minorEastAsia"/>
          <w:sz w:val="24"/>
        </w:rPr>
        <w:t>学分，非学位课</w:t>
      </w:r>
      <w:r>
        <w:rPr>
          <w:rFonts w:hint="eastAsia" w:eastAsiaTheme="minorEastAsia"/>
          <w:sz w:val="24"/>
        </w:rPr>
        <w:t>6</w:t>
      </w:r>
      <w:r>
        <w:rPr>
          <w:rFonts w:eastAsiaTheme="minorEastAsia"/>
          <w:sz w:val="24"/>
        </w:rPr>
        <w:t>学分，必修环节</w:t>
      </w:r>
      <w:r>
        <w:rPr>
          <w:rFonts w:hint="eastAsia" w:eastAsiaTheme="minorEastAsia"/>
          <w:sz w:val="24"/>
        </w:rPr>
        <w:t>1</w:t>
      </w:r>
      <w:r>
        <w:rPr>
          <w:rFonts w:eastAsiaTheme="minorEastAsia"/>
          <w:color w:val="000000"/>
          <w:sz w:val="24"/>
        </w:rPr>
        <w:t>分。</w:t>
      </w:r>
    </w:p>
    <w:p w14:paraId="6CFB05E9">
      <w:pPr>
        <w:adjustRightInd w:val="0"/>
        <w:snapToGrid w:val="0"/>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3288AE5B">
      <w:pPr>
        <w:adjustRightInd w:val="0"/>
        <w:snapToGrid w:val="0"/>
        <w:spacing w:line="360" w:lineRule="auto"/>
        <w:jc w:val="center"/>
        <w:rPr>
          <w:rFonts w:eastAsiaTheme="minorEastAsia"/>
          <w:b/>
          <w:bCs/>
          <w:sz w:val="24"/>
        </w:rPr>
      </w:pPr>
      <w:r>
        <w:rPr>
          <w:rFonts w:hint="eastAsia" w:eastAsiaTheme="minorEastAsia"/>
          <w:b/>
          <w:bCs/>
          <w:sz w:val="24"/>
        </w:rPr>
        <w:t>微生物学</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58DEA7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095AC74">
            <w:pPr>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4905BE59">
            <w:pPr>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7C643EDC">
            <w:pPr>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2CCC78A8">
            <w:pPr>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3B3D8CE3">
            <w:pPr>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4352C1B9">
            <w:pPr>
              <w:adjustRightInd w:val="0"/>
              <w:snapToGrid w:val="0"/>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04A9EA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70C15D4A">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4524D333">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30C713FC">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605676D2">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7019530B">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1693B766">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3BEF74D5">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6C61F2BB">
            <w:pPr>
              <w:adjustRightInd w:val="0"/>
              <w:snapToGrid w:val="0"/>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F8969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05998A09">
            <w:pPr>
              <w:adjustRightInd w:val="0"/>
              <w:snapToGrid w:val="0"/>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6E513350">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3C2A7F2C">
            <w:pPr>
              <w:adjustRightInd w:val="0"/>
              <w:snapToGrid w:val="0"/>
              <w:spacing w:line="360" w:lineRule="auto"/>
              <w:rPr>
                <w:sz w:val="18"/>
                <w:szCs w:val="18"/>
              </w:rPr>
            </w:pPr>
            <w:r>
              <w:rPr>
                <w:sz w:val="18"/>
                <w:szCs w:val="18"/>
              </w:rPr>
              <w:t>通用学术英语</w:t>
            </w:r>
          </w:p>
        </w:tc>
        <w:tc>
          <w:tcPr>
            <w:tcW w:w="1081" w:type="dxa"/>
            <w:vAlign w:val="center"/>
          </w:tcPr>
          <w:p w14:paraId="455D7F3E">
            <w:pPr>
              <w:adjustRightInd w:val="0"/>
              <w:snapToGrid w:val="0"/>
              <w:spacing w:line="360" w:lineRule="auto"/>
              <w:jc w:val="center"/>
              <w:rPr>
                <w:sz w:val="18"/>
                <w:szCs w:val="18"/>
              </w:rPr>
            </w:pPr>
            <w:r>
              <w:rPr>
                <w:sz w:val="18"/>
                <w:szCs w:val="18"/>
              </w:rPr>
              <w:t>TS0000002</w:t>
            </w:r>
          </w:p>
        </w:tc>
        <w:tc>
          <w:tcPr>
            <w:tcW w:w="709" w:type="dxa"/>
            <w:vAlign w:val="center"/>
          </w:tcPr>
          <w:p w14:paraId="2EE75992">
            <w:pPr>
              <w:adjustRightInd w:val="0"/>
              <w:snapToGrid w:val="0"/>
              <w:spacing w:line="360" w:lineRule="auto"/>
              <w:jc w:val="center"/>
              <w:rPr>
                <w:sz w:val="18"/>
                <w:szCs w:val="18"/>
              </w:rPr>
            </w:pPr>
            <w:r>
              <w:rPr>
                <w:sz w:val="18"/>
                <w:szCs w:val="18"/>
              </w:rPr>
              <w:t>2</w:t>
            </w:r>
          </w:p>
        </w:tc>
        <w:tc>
          <w:tcPr>
            <w:tcW w:w="709" w:type="dxa"/>
            <w:vAlign w:val="center"/>
          </w:tcPr>
          <w:p w14:paraId="7C640D07">
            <w:pPr>
              <w:adjustRightInd w:val="0"/>
              <w:snapToGrid w:val="0"/>
              <w:spacing w:line="360" w:lineRule="auto"/>
              <w:jc w:val="center"/>
              <w:rPr>
                <w:sz w:val="18"/>
                <w:szCs w:val="18"/>
              </w:rPr>
            </w:pPr>
            <w:r>
              <w:rPr>
                <w:sz w:val="18"/>
                <w:szCs w:val="18"/>
              </w:rPr>
              <w:t>1</w:t>
            </w:r>
          </w:p>
        </w:tc>
        <w:tc>
          <w:tcPr>
            <w:tcW w:w="1045" w:type="dxa"/>
            <w:vAlign w:val="center"/>
          </w:tcPr>
          <w:p w14:paraId="2554C154">
            <w:pPr>
              <w:adjustRightInd w:val="0"/>
              <w:snapToGrid w:val="0"/>
              <w:spacing w:line="360" w:lineRule="auto"/>
              <w:jc w:val="center"/>
              <w:rPr>
                <w:sz w:val="18"/>
                <w:szCs w:val="18"/>
              </w:rPr>
            </w:pPr>
            <w:r>
              <w:rPr>
                <w:rFonts w:hint="eastAsia"/>
                <w:sz w:val="18"/>
                <w:szCs w:val="18"/>
              </w:rPr>
              <w:t>考查</w:t>
            </w:r>
          </w:p>
        </w:tc>
      </w:tr>
      <w:tr w14:paraId="0DAF2F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5A86B4B">
            <w:pPr>
              <w:adjustRightInd w:val="0"/>
              <w:snapToGrid w:val="0"/>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7928D45D">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2E67F5DD">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8</w:t>
            </w:r>
            <w:r>
              <w:rPr>
                <w:b/>
                <w:color w:val="000000" w:themeColor="text1"/>
                <w:sz w:val="18"/>
                <w:szCs w:val="18"/>
                <w14:textFill>
                  <w14:solidFill>
                    <w14:schemeClr w14:val="tx1"/>
                  </w14:solidFill>
                </w14:textFill>
              </w:rPr>
              <w:t>学分）</w:t>
            </w:r>
          </w:p>
        </w:tc>
        <w:tc>
          <w:tcPr>
            <w:tcW w:w="3516" w:type="dxa"/>
            <w:vAlign w:val="center"/>
          </w:tcPr>
          <w:p w14:paraId="654FDF59">
            <w:pPr>
              <w:adjustRightInd w:val="0"/>
              <w:snapToGrid w:val="0"/>
              <w:spacing w:line="360" w:lineRule="auto"/>
              <w:rPr>
                <w:color w:val="000000" w:themeColor="text1"/>
                <w:sz w:val="18"/>
                <w:szCs w:val="18"/>
                <w14:textFill>
                  <w14:solidFill>
                    <w14:schemeClr w14:val="tx1"/>
                  </w14:solidFill>
                </w14:textFill>
              </w:rPr>
            </w:pPr>
            <w:bookmarkStart w:id="2" w:name="OLE_LINK1"/>
            <w:r>
              <w:rPr>
                <w:color w:val="000000" w:themeColor="text1"/>
                <w:sz w:val="18"/>
                <w:szCs w:val="18"/>
                <w14:textFill>
                  <w14:solidFill>
                    <w14:schemeClr w14:val="tx1"/>
                  </w14:solidFill>
                </w14:textFill>
              </w:rPr>
              <w:t>学术道德与论文写作</w:t>
            </w:r>
            <w:bookmarkEnd w:id="2"/>
          </w:p>
        </w:tc>
        <w:tc>
          <w:tcPr>
            <w:tcW w:w="1081" w:type="dxa"/>
            <w:vAlign w:val="center"/>
          </w:tcPr>
          <w:p w14:paraId="44383EC9">
            <w:pPr>
              <w:widowControl/>
              <w:jc w:val="center"/>
              <w:textAlignment w:val="center"/>
              <w:rPr>
                <w:i/>
                <w:color w:val="FF0000"/>
                <w:sz w:val="18"/>
                <w:szCs w:val="18"/>
              </w:rPr>
            </w:pPr>
            <w:r>
              <w:rPr>
                <w:rFonts w:eastAsia="等线"/>
                <w:color w:val="000000"/>
                <w:kern w:val="0"/>
                <w:sz w:val="18"/>
                <w:szCs w:val="18"/>
                <w:lang w:bidi="ar"/>
              </w:rPr>
              <w:t>XS1200001</w:t>
            </w:r>
          </w:p>
        </w:tc>
        <w:tc>
          <w:tcPr>
            <w:tcW w:w="709" w:type="dxa"/>
            <w:vAlign w:val="center"/>
          </w:tcPr>
          <w:p w14:paraId="3CCD7C9C">
            <w:pPr>
              <w:adjustRightInd w:val="0"/>
              <w:snapToGrid w:val="0"/>
              <w:spacing w:line="360" w:lineRule="auto"/>
              <w:jc w:val="center"/>
              <w:rPr>
                <w:iCs/>
              </w:rPr>
            </w:pPr>
            <w:r>
              <w:rPr>
                <w:rFonts w:hint="eastAsia"/>
                <w:iCs/>
                <w:sz w:val="18"/>
                <w:szCs w:val="18"/>
              </w:rPr>
              <w:t>2</w:t>
            </w:r>
          </w:p>
        </w:tc>
        <w:tc>
          <w:tcPr>
            <w:tcW w:w="709" w:type="dxa"/>
            <w:vAlign w:val="center"/>
          </w:tcPr>
          <w:p w14:paraId="3232537A">
            <w:pPr>
              <w:adjustRightInd w:val="0"/>
              <w:snapToGrid w:val="0"/>
              <w:spacing w:line="360" w:lineRule="auto"/>
              <w:jc w:val="center"/>
              <w:rPr>
                <w:iCs/>
              </w:rPr>
            </w:pPr>
            <w:r>
              <w:rPr>
                <w:rFonts w:hint="eastAsia"/>
                <w:iCs/>
                <w:sz w:val="18"/>
                <w:szCs w:val="18"/>
              </w:rPr>
              <w:t>1</w:t>
            </w:r>
          </w:p>
        </w:tc>
        <w:tc>
          <w:tcPr>
            <w:tcW w:w="1045" w:type="dxa"/>
            <w:vAlign w:val="center"/>
          </w:tcPr>
          <w:p w14:paraId="4FB92AE3">
            <w:pPr>
              <w:adjustRightInd w:val="0"/>
              <w:snapToGrid w:val="0"/>
              <w:spacing w:line="360" w:lineRule="auto"/>
              <w:jc w:val="center"/>
              <w:rPr>
                <w:i/>
                <w:color w:val="FF0000"/>
                <w:sz w:val="18"/>
                <w:szCs w:val="18"/>
              </w:rPr>
            </w:pPr>
            <w:r>
              <w:rPr>
                <w:rFonts w:hint="eastAsia"/>
                <w:sz w:val="18"/>
                <w:szCs w:val="18"/>
              </w:rPr>
              <w:t>考查</w:t>
            </w:r>
          </w:p>
        </w:tc>
      </w:tr>
      <w:tr w14:paraId="57F68D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4CA273E">
            <w:pPr>
              <w:adjustRightInd w:val="0"/>
              <w:snapToGrid w:val="0"/>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2A501F7C">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71EA3ED9">
            <w:pPr>
              <w:adjustRightInd w:val="0"/>
              <w:snapToGrid w:val="0"/>
              <w:spacing w:line="360" w:lineRule="auto"/>
              <w:rPr>
                <w:iCs/>
                <w:color w:val="FF0000"/>
                <w:sz w:val="18"/>
                <w:szCs w:val="18"/>
              </w:rPr>
            </w:pPr>
            <w:r>
              <w:rPr>
                <w:rFonts w:hint="eastAsia"/>
                <w:sz w:val="18"/>
                <w:szCs w:val="18"/>
              </w:rPr>
              <w:t>生物信息与生物统计</w:t>
            </w:r>
          </w:p>
        </w:tc>
        <w:tc>
          <w:tcPr>
            <w:tcW w:w="1081" w:type="dxa"/>
            <w:vAlign w:val="center"/>
          </w:tcPr>
          <w:p w14:paraId="4279EFD6">
            <w:pPr>
              <w:widowControl/>
              <w:jc w:val="center"/>
              <w:textAlignment w:val="center"/>
              <w:rPr>
                <w:color w:val="FF0000"/>
                <w:sz w:val="18"/>
                <w:szCs w:val="18"/>
              </w:rPr>
            </w:pPr>
            <w:r>
              <w:rPr>
                <w:rFonts w:eastAsia="等线"/>
                <w:color w:val="000000"/>
                <w:kern w:val="0"/>
                <w:sz w:val="18"/>
                <w:szCs w:val="18"/>
                <w:lang w:bidi="ar"/>
              </w:rPr>
              <w:t>XS1201001</w:t>
            </w:r>
          </w:p>
        </w:tc>
        <w:tc>
          <w:tcPr>
            <w:tcW w:w="709" w:type="dxa"/>
            <w:vAlign w:val="center"/>
          </w:tcPr>
          <w:p w14:paraId="5AF2B8E3">
            <w:pPr>
              <w:adjustRightInd w:val="0"/>
              <w:snapToGrid w:val="0"/>
              <w:spacing w:line="360" w:lineRule="auto"/>
              <w:jc w:val="center"/>
              <w:rPr>
                <w:iCs/>
              </w:rPr>
            </w:pPr>
            <w:r>
              <w:rPr>
                <w:rFonts w:hint="eastAsia"/>
                <w:iCs/>
                <w:sz w:val="18"/>
                <w:szCs w:val="18"/>
              </w:rPr>
              <w:t>3</w:t>
            </w:r>
          </w:p>
        </w:tc>
        <w:tc>
          <w:tcPr>
            <w:tcW w:w="709" w:type="dxa"/>
            <w:vAlign w:val="center"/>
          </w:tcPr>
          <w:p w14:paraId="2CABB5A2">
            <w:pPr>
              <w:adjustRightInd w:val="0"/>
              <w:snapToGrid w:val="0"/>
              <w:spacing w:line="360" w:lineRule="auto"/>
              <w:jc w:val="center"/>
              <w:rPr>
                <w:iCs/>
              </w:rPr>
            </w:pPr>
            <w:r>
              <w:rPr>
                <w:rFonts w:hint="eastAsia"/>
                <w:iCs/>
                <w:sz w:val="18"/>
                <w:szCs w:val="18"/>
              </w:rPr>
              <w:t>1</w:t>
            </w:r>
          </w:p>
        </w:tc>
        <w:tc>
          <w:tcPr>
            <w:tcW w:w="1045" w:type="dxa"/>
            <w:vAlign w:val="center"/>
          </w:tcPr>
          <w:p w14:paraId="5263C12C">
            <w:pPr>
              <w:adjustRightInd w:val="0"/>
              <w:snapToGrid w:val="0"/>
              <w:spacing w:line="360" w:lineRule="auto"/>
              <w:jc w:val="center"/>
              <w:rPr>
                <w:color w:val="FF0000"/>
                <w:sz w:val="18"/>
                <w:szCs w:val="18"/>
              </w:rPr>
            </w:pPr>
            <w:r>
              <w:rPr>
                <w:rFonts w:hint="eastAsia"/>
                <w:sz w:val="18"/>
                <w:szCs w:val="18"/>
              </w:rPr>
              <w:t>考查</w:t>
            </w:r>
          </w:p>
        </w:tc>
      </w:tr>
      <w:tr w14:paraId="4C9F10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88FE94D">
            <w:pPr>
              <w:adjustRightInd w:val="0"/>
              <w:snapToGrid w:val="0"/>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33F5F40F">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7DA0A90E">
            <w:pPr>
              <w:adjustRightInd w:val="0"/>
              <w:snapToGrid w:val="0"/>
              <w:spacing w:line="360" w:lineRule="auto"/>
              <w:rPr>
                <w:iCs/>
                <w:sz w:val="18"/>
                <w:szCs w:val="18"/>
              </w:rPr>
            </w:pPr>
            <w:r>
              <w:rPr>
                <w:rFonts w:hint="eastAsia"/>
                <w:iCs/>
                <w:sz w:val="18"/>
                <w:szCs w:val="18"/>
              </w:rPr>
              <w:t>高级生物化学</w:t>
            </w:r>
          </w:p>
        </w:tc>
        <w:tc>
          <w:tcPr>
            <w:tcW w:w="1081" w:type="dxa"/>
            <w:vAlign w:val="center"/>
          </w:tcPr>
          <w:p w14:paraId="1782747A">
            <w:pPr>
              <w:widowControl/>
              <w:jc w:val="center"/>
              <w:textAlignment w:val="center"/>
              <w:rPr>
                <w:color w:val="FF0000"/>
                <w:sz w:val="18"/>
                <w:szCs w:val="18"/>
              </w:rPr>
            </w:pPr>
            <w:r>
              <w:rPr>
                <w:rFonts w:hint="eastAsia" w:eastAsia="等线"/>
                <w:color w:val="000000"/>
                <w:kern w:val="0"/>
                <w:sz w:val="18"/>
                <w:szCs w:val="18"/>
                <w:lang w:bidi="ar"/>
              </w:rPr>
              <w:t>XS1209013</w:t>
            </w:r>
          </w:p>
        </w:tc>
        <w:tc>
          <w:tcPr>
            <w:tcW w:w="709" w:type="dxa"/>
            <w:vAlign w:val="center"/>
          </w:tcPr>
          <w:p w14:paraId="02BB1F80">
            <w:pPr>
              <w:adjustRightInd w:val="0"/>
              <w:snapToGrid w:val="0"/>
              <w:spacing w:line="360" w:lineRule="auto"/>
              <w:jc w:val="center"/>
              <w:rPr>
                <w:iCs/>
              </w:rPr>
            </w:pPr>
            <w:r>
              <w:rPr>
                <w:rFonts w:hint="eastAsia"/>
                <w:iCs/>
                <w:sz w:val="18"/>
                <w:szCs w:val="18"/>
              </w:rPr>
              <w:t>3</w:t>
            </w:r>
          </w:p>
        </w:tc>
        <w:tc>
          <w:tcPr>
            <w:tcW w:w="709" w:type="dxa"/>
            <w:vAlign w:val="center"/>
          </w:tcPr>
          <w:p w14:paraId="5FB4274C">
            <w:pPr>
              <w:adjustRightInd w:val="0"/>
              <w:snapToGrid w:val="0"/>
              <w:spacing w:line="360" w:lineRule="auto"/>
              <w:jc w:val="center"/>
              <w:rPr>
                <w:iCs/>
              </w:rPr>
            </w:pPr>
            <w:r>
              <w:rPr>
                <w:rFonts w:hint="eastAsia"/>
                <w:iCs/>
                <w:sz w:val="18"/>
                <w:szCs w:val="18"/>
              </w:rPr>
              <w:t>1</w:t>
            </w:r>
          </w:p>
        </w:tc>
        <w:tc>
          <w:tcPr>
            <w:tcW w:w="1045" w:type="dxa"/>
            <w:vAlign w:val="center"/>
          </w:tcPr>
          <w:p w14:paraId="1D54787D">
            <w:pPr>
              <w:adjustRightInd w:val="0"/>
              <w:snapToGrid w:val="0"/>
              <w:spacing w:line="360" w:lineRule="auto"/>
              <w:jc w:val="center"/>
              <w:rPr>
                <w:rFonts w:hint="eastAsia" w:eastAsia="宋体"/>
                <w:color w:val="FF0000"/>
                <w:sz w:val="18"/>
                <w:szCs w:val="18"/>
                <w:lang w:eastAsia="zh-CN"/>
              </w:rPr>
            </w:pPr>
            <w:r>
              <w:rPr>
                <w:rFonts w:hint="eastAsia"/>
                <w:sz w:val="18"/>
                <w:szCs w:val="18"/>
                <w:lang w:val="en-US" w:eastAsia="zh-CN"/>
              </w:rPr>
              <w:t>考试</w:t>
            </w:r>
          </w:p>
        </w:tc>
      </w:tr>
      <w:tr w14:paraId="0231E84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D537312">
            <w:pPr>
              <w:adjustRightInd w:val="0"/>
              <w:snapToGrid w:val="0"/>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557225AC">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71C10CD">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5</w:t>
            </w:r>
            <w:r>
              <w:rPr>
                <w:b/>
                <w:color w:val="000000" w:themeColor="text1"/>
                <w:sz w:val="18"/>
                <w:szCs w:val="18"/>
                <w14:textFill>
                  <w14:solidFill>
                    <w14:schemeClr w14:val="tx1"/>
                  </w14:solidFill>
                </w14:textFill>
              </w:rPr>
              <w:t>学分）</w:t>
            </w:r>
          </w:p>
        </w:tc>
        <w:tc>
          <w:tcPr>
            <w:tcW w:w="3516" w:type="dxa"/>
          </w:tcPr>
          <w:p w14:paraId="2ABD4FBB">
            <w:pPr>
              <w:adjustRightInd w:val="0"/>
              <w:snapToGrid w:val="0"/>
              <w:spacing w:line="360" w:lineRule="auto"/>
              <w:rPr>
                <w:iCs/>
              </w:rPr>
            </w:pPr>
            <w:r>
              <w:rPr>
                <w:rFonts w:hint="eastAsia"/>
                <w:iCs/>
                <w:sz w:val="18"/>
                <w:szCs w:val="18"/>
              </w:rPr>
              <w:t>微生物学及应用</w:t>
            </w:r>
          </w:p>
        </w:tc>
        <w:tc>
          <w:tcPr>
            <w:tcW w:w="1081" w:type="dxa"/>
            <w:vAlign w:val="center"/>
          </w:tcPr>
          <w:p w14:paraId="3BA888CF">
            <w:pPr>
              <w:widowControl/>
              <w:jc w:val="center"/>
              <w:textAlignment w:val="center"/>
              <w:rPr>
                <w:color w:val="FF0000"/>
                <w:sz w:val="18"/>
                <w:szCs w:val="18"/>
              </w:rPr>
            </w:pPr>
            <w:r>
              <w:rPr>
                <w:rFonts w:eastAsia="等线"/>
                <w:color w:val="000000"/>
                <w:kern w:val="0"/>
                <w:sz w:val="18"/>
                <w:szCs w:val="18"/>
                <w:lang w:bidi="ar"/>
              </w:rPr>
              <w:t>XS1200206</w:t>
            </w:r>
          </w:p>
        </w:tc>
        <w:tc>
          <w:tcPr>
            <w:tcW w:w="709" w:type="dxa"/>
            <w:vAlign w:val="center"/>
          </w:tcPr>
          <w:p w14:paraId="4B9538CD">
            <w:pPr>
              <w:adjustRightInd w:val="0"/>
              <w:snapToGrid w:val="0"/>
              <w:spacing w:line="360" w:lineRule="auto"/>
              <w:jc w:val="center"/>
              <w:rPr>
                <w:iCs/>
              </w:rPr>
            </w:pPr>
            <w:r>
              <w:rPr>
                <w:rFonts w:hint="eastAsia"/>
                <w:iCs/>
                <w:sz w:val="18"/>
                <w:szCs w:val="18"/>
              </w:rPr>
              <w:t>3</w:t>
            </w:r>
          </w:p>
        </w:tc>
        <w:tc>
          <w:tcPr>
            <w:tcW w:w="709" w:type="dxa"/>
            <w:vAlign w:val="center"/>
          </w:tcPr>
          <w:p w14:paraId="36B0F4E1">
            <w:pPr>
              <w:adjustRightInd w:val="0"/>
              <w:snapToGrid w:val="0"/>
              <w:spacing w:line="360" w:lineRule="auto"/>
              <w:jc w:val="center"/>
              <w:rPr>
                <w:iCs/>
              </w:rPr>
            </w:pPr>
            <w:r>
              <w:rPr>
                <w:rFonts w:hint="eastAsia"/>
                <w:iCs/>
                <w:sz w:val="18"/>
                <w:szCs w:val="18"/>
              </w:rPr>
              <w:t>1</w:t>
            </w:r>
          </w:p>
        </w:tc>
        <w:tc>
          <w:tcPr>
            <w:tcW w:w="1045" w:type="dxa"/>
            <w:vAlign w:val="center"/>
          </w:tcPr>
          <w:p w14:paraId="3DAF1E80">
            <w:pPr>
              <w:adjustRightInd w:val="0"/>
              <w:snapToGrid w:val="0"/>
              <w:spacing w:line="360" w:lineRule="auto"/>
              <w:jc w:val="center"/>
              <w:rPr>
                <w:color w:val="FF0000"/>
                <w:sz w:val="18"/>
                <w:szCs w:val="18"/>
              </w:rPr>
            </w:pPr>
            <w:r>
              <w:rPr>
                <w:rFonts w:hint="eastAsia"/>
                <w:sz w:val="18"/>
                <w:szCs w:val="18"/>
              </w:rPr>
              <w:t>考查</w:t>
            </w:r>
          </w:p>
        </w:tc>
      </w:tr>
      <w:tr w14:paraId="730A77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FA87BC1">
            <w:pPr>
              <w:adjustRightInd w:val="0"/>
              <w:snapToGrid w:val="0"/>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0DA0690B">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5DEA91E0">
            <w:pPr>
              <w:adjustRightInd w:val="0"/>
              <w:snapToGrid w:val="0"/>
              <w:spacing w:line="360" w:lineRule="auto"/>
            </w:pPr>
            <w:r>
              <w:rPr>
                <w:rFonts w:hint="eastAsia"/>
                <w:iCs/>
                <w:sz w:val="18"/>
                <w:szCs w:val="18"/>
              </w:rPr>
              <w:t>生命科学前沿研究</w:t>
            </w:r>
          </w:p>
        </w:tc>
        <w:tc>
          <w:tcPr>
            <w:tcW w:w="1081" w:type="dxa"/>
            <w:vAlign w:val="center"/>
          </w:tcPr>
          <w:p w14:paraId="0AEB3823">
            <w:pPr>
              <w:widowControl/>
              <w:jc w:val="center"/>
              <w:textAlignment w:val="center"/>
              <w:rPr>
                <w:color w:val="FF0000"/>
                <w:sz w:val="18"/>
                <w:szCs w:val="18"/>
              </w:rPr>
            </w:pPr>
            <w:r>
              <w:rPr>
                <w:rFonts w:eastAsia="等线"/>
                <w:color w:val="000000"/>
                <w:kern w:val="0"/>
                <w:sz w:val="18"/>
                <w:szCs w:val="18"/>
                <w:lang w:bidi="ar"/>
              </w:rPr>
              <w:t>XS1200003</w:t>
            </w:r>
          </w:p>
        </w:tc>
        <w:tc>
          <w:tcPr>
            <w:tcW w:w="709" w:type="dxa"/>
          </w:tcPr>
          <w:p w14:paraId="7CD5508E">
            <w:pPr>
              <w:adjustRightInd w:val="0"/>
              <w:snapToGrid w:val="0"/>
              <w:spacing w:line="360" w:lineRule="auto"/>
              <w:jc w:val="center"/>
              <w:rPr>
                <w:color w:val="FF0000"/>
              </w:rPr>
            </w:pPr>
            <w:r>
              <w:rPr>
                <w:sz w:val="18"/>
                <w:szCs w:val="18"/>
              </w:rPr>
              <w:t>2</w:t>
            </w:r>
          </w:p>
        </w:tc>
        <w:tc>
          <w:tcPr>
            <w:tcW w:w="709" w:type="dxa"/>
          </w:tcPr>
          <w:p w14:paraId="1E80607B">
            <w:pPr>
              <w:adjustRightInd w:val="0"/>
              <w:snapToGrid w:val="0"/>
              <w:spacing w:line="360" w:lineRule="auto"/>
              <w:jc w:val="center"/>
              <w:rPr>
                <w:color w:val="FF0000"/>
              </w:rPr>
            </w:pPr>
            <w:r>
              <w:rPr>
                <w:sz w:val="18"/>
                <w:szCs w:val="18"/>
              </w:rPr>
              <w:t>1</w:t>
            </w:r>
          </w:p>
        </w:tc>
        <w:tc>
          <w:tcPr>
            <w:tcW w:w="1045" w:type="dxa"/>
            <w:vAlign w:val="center"/>
          </w:tcPr>
          <w:p w14:paraId="3E022321">
            <w:pPr>
              <w:adjustRightInd w:val="0"/>
              <w:snapToGrid w:val="0"/>
              <w:spacing w:line="360" w:lineRule="auto"/>
              <w:jc w:val="center"/>
              <w:rPr>
                <w:color w:val="FF0000"/>
                <w:sz w:val="18"/>
                <w:szCs w:val="18"/>
              </w:rPr>
            </w:pPr>
            <w:r>
              <w:rPr>
                <w:rFonts w:hint="eastAsia"/>
                <w:sz w:val="18"/>
                <w:szCs w:val="18"/>
              </w:rPr>
              <w:t>考查</w:t>
            </w:r>
          </w:p>
        </w:tc>
      </w:tr>
      <w:tr w14:paraId="39A6C3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739D83F4">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7CDC27B1">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24EB9B7A">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7DB859A1">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24536C2D">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2F69C966">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86019BC">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69C8064E">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724A9A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DA0B4C0">
            <w:pPr>
              <w:adjustRightInd w:val="0"/>
              <w:snapToGrid w:val="0"/>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294302EB">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0AD3AAB2">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自然辩证法概论</w:t>
            </w:r>
          </w:p>
        </w:tc>
        <w:tc>
          <w:tcPr>
            <w:tcW w:w="1081" w:type="dxa"/>
            <w:vAlign w:val="center"/>
          </w:tcPr>
          <w:p w14:paraId="7548206A">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TS0000102</w:t>
            </w:r>
          </w:p>
        </w:tc>
        <w:tc>
          <w:tcPr>
            <w:tcW w:w="709" w:type="dxa"/>
            <w:vAlign w:val="center"/>
          </w:tcPr>
          <w:p w14:paraId="6B1073B9">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71346BBA">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0315B197">
            <w:pPr>
              <w:adjustRightInd w:val="0"/>
              <w:snapToGrid w:val="0"/>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AFE3B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39F23C3">
            <w:pPr>
              <w:adjustRightInd w:val="0"/>
              <w:snapToGrid w:val="0"/>
              <w:spacing w:line="360" w:lineRule="auto"/>
              <w:rPr>
                <w:b/>
                <w:color w:val="000000" w:themeColor="text1"/>
                <w:sz w:val="18"/>
                <w:szCs w:val="18"/>
                <w14:textFill>
                  <w14:solidFill>
                    <w14:schemeClr w14:val="tx1"/>
                  </w14:solidFill>
                </w14:textFill>
              </w:rPr>
            </w:pPr>
          </w:p>
        </w:tc>
        <w:tc>
          <w:tcPr>
            <w:tcW w:w="1226" w:type="dxa"/>
            <w:vMerge w:val="restart"/>
            <w:vAlign w:val="center"/>
          </w:tcPr>
          <w:p w14:paraId="3419AC9E">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tc>
        <w:tc>
          <w:tcPr>
            <w:tcW w:w="3516" w:type="dxa"/>
            <w:vAlign w:val="center"/>
          </w:tcPr>
          <w:p w14:paraId="57FFECE8">
            <w:pPr>
              <w:adjustRightInd w:val="0"/>
              <w:snapToGrid w:val="0"/>
              <w:spacing w:line="360" w:lineRule="auto"/>
              <w:rPr>
                <w:i/>
                <w:color w:val="FF0000"/>
                <w:sz w:val="18"/>
                <w:szCs w:val="18"/>
              </w:rPr>
            </w:pPr>
            <w:r>
              <w:rPr>
                <w:rFonts w:hint="eastAsia"/>
                <w:iCs/>
                <w:sz w:val="18"/>
                <w:szCs w:val="18"/>
              </w:rPr>
              <w:t>微生物系统学</w:t>
            </w:r>
          </w:p>
        </w:tc>
        <w:tc>
          <w:tcPr>
            <w:tcW w:w="1081" w:type="dxa"/>
            <w:vAlign w:val="center"/>
          </w:tcPr>
          <w:p w14:paraId="10307360">
            <w:pPr>
              <w:widowControl/>
              <w:jc w:val="center"/>
              <w:textAlignment w:val="center"/>
              <w:rPr>
                <w:color w:val="FF0000"/>
                <w:sz w:val="18"/>
                <w:szCs w:val="18"/>
              </w:rPr>
            </w:pPr>
            <w:r>
              <w:rPr>
                <w:rFonts w:eastAsia="等线"/>
                <w:color w:val="000000"/>
                <w:kern w:val="0"/>
                <w:sz w:val="18"/>
                <w:szCs w:val="18"/>
                <w:lang w:bidi="ar"/>
              </w:rPr>
              <w:t>XS1205201</w:t>
            </w:r>
          </w:p>
        </w:tc>
        <w:tc>
          <w:tcPr>
            <w:tcW w:w="709" w:type="dxa"/>
          </w:tcPr>
          <w:p w14:paraId="2DC6DD5A">
            <w:pPr>
              <w:adjustRightInd w:val="0"/>
              <w:snapToGrid w:val="0"/>
              <w:spacing w:line="360" w:lineRule="auto"/>
              <w:jc w:val="center"/>
              <w:rPr>
                <w:rFonts w:hint="eastAsia" w:eastAsia="宋体"/>
                <w:lang w:eastAsia="zh-CN"/>
              </w:rPr>
            </w:pPr>
            <w:r>
              <w:rPr>
                <w:rFonts w:hint="eastAsia"/>
                <w:sz w:val="18"/>
                <w:szCs w:val="18"/>
                <w:lang w:val="en-US" w:eastAsia="zh-CN"/>
              </w:rPr>
              <w:t>3</w:t>
            </w:r>
          </w:p>
        </w:tc>
        <w:tc>
          <w:tcPr>
            <w:tcW w:w="709" w:type="dxa"/>
          </w:tcPr>
          <w:p w14:paraId="4126975E">
            <w:pPr>
              <w:adjustRightInd w:val="0"/>
              <w:snapToGrid w:val="0"/>
              <w:spacing w:line="360" w:lineRule="auto"/>
              <w:jc w:val="center"/>
            </w:pPr>
            <w:r>
              <w:rPr>
                <w:sz w:val="18"/>
                <w:szCs w:val="18"/>
              </w:rPr>
              <w:t>1</w:t>
            </w:r>
          </w:p>
        </w:tc>
        <w:tc>
          <w:tcPr>
            <w:tcW w:w="1045" w:type="dxa"/>
            <w:vMerge w:val="restart"/>
            <w:vAlign w:val="center"/>
          </w:tcPr>
          <w:p w14:paraId="0089CA8B">
            <w:pPr>
              <w:adjustRightInd w:val="0"/>
              <w:snapToGrid w:val="0"/>
              <w:spacing w:line="360" w:lineRule="auto"/>
              <w:jc w:val="center"/>
              <w:rPr>
                <w:sz w:val="18"/>
                <w:szCs w:val="18"/>
              </w:rPr>
            </w:pPr>
            <w:r>
              <w:rPr>
                <w:rFonts w:hint="eastAsia"/>
                <w:sz w:val="18"/>
                <w:szCs w:val="18"/>
              </w:rPr>
              <w:t>考查。不区分研究</w:t>
            </w:r>
            <w:r>
              <w:rPr>
                <w:sz w:val="18"/>
                <w:szCs w:val="18"/>
              </w:rPr>
              <w:t>方向</w:t>
            </w:r>
            <w:r>
              <w:rPr>
                <w:rFonts w:hint="eastAsia"/>
                <w:sz w:val="18"/>
                <w:szCs w:val="18"/>
              </w:rPr>
              <w:t>，</w:t>
            </w:r>
            <w:r>
              <w:rPr>
                <w:sz w:val="18"/>
                <w:szCs w:val="18"/>
              </w:rPr>
              <w:t>至少选修</w:t>
            </w:r>
          </w:p>
          <w:p w14:paraId="412BDE5C">
            <w:pPr>
              <w:adjustRightInd w:val="0"/>
              <w:snapToGrid w:val="0"/>
              <w:spacing w:line="360" w:lineRule="auto"/>
              <w:jc w:val="center"/>
              <w:rPr>
                <w:sz w:val="18"/>
                <w:szCs w:val="18"/>
              </w:rPr>
            </w:pPr>
            <w:r>
              <w:rPr>
                <w:rFonts w:hint="eastAsia"/>
                <w:sz w:val="18"/>
                <w:szCs w:val="18"/>
              </w:rPr>
              <w:t>4</w:t>
            </w:r>
            <w:r>
              <w:rPr>
                <w:sz w:val="18"/>
                <w:szCs w:val="18"/>
              </w:rPr>
              <w:t>学分</w:t>
            </w:r>
            <w:r>
              <w:rPr>
                <w:rFonts w:hint="eastAsia"/>
                <w:sz w:val="18"/>
                <w:szCs w:val="18"/>
              </w:rPr>
              <w:t>。</w:t>
            </w:r>
          </w:p>
        </w:tc>
      </w:tr>
      <w:tr w14:paraId="3D251E6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63104CB">
            <w:pPr>
              <w:adjustRightInd w:val="0"/>
              <w:snapToGrid w:val="0"/>
              <w:spacing w:line="360" w:lineRule="auto"/>
              <w:rPr>
                <w:b/>
                <w:color w:val="000000" w:themeColor="text1"/>
                <w:sz w:val="18"/>
                <w:szCs w:val="18"/>
                <w14:textFill>
                  <w14:solidFill>
                    <w14:schemeClr w14:val="tx1"/>
                  </w14:solidFill>
                </w14:textFill>
              </w:rPr>
            </w:pPr>
          </w:p>
        </w:tc>
        <w:tc>
          <w:tcPr>
            <w:tcW w:w="1226" w:type="dxa"/>
            <w:vMerge w:val="continue"/>
            <w:vAlign w:val="center"/>
          </w:tcPr>
          <w:p w14:paraId="7191923F">
            <w:pPr>
              <w:adjustRightInd w:val="0"/>
              <w:snapToGrid w:val="0"/>
              <w:spacing w:line="360" w:lineRule="auto"/>
              <w:jc w:val="center"/>
              <w:rPr>
                <w:b/>
                <w:color w:val="FF0000"/>
                <w:sz w:val="18"/>
                <w:szCs w:val="18"/>
              </w:rPr>
            </w:pPr>
          </w:p>
        </w:tc>
        <w:tc>
          <w:tcPr>
            <w:tcW w:w="3516" w:type="dxa"/>
            <w:vAlign w:val="center"/>
          </w:tcPr>
          <w:p w14:paraId="78A4650F">
            <w:pPr>
              <w:adjustRightInd w:val="0"/>
              <w:snapToGrid w:val="0"/>
              <w:spacing w:line="360" w:lineRule="auto"/>
              <w:rPr>
                <w:iCs/>
                <w:color w:val="FF0000"/>
                <w:sz w:val="18"/>
                <w:szCs w:val="18"/>
              </w:rPr>
            </w:pPr>
            <w:r>
              <w:rPr>
                <w:rFonts w:hint="eastAsia"/>
                <w:iCs/>
                <w:sz w:val="18"/>
                <w:szCs w:val="18"/>
              </w:rPr>
              <w:t>环境生物技术</w:t>
            </w:r>
          </w:p>
        </w:tc>
        <w:tc>
          <w:tcPr>
            <w:tcW w:w="1081" w:type="dxa"/>
            <w:vAlign w:val="center"/>
          </w:tcPr>
          <w:p w14:paraId="55C5D91F">
            <w:pPr>
              <w:widowControl/>
              <w:jc w:val="center"/>
              <w:textAlignment w:val="center"/>
              <w:rPr>
                <w:color w:val="FF0000"/>
                <w:sz w:val="18"/>
                <w:szCs w:val="18"/>
              </w:rPr>
            </w:pPr>
            <w:r>
              <w:rPr>
                <w:rFonts w:eastAsia="等线"/>
                <w:color w:val="000000"/>
                <w:kern w:val="0"/>
                <w:sz w:val="18"/>
                <w:szCs w:val="18"/>
                <w:lang w:bidi="ar"/>
              </w:rPr>
              <w:t>XS12052</w:t>
            </w:r>
            <w:r>
              <w:rPr>
                <w:rFonts w:hint="eastAsia" w:eastAsia="等线"/>
                <w:color w:val="000000"/>
                <w:kern w:val="0"/>
                <w:sz w:val="18"/>
                <w:szCs w:val="18"/>
                <w:lang w:val="en-US" w:eastAsia="zh-CN" w:bidi="ar"/>
              </w:rPr>
              <w:t>1</w:t>
            </w:r>
            <w:r>
              <w:rPr>
                <w:rFonts w:eastAsia="等线"/>
                <w:color w:val="000000"/>
                <w:kern w:val="0"/>
                <w:sz w:val="18"/>
                <w:szCs w:val="18"/>
                <w:lang w:bidi="ar"/>
              </w:rPr>
              <w:t>2</w:t>
            </w:r>
          </w:p>
        </w:tc>
        <w:tc>
          <w:tcPr>
            <w:tcW w:w="709" w:type="dxa"/>
          </w:tcPr>
          <w:p w14:paraId="22277106">
            <w:pPr>
              <w:adjustRightInd w:val="0"/>
              <w:snapToGrid w:val="0"/>
              <w:spacing w:line="360" w:lineRule="auto"/>
              <w:jc w:val="center"/>
            </w:pPr>
            <w:r>
              <w:rPr>
                <w:sz w:val="18"/>
                <w:szCs w:val="18"/>
              </w:rPr>
              <w:t>2</w:t>
            </w:r>
          </w:p>
        </w:tc>
        <w:tc>
          <w:tcPr>
            <w:tcW w:w="709" w:type="dxa"/>
          </w:tcPr>
          <w:p w14:paraId="5E27C932">
            <w:pPr>
              <w:adjustRightInd w:val="0"/>
              <w:snapToGrid w:val="0"/>
              <w:spacing w:line="360" w:lineRule="auto"/>
              <w:jc w:val="center"/>
            </w:pPr>
            <w:r>
              <w:rPr>
                <w:sz w:val="18"/>
                <w:szCs w:val="18"/>
              </w:rPr>
              <w:t>1</w:t>
            </w:r>
          </w:p>
        </w:tc>
        <w:tc>
          <w:tcPr>
            <w:tcW w:w="1045" w:type="dxa"/>
            <w:vMerge w:val="continue"/>
            <w:vAlign w:val="center"/>
          </w:tcPr>
          <w:p w14:paraId="375E7116">
            <w:pPr>
              <w:adjustRightInd w:val="0"/>
              <w:snapToGrid w:val="0"/>
              <w:spacing w:line="360" w:lineRule="auto"/>
              <w:jc w:val="center"/>
              <w:rPr>
                <w:sz w:val="18"/>
                <w:szCs w:val="18"/>
              </w:rPr>
            </w:pPr>
          </w:p>
        </w:tc>
      </w:tr>
      <w:tr w14:paraId="47E805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0B2A5B">
            <w:pPr>
              <w:adjustRightInd w:val="0"/>
              <w:snapToGrid w:val="0"/>
              <w:spacing w:line="360" w:lineRule="auto"/>
              <w:rPr>
                <w:b/>
                <w:color w:val="000000" w:themeColor="text1"/>
                <w:sz w:val="18"/>
                <w:szCs w:val="18"/>
                <w14:textFill>
                  <w14:solidFill>
                    <w14:schemeClr w14:val="tx1"/>
                  </w14:solidFill>
                </w14:textFill>
              </w:rPr>
            </w:pPr>
          </w:p>
        </w:tc>
        <w:tc>
          <w:tcPr>
            <w:tcW w:w="1226" w:type="dxa"/>
            <w:vMerge w:val="continue"/>
            <w:vAlign w:val="center"/>
          </w:tcPr>
          <w:p w14:paraId="4B64CAF6">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74CB1A67">
            <w:pPr>
              <w:adjustRightInd w:val="0"/>
              <w:snapToGrid w:val="0"/>
              <w:spacing w:line="360" w:lineRule="auto"/>
              <w:rPr>
                <w:i/>
                <w:color w:val="FF0000"/>
                <w:sz w:val="18"/>
                <w:szCs w:val="18"/>
              </w:rPr>
            </w:pPr>
            <w:r>
              <w:rPr>
                <w:rFonts w:hint="eastAsia"/>
                <w:iCs/>
                <w:sz w:val="18"/>
                <w:szCs w:val="18"/>
              </w:rPr>
              <w:t>合成生物学</w:t>
            </w:r>
          </w:p>
        </w:tc>
        <w:tc>
          <w:tcPr>
            <w:tcW w:w="1081" w:type="dxa"/>
            <w:vAlign w:val="center"/>
          </w:tcPr>
          <w:p w14:paraId="2EC0D5DC">
            <w:pPr>
              <w:widowControl/>
              <w:jc w:val="center"/>
              <w:textAlignment w:val="center"/>
              <w:rPr>
                <w:color w:val="FF0000"/>
                <w:sz w:val="18"/>
                <w:szCs w:val="18"/>
              </w:rPr>
            </w:pPr>
            <w:r>
              <w:rPr>
                <w:rFonts w:eastAsia="等线"/>
                <w:color w:val="000000"/>
                <w:kern w:val="0"/>
                <w:sz w:val="18"/>
                <w:szCs w:val="18"/>
                <w:lang w:bidi="ar"/>
              </w:rPr>
              <w:t>XS12052</w:t>
            </w:r>
            <w:r>
              <w:rPr>
                <w:rFonts w:hint="eastAsia" w:eastAsia="等线"/>
                <w:color w:val="000000"/>
                <w:kern w:val="0"/>
                <w:sz w:val="18"/>
                <w:szCs w:val="18"/>
                <w:lang w:val="en-US" w:eastAsia="zh-CN" w:bidi="ar"/>
              </w:rPr>
              <w:t>1</w:t>
            </w:r>
            <w:r>
              <w:rPr>
                <w:rFonts w:eastAsia="等线"/>
                <w:color w:val="000000"/>
                <w:kern w:val="0"/>
                <w:sz w:val="18"/>
                <w:szCs w:val="18"/>
                <w:lang w:bidi="ar"/>
              </w:rPr>
              <w:t>3</w:t>
            </w:r>
          </w:p>
        </w:tc>
        <w:tc>
          <w:tcPr>
            <w:tcW w:w="709" w:type="dxa"/>
          </w:tcPr>
          <w:p w14:paraId="36D916E3">
            <w:pPr>
              <w:adjustRightInd w:val="0"/>
              <w:snapToGrid w:val="0"/>
              <w:spacing w:line="360" w:lineRule="auto"/>
              <w:jc w:val="center"/>
              <w:rPr>
                <w:rFonts w:hint="eastAsia" w:eastAsia="宋体"/>
                <w:sz w:val="18"/>
                <w:szCs w:val="18"/>
                <w:lang w:eastAsia="zh-CN"/>
              </w:rPr>
            </w:pPr>
            <w:r>
              <w:rPr>
                <w:rFonts w:hint="eastAsia"/>
                <w:sz w:val="18"/>
                <w:szCs w:val="18"/>
                <w:lang w:val="en-US" w:eastAsia="zh-CN"/>
              </w:rPr>
              <w:t>3</w:t>
            </w:r>
          </w:p>
        </w:tc>
        <w:tc>
          <w:tcPr>
            <w:tcW w:w="709" w:type="dxa"/>
          </w:tcPr>
          <w:p w14:paraId="414FE49F">
            <w:pPr>
              <w:adjustRightInd w:val="0"/>
              <w:snapToGrid w:val="0"/>
              <w:spacing w:line="360" w:lineRule="auto"/>
              <w:jc w:val="center"/>
              <w:rPr>
                <w:sz w:val="18"/>
                <w:szCs w:val="18"/>
              </w:rPr>
            </w:pPr>
            <w:r>
              <w:rPr>
                <w:sz w:val="18"/>
                <w:szCs w:val="18"/>
              </w:rPr>
              <w:t>1</w:t>
            </w:r>
          </w:p>
        </w:tc>
        <w:tc>
          <w:tcPr>
            <w:tcW w:w="1045" w:type="dxa"/>
            <w:vMerge w:val="continue"/>
            <w:vAlign w:val="center"/>
          </w:tcPr>
          <w:p w14:paraId="31027FA7">
            <w:pPr>
              <w:adjustRightInd w:val="0"/>
              <w:snapToGrid w:val="0"/>
              <w:spacing w:line="360" w:lineRule="auto"/>
              <w:jc w:val="center"/>
              <w:rPr>
                <w:sz w:val="18"/>
                <w:szCs w:val="18"/>
              </w:rPr>
            </w:pPr>
          </w:p>
        </w:tc>
      </w:tr>
      <w:tr w14:paraId="22A9E3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B3A3FA2">
            <w:pPr>
              <w:adjustRightInd w:val="0"/>
              <w:snapToGrid w:val="0"/>
              <w:spacing w:line="360" w:lineRule="auto"/>
              <w:rPr>
                <w:b/>
                <w:color w:val="000000" w:themeColor="text1"/>
                <w:sz w:val="18"/>
                <w:szCs w:val="18"/>
                <w14:textFill>
                  <w14:solidFill>
                    <w14:schemeClr w14:val="tx1"/>
                  </w14:solidFill>
                </w14:textFill>
              </w:rPr>
            </w:pPr>
          </w:p>
        </w:tc>
        <w:tc>
          <w:tcPr>
            <w:tcW w:w="1226" w:type="dxa"/>
            <w:vMerge w:val="continue"/>
            <w:vAlign w:val="center"/>
          </w:tcPr>
          <w:p w14:paraId="6A243D15">
            <w:pPr>
              <w:adjustRightInd w:val="0"/>
              <w:snapToGrid w:val="0"/>
              <w:spacing w:line="360" w:lineRule="auto"/>
              <w:jc w:val="center"/>
              <w:rPr>
                <w:b/>
                <w:color w:val="FF0000"/>
                <w:sz w:val="18"/>
                <w:szCs w:val="18"/>
              </w:rPr>
            </w:pPr>
          </w:p>
        </w:tc>
        <w:tc>
          <w:tcPr>
            <w:tcW w:w="3516" w:type="dxa"/>
            <w:vAlign w:val="center"/>
          </w:tcPr>
          <w:p w14:paraId="0B482C25">
            <w:pPr>
              <w:adjustRightInd w:val="0"/>
              <w:snapToGrid w:val="0"/>
              <w:spacing w:line="360" w:lineRule="auto"/>
              <w:rPr>
                <w:i/>
                <w:color w:val="FF0000"/>
                <w:sz w:val="18"/>
                <w:szCs w:val="18"/>
              </w:rPr>
            </w:pPr>
            <w:r>
              <w:rPr>
                <w:rFonts w:hint="eastAsia"/>
                <w:iCs/>
                <w:sz w:val="18"/>
                <w:szCs w:val="18"/>
              </w:rPr>
              <w:t>基因工程技术</w:t>
            </w:r>
          </w:p>
        </w:tc>
        <w:tc>
          <w:tcPr>
            <w:tcW w:w="1081" w:type="dxa"/>
            <w:vAlign w:val="center"/>
          </w:tcPr>
          <w:p w14:paraId="6AD22EED">
            <w:pPr>
              <w:widowControl/>
              <w:jc w:val="center"/>
              <w:textAlignment w:val="center"/>
              <w:rPr>
                <w:color w:val="FF0000"/>
                <w:sz w:val="18"/>
                <w:szCs w:val="18"/>
              </w:rPr>
            </w:pPr>
            <w:r>
              <w:rPr>
                <w:rFonts w:eastAsia="等线"/>
                <w:color w:val="000000"/>
                <w:kern w:val="0"/>
                <w:sz w:val="18"/>
                <w:szCs w:val="18"/>
                <w:lang w:bidi="ar"/>
              </w:rPr>
              <w:t>XS12052</w:t>
            </w:r>
            <w:r>
              <w:rPr>
                <w:rFonts w:hint="eastAsia" w:eastAsia="等线"/>
                <w:color w:val="000000"/>
                <w:kern w:val="0"/>
                <w:sz w:val="18"/>
                <w:szCs w:val="18"/>
                <w:lang w:val="en-US" w:eastAsia="zh-CN" w:bidi="ar"/>
              </w:rPr>
              <w:t>1</w:t>
            </w:r>
            <w:r>
              <w:rPr>
                <w:rFonts w:eastAsia="等线"/>
                <w:color w:val="000000"/>
                <w:kern w:val="0"/>
                <w:sz w:val="18"/>
                <w:szCs w:val="18"/>
                <w:lang w:bidi="ar"/>
              </w:rPr>
              <w:t>4</w:t>
            </w:r>
            <w:bookmarkStart w:id="3" w:name="_GoBack"/>
            <w:bookmarkEnd w:id="3"/>
          </w:p>
        </w:tc>
        <w:tc>
          <w:tcPr>
            <w:tcW w:w="709" w:type="dxa"/>
          </w:tcPr>
          <w:p w14:paraId="1C5F2FBD">
            <w:pPr>
              <w:adjustRightInd w:val="0"/>
              <w:snapToGrid w:val="0"/>
              <w:spacing w:line="360" w:lineRule="auto"/>
              <w:jc w:val="center"/>
              <w:rPr>
                <w:rFonts w:hint="eastAsia" w:eastAsia="宋体"/>
                <w:lang w:eastAsia="zh-CN"/>
              </w:rPr>
            </w:pPr>
            <w:r>
              <w:rPr>
                <w:rFonts w:hint="eastAsia"/>
                <w:sz w:val="18"/>
                <w:szCs w:val="18"/>
                <w:lang w:val="en-US" w:eastAsia="zh-CN"/>
              </w:rPr>
              <w:t>3</w:t>
            </w:r>
          </w:p>
        </w:tc>
        <w:tc>
          <w:tcPr>
            <w:tcW w:w="709" w:type="dxa"/>
          </w:tcPr>
          <w:p w14:paraId="0AB72008">
            <w:pPr>
              <w:adjustRightInd w:val="0"/>
              <w:snapToGrid w:val="0"/>
              <w:spacing w:line="360" w:lineRule="auto"/>
              <w:jc w:val="center"/>
            </w:pPr>
            <w:r>
              <w:rPr>
                <w:sz w:val="18"/>
                <w:szCs w:val="18"/>
              </w:rPr>
              <w:t>1</w:t>
            </w:r>
          </w:p>
        </w:tc>
        <w:tc>
          <w:tcPr>
            <w:tcW w:w="1045" w:type="dxa"/>
            <w:vMerge w:val="continue"/>
            <w:vAlign w:val="center"/>
          </w:tcPr>
          <w:p w14:paraId="7E912E4B">
            <w:pPr>
              <w:adjustRightInd w:val="0"/>
              <w:snapToGrid w:val="0"/>
              <w:spacing w:line="360" w:lineRule="auto"/>
              <w:jc w:val="center"/>
              <w:rPr>
                <w:sz w:val="18"/>
                <w:szCs w:val="18"/>
              </w:rPr>
            </w:pPr>
          </w:p>
        </w:tc>
      </w:tr>
      <w:tr w14:paraId="7D3317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A9A4F38">
            <w:pPr>
              <w:adjustRightInd w:val="0"/>
              <w:snapToGrid w:val="0"/>
              <w:spacing w:line="360" w:lineRule="auto"/>
              <w:rPr>
                <w:b/>
                <w:color w:val="000000" w:themeColor="text1"/>
                <w:sz w:val="18"/>
                <w:szCs w:val="18"/>
                <w14:textFill>
                  <w14:solidFill>
                    <w14:schemeClr w14:val="tx1"/>
                  </w14:solidFill>
                </w14:textFill>
              </w:rPr>
            </w:pPr>
          </w:p>
        </w:tc>
        <w:tc>
          <w:tcPr>
            <w:tcW w:w="1226" w:type="dxa"/>
            <w:vMerge w:val="continue"/>
            <w:vAlign w:val="center"/>
          </w:tcPr>
          <w:p w14:paraId="3CDDF9CD">
            <w:pPr>
              <w:adjustRightInd w:val="0"/>
              <w:snapToGrid w:val="0"/>
              <w:spacing w:line="360" w:lineRule="auto"/>
              <w:jc w:val="center"/>
              <w:rPr>
                <w:b/>
                <w:color w:val="FF0000"/>
                <w:sz w:val="18"/>
                <w:szCs w:val="18"/>
              </w:rPr>
            </w:pPr>
          </w:p>
        </w:tc>
        <w:tc>
          <w:tcPr>
            <w:tcW w:w="3516" w:type="dxa"/>
            <w:vAlign w:val="center"/>
          </w:tcPr>
          <w:p w14:paraId="2AC4FAE0">
            <w:pPr>
              <w:adjustRightInd w:val="0"/>
              <w:snapToGrid w:val="0"/>
              <w:spacing w:line="360" w:lineRule="auto"/>
              <w:rPr>
                <w:i/>
                <w:color w:val="FF0000"/>
                <w:sz w:val="18"/>
                <w:szCs w:val="18"/>
              </w:rPr>
            </w:pPr>
          </w:p>
        </w:tc>
        <w:tc>
          <w:tcPr>
            <w:tcW w:w="1081" w:type="dxa"/>
          </w:tcPr>
          <w:p w14:paraId="61D92F33">
            <w:pPr>
              <w:adjustRightInd w:val="0"/>
              <w:snapToGrid w:val="0"/>
              <w:spacing w:line="360" w:lineRule="auto"/>
              <w:jc w:val="center"/>
              <w:rPr>
                <w:color w:val="FF0000"/>
                <w:sz w:val="18"/>
                <w:szCs w:val="18"/>
              </w:rPr>
            </w:pPr>
          </w:p>
        </w:tc>
        <w:tc>
          <w:tcPr>
            <w:tcW w:w="709" w:type="dxa"/>
          </w:tcPr>
          <w:p w14:paraId="63F4B0D6">
            <w:pPr>
              <w:adjustRightInd w:val="0"/>
              <w:snapToGrid w:val="0"/>
              <w:spacing w:line="360" w:lineRule="auto"/>
              <w:jc w:val="center"/>
            </w:pPr>
          </w:p>
        </w:tc>
        <w:tc>
          <w:tcPr>
            <w:tcW w:w="709" w:type="dxa"/>
          </w:tcPr>
          <w:p w14:paraId="3D30DE81">
            <w:pPr>
              <w:adjustRightInd w:val="0"/>
              <w:snapToGrid w:val="0"/>
              <w:spacing w:line="360" w:lineRule="auto"/>
              <w:jc w:val="center"/>
            </w:pPr>
          </w:p>
        </w:tc>
        <w:tc>
          <w:tcPr>
            <w:tcW w:w="1045" w:type="dxa"/>
            <w:vMerge w:val="continue"/>
            <w:vAlign w:val="center"/>
          </w:tcPr>
          <w:p w14:paraId="16D4CFC3">
            <w:pPr>
              <w:adjustRightInd w:val="0"/>
              <w:snapToGrid w:val="0"/>
              <w:spacing w:line="360" w:lineRule="auto"/>
              <w:jc w:val="center"/>
              <w:rPr>
                <w:sz w:val="18"/>
                <w:szCs w:val="18"/>
              </w:rPr>
            </w:pPr>
          </w:p>
        </w:tc>
      </w:tr>
      <w:tr w14:paraId="22D211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C1D256B">
            <w:pPr>
              <w:adjustRightInd w:val="0"/>
              <w:snapToGrid w:val="0"/>
              <w:spacing w:line="360" w:lineRule="auto"/>
              <w:rPr>
                <w:b/>
                <w:color w:val="000000" w:themeColor="text1"/>
                <w:sz w:val="18"/>
                <w:szCs w:val="18"/>
                <w14:textFill>
                  <w14:solidFill>
                    <w14:schemeClr w14:val="tx1"/>
                  </w14:solidFill>
                </w14:textFill>
              </w:rPr>
            </w:pPr>
          </w:p>
        </w:tc>
        <w:tc>
          <w:tcPr>
            <w:tcW w:w="1226" w:type="dxa"/>
            <w:vMerge w:val="continue"/>
          </w:tcPr>
          <w:p w14:paraId="753155CE">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00B5BB2C">
            <w:pPr>
              <w:adjustRightInd w:val="0"/>
              <w:snapToGrid w:val="0"/>
              <w:spacing w:line="360" w:lineRule="auto"/>
              <w:rPr>
                <w:i/>
                <w:color w:val="FF0000"/>
                <w:sz w:val="18"/>
                <w:szCs w:val="18"/>
              </w:rPr>
            </w:pPr>
          </w:p>
        </w:tc>
        <w:tc>
          <w:tcPr>
            <w:tcW w:w="1081" w:type="dxa"/>
            <w:vAlign w:val="center"/>
          </w:tcPr>
          <w:p w14:paraId="56DA39DC">
            <w:pPr>
              <w:adjustRightInd w:val="0"/>
              <w:snapToGrid w:val="0"/>
              <w:spacing w:line="360" w:lineRule="auto"/>
              <w:jc w:val="center"/>
              <w:rPr>
                <w:color w:val="FF0000"/>
                <w:sz w:val="18"/>
                <w:szCs w:val="18"/>
              </w:rPr>
            </w:pPr>
          </w:p>
        </w:tc>
        <w:tc>
          <w:tcPr>
            <w:tcW w:w="709" w:type="dxa"/>
            <w:vAlign w:val="center"/>
          </w:tcPr>
          <w:p w14:paraId="0CEA9394">
            <w:pPr>
              <w:adjustRightInd w:val="0"/>
              <w:snapToGrid w:val="0"/>
              <w:spacing w:line="360" w:lineRule="auto"/>
              <w:jc w:val="center"/>
              <w:rPr>
                <w:sz w:val="18"/>
                <w:szCs w:val="18"/>
              </w:rPr>
            </w:pPr>
          </w:p>
        </w:tc>
        <w:tc>
          <w:tcPr>
            <w:tcW w:w="709" w:type="dxa"/>
            <w:vAlign w:val="center"/>
          </w:tcPr>
          <w:p w14:paraId="1E2C4DDD">
            <w:pPr>
              <w:adjustRightInd w:val="0"/>
              <w:snapToGrid w:val="0"/>
              <w:spacing w:line="360" w:lineRule="auto"/>
              <w:jc w:val="center"/>
              <w:rPr>
                <w:sz w:val="18"/>
                <w:szCs w:val="18"/>
              </w:rPr>
            </w:pPr>
          </w:p>
        </w:tc>
        <w:tc>
          <w:tcPr>
            <w:tcW w:w="1045" w:type="dxa"/>
            <w:vMerge w:val="continue"/>
            <w:vAlign w:val="center"/>
          </w:tcPr>
          <w:p w14:paraId="24B3DA7F">
            <w:pPr>
              <w:adjustRightInd w:val="0"/>
              <w:snapToGrid w:val="0"/>
              <w:spacing w:line="360" w:lineRule="auto"/>
              <w:jc w:val="center"/>
              <w:rPr>
                <w:sz w:val="18"/>
                <w:szCs w:val="18"/>
              </w:rPr>
            </w:pPr>
          </w:p>
        </w:tc>
      </w:tr>
      <w:tr w14:paraId="434F54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6FF09404">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7B6B53FD">
            <w:pPr>
              <w:adjustRightInd w:val="0"/>
              <w:snapToGrid w:val="0"/>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5F81F889">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182881B4">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65049960">
            <w:pPr>
              <w:adjustRightInd w:val="0"/>
              <w:snapToGrid w:val="0"/>
              <w:spacing w:line="360" w:lineRule="auto"/>
              <w:jc w:val="center"/>
              <w:rPr>
                <w:color w:val="000000" w:themeColor="text1"/>
                <w:sz w:val="18"/>
                <w:szCs w:val="18"/>
                <w14:textFill>
                  <w14:solidFill>
                    <w14:schemeClr w14:val="tx1"/>
                  </w14:solidFill>
                </w14:textFill>
              </w:rPr>
            </w:pPr>
          </w:p>
        </w:tc>
        <w:tc>
          <w:tcPr>
            <w:tcW w:w="709" w:type="dxa"/>
            <w:vAlign w:val="center"/>
          </w:tcPr>
          <w:p w14:paraId="7C7CE08C">
            <w:pPr>
              <w:adjustRightInd w:val="0"/>
              <w:snapToGrid w:val="0"/>
              <w:spacing w:line="360" w:lineRule="auto"/>
              <w:jc w:val="center"/>
              <w:rPr>
                <w:sz w:val="18"/>
                <w:szCs w:val="18"/>
              </w:rPr>
            </w:pPr>
            <w:r>
              <w:rPr>
                <w:rFonts w:hint="eastAsia"/>
                <w:sz w:val="18"/>
                <w:szCs w:val="18"/>
              </w:rPr>
              <w:t>0</w:t>
            </w:r>
          </w:p>
        </w:tc>
        <w:tc>
          <w:tcPr>
            <w:tcW w:w="709" w:type="dxa"/>
            <w:vAlign w:val="center"/>
          </w:tcPr>
          <w:p w14:paraId="5DBF518B">
            <w:pPr>
              <w:adjustRightInd w:val="0"/>
              <w:snapToGrid w:val="0"/>
              <w:spacing w:line="360" w:lineRule="auto"/>
              <w:jc w:val="center"/>
              <w:rPr>
                <w:sz w:val="18"/>
                <w:szCs w:val="18"/>
              </w:rPr>
            </w:pPr>
            <w:r>
              <w:rPr>
                <w:sz w:val="18"/>
                <w:szCs w:val="18"/>
              </w:rPr>
              <w:t>1</w:t>
            </w:r>
          </w:p>
        </w:tc>
        <w:tc>
          <w:tcPr>
            <w:tcW w:w="1045" w:type="dxa"/>
            <w:vMerge w:val="restart"/>
            <w:vAlign w:val="center"/>
          </w:tcPr>
          <w:p w14:paraId="0FA836E9">
            <w:pPr>
              <w:adjustRightInd w:val="0"/>
              <w:snapToGrid w:val="0"/>
              <w:spacing w:line="360" w:lineRule="auto"/>
              <w:jc w:val="center"/>
              <w:rPr>
                <w:sz w:val="18"/>
                <w:szCs w:val="18"/>
              </w:rPr>
            </w:pPr>
          </w:p>
        </w:tc>
      </w:tr>
      <w:tr w14:paraId="0296AC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5562B929">
            <w:pPr>
              <w:adjustRightInd w:val="0"/>
              <w:snapToGrid w:val="0"/>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47663EE6">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3887D1B3">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vAlign w:val="center"/>
          </w:tcPr>
          <w:p w14:paraId="4D849931">
            <w:pPr>
              <w:adjustRightInd w:val="0"/>
              <w:snapToGrid w:val="0"/>
              <w:spacing w:line="360" w:lineRule="auto"/>
              <w:jc w:val="center"/>
              <w:rPr>
                <w:color w:val="000000" w:themeColor="text1"/>
                <w:sz w:val="18"/>
                <w:szCs w:val="18"/>
                <w14:textFill>
                  <w14:solidFill>
                    <w14:schemeClr w14:val="tx1"/>
                  </w14:solidFill>
                </w14:textFill>
              </w:rPr>
            </w:pPr>
          </w:p>
        </w:tc>
        <w:tc>
          <w:tcPr>
            <w:tcW w:w="709" w:type="dxa"/>
            <w:vAlign w:val="center"/>
          </w:tcPr>
          <w:p w14:paraId="72F5CC7B">
            <w:pPr>
              <w:adjustRightInd w:val="0"/>
              <w:snapToGrid w:val="0"/>
              <w:spacing w:line="360" w:lineRule="auto"/>
              <w:jc w:val="center"/>
              <w:rPr>
                <w:sz w:val="18"/>
                <w:szCs w:val="18"/>
              </w:rPr>
            </w:pPr>
            <w:r>
              <w:rPr>
                <w:sz w:val="18"/>
                <w:szCs w:val="18"/>
              </w:rPr>
              <w:t>1</w:t>
            </w:r>
          </w:p>
        </w:tc>
        <w:tc>
          <w:tcPr>
            <w:tcW w:w="709" w:type="dxa"/>
            <w:vAlign w:val="center"/>
          </w:tcPr>
          <w:p w14:paraId="5AB28929">
            <w:pPr>
              <w:adjustRightInd w:val="0"/>
              <w:snapToGrid w:val="0"/>
              <w:spacing w:line="360" w:lineRule="auto"/>
              <w:jc w:val="center"/>
              <w:rPr>
                <w:sz w:val="18"/>
                <w:szCs w:val="18"/>
              </w:rPr>
            </w:pPr>
            <w:r>
              <w:rPr>
                <w:rFonts w:hint="eastAsia"/>
                <w:sz w:val="18"/>
                <w:szCs w:val="18"/>
              </w:rPr>
              <w:t>1-7</w:t>
            </w:r>
          </w:p>
        </w:tc>
        <w:tc>
          <w:tcPr>
            <w:tcW w:w="1045" w:type="dxa"/>
            <w:vMerge w:val="continue"/>
            <w:vAlign w:val="center"/>
          </w:tcPr>
          <w:p w14:paraId="0E44DB1D">
            <w:pPr>
              <w:adjustRightInd w:val="0"/>
              <w:snapToGrid w:val="0"/>
              <w:spacing w:line="360" w:lineRule="auto"/>
              <w:jc w:val="center"/>
              <w:rPr>
                <w:sz w:val="18"/>
                <w:szCs w:val="18"/>
              </w:rPr>
            </w:pPr>
          </w:p>
        </w:tc>
      </w:tr>
      <w:tr w14:paraId="230EF7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8" w:hRule="atLeast"/>
          <w:jc w:val="center"/>
        </w:trPr>
        <w:tc>
          <w:tcPr>
            <w:tcW w:w="571" w:type="dxa"/>
            <w:vMerge w:val="continue"/>
            <w:vAlign w:val="center"/>
          </w:tcPr>
          <w:p w14:paraId="6969155E">
            <w:pPr>
              <w:adjustRightInd w:val="0"/>
              <w:snapToGrid w:val="0"/>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7F65AD89">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7ABF514F">
            <w:pPr>
              <w:adjustRightInd w:val="0"/>
              <w:snapToGrid w:val="0"/>
              <w:spacing w:line="360" w:lineRule="auto"/>
              <w:rPr>
                <w:color w:val="000000" w:themeColor="text1"/>
                <w:sz w:val="18"/>
                <w:szCs w:val="18"/>
                <w14:textFill>
                  <w14:solidFill>
                    <w14:schemeClr w14:val="tx1"/>
                  </w14:solidFill>
                </w14:textFill>
              </w:rPr>
            </w:pPr>
          </w:p>
        </w:tc>
        <w:tc>
          <w:tcPr>
            <w:tcW w:w="1081" w:type="dxa"/>
            <w:vAlign w:val="center"/>
          </w:tcPr>
          <w:p w14:paraId="189F3D50">
            <w:pPr>
              <w:adjustRightInd w:val="0"/>
              <w:snapToGrid w:val="0"/>
              <w:spacing w:line="360" w:lineRule="auto"/>
              <w:jc w:val="center"/>
              <w:rPr>
                <w:color w:val="000000" w:themeColor="text1"/>
                <w:sz w:val="18"/>
                <w:szCs w:val="18"/>
                <w14:textFill>
                  <w14:solidFill>
                    <w14:schemeClr w14:val="tx1"/>
                  </w14:solidFill>
                </w14:textFill>
              </w:rPr>
            </w:pPr>
          </w:p>
        </w:tc>
        <w:tc>
          <w:tcPr>
            <w:tcW w:w="709" w:type="dxa"/>
            <w:vAlign w:val="center"/>
          </w:tcPr>
          <w:p w14:paraId="2FFFD20C">
            <w:pPr>
              <w:adjustRightInd w:val="0"/>
              <w:snapToGrid w:val="0"/>
              <w:spacing w:line="360" w:lineRule="auto"/>
              <w:jc w:val="center"/>
              <w:rPr>
                <w:sz w:val="18"/>
                <w:szCs w:val="18"/>
              </w:rPr>
            </w:pPr>
          </w:p>
        </w:tc>
        <w:tc>
          <w:tcPr>
            <w:tcW w:w="709" w:type="dxa"/>
            <w:vAlign w:val="center"/>
          </w:tcPr>
          <w:p w14:paraId="0429E1BE">
            <w:pPr>
              <w:adjustRightInd w:val="0"/>
              <w:snapToGrid w:val="0"/>
              <w:spacing w:line="360" w:lineRule="auto"/>
              <w:jc w:val="center"/>
              <w:rPr>
                <w:sz w:val="18"/>
                <w:szCs w:val="18"/>
              </w:rPr>
            </w:pPr>
          </w:p>
        </w:tc>
        <w:tc>
          <w:tcPr>
            <w:tcW w:w="1045" w:type="dxa"/>
            <w:vMerge w:val="continue"/>
            <w:vAlign w:val="center"/>
          </w:tcPr>
          <w:p w14:paraId="55C5DF28">
            <w:pPr>
              <w:adjustRightInd w:val="0"/>
              <w:snapToGrid w:val="0"/>
              <w:spacing w:line="360" w:lineRule="auto"/>
              <w:jc w:val="center"/>
              <w:rPr>
                <w:sz w:val="18"/>
                <w:szCs w:val="18"/>
              </w:rPr>
            </w:pPr>
          </w:p>
        </w:tc>
      </w:tr>
      <w:tr w14:paraId="69C695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0274D77">
            <w:pPr>
              <w:adjustRightInd w:val="0"/>
              <w:snapToGrid w:val="0"/>
              <w:spacing w:line="360" w:lineRule="auto"/>
              <w:rPr>
                <w:b/>
                <w:color w:val="000000" w:themeColor="text1"/>
                <w:sz w:val="18"/>
                <w:szCs w:val="18"/>
                <w14:textFill>
                  <w14:solidFill>
                    <w14:schemeClr w14:val="tx1"/>
                  </w14:solidFill>
                </w14:textFill>
              </w:rPr>
            </w:pPr>
          </w:p>
        </w:tc>
        <w:tc>
          <w:tcPr>
            <w:tcW w:w="1226" w:type="dxa"/>
            <w:vMerge w:val="restart"/>
            <w:vAlign w:val="center"/>
          </w:tcPr>
          <w:p w14:paraId="4ED38F1E">
            <w:pPr>
              <w:adjustRightInd w:val="0"/>
              <w:snapToGrid w:val="0"/>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25265747">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4AEF0F6A">
            <w:pPr>
              <w:adjustRightInd w:val="0"/>
              <w:snapToGrid w:val="0"/>
              <w:spacing w:line="360" w:lineRule="auto"/>
              <w:jc w:val="center"/>
              <w:rPr>
                <w:color w:val="000000" w:themeColor="text1"/>
                <w:sz w:val="18"/>
                <w:szCs w:val="18"/>
                <w14:textFill>
                  <w14:solidFill>
                    <w14:schemeClr w14:val="tx1"/>
                  </w14:solidFill>
                </w14:textFill>
              </w:rPr>
            </w:pPr>
          </w:p>
        </w:tc>
        <w:tc>
          <w:tcPr>
            <w:tcW w:w="709" w:type="dxa"/>
            <w:vAlign w:val="center"/>
          </w:tcPr>
          <w:p w14:paraId="502F406E">
            <w:pPr>
              <w:adjustRightInd w:val="0"/>
              <w:snapToGrid w:val="0"/>
              <w:spacing w:line="360" w:lineRule="auto"/>
              <w:jc w:val="center"/>
              <w:rPr>
                <w:sz w:val="18"/>
                <w:szCs w:val="18"/>
              </w:rPr>
            </w:pPr>
          </w:p>
        </w:tc>
        <w:tc>
          <w:tcPr>
            <w:tcW w:w="709" w:type="dxa"/>
            <w:vAlign w:val="center"/>
          </w:tcPr>
          <w:p w14:paraId="3FC79D85">
            <w:pPr>
              <w:adjustRightInd w:val="0"/>
              <w:snapToGrid w:val="0"/>
              <w:spacing w:line="360" w:lineRule="auto"/>
              <w:jc w:val="center"/>
              <w:rPr>
                <w:sz w:val="18"/>
                <w:szCs w:val="18"/>
              </w:rPr>
            </w:pPr>
            <w:r>
              <w:rPr>
                <w:rFonts w:hint="eastAsia"/>
                <w:sz w:val="18"/>
                <w:szCs w:val="18"/>
              </w:rPr>
              <w:t>4</w:t>
            </w:r>
          </w:p>
        </w:tc>
        <w:tc>
          <w:tcPr>
            <w:tcW w:w="1045" w:type="dxa"/>
            <w:vMerge w:val="restart"/>
            <w:vAlign w:val="center"/>
          </w:tcPr>
          <w:p w14:paraId="67F2BDD2">
            <w:pPr>
              <w:adjustRightInd w:val="0"/>
              <w:snapToGrid w:val="0"/>
              <w:spacing w:line="360" w:lineRule="auto"/>
              <w:jc w:val="center"/>
              <w:rPr>
                <w:sz w:val="18"/>
                <w:szCs w:val="18"/>
              </w:rPr>
            </w:pPr>
            <w:r>
              <w:rPr>
                <w:sz w:val="18"/>
                <w:szCs w:val="18"/>
              </w:rPr>
              <w:t>过程管理</w:t>
            </w:r>
          </w:p>
          <w:p w14:paraId="66691E91">
            <w:pPr>
              <w:adjustRightInd w:val="0"/>
              <w:snapToGrid w:val="0"/>
              <w:spacing w:line="360" w:lineRule="auto"/>
              <w:jc w:val="center"/>
              <w:rPr>
                <w:sz w:val="18"/>
                <w:szCs w:val="18"/>
              </w:rPr>
            </w:pPr>
            <w:r>
              <w:rPr>
                <w:sz w:val="18"/>
                <w:szCs w:val="18"/>
              </w:rPr>
              <w:t>无学分</w:t>
            </w:r>
          </w:p>
        </w:tc>
      </w:tr>
      <w:tr w14:paraId="3B4776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61BD12">
            <w:pPr>
              <w:adjustRightInd w:val="0"/>
              <w:snapToGrid w:val="0"/>
              <w:spacing w:line="360" w:lineRule="auto"/>
              <w:rPr>
                <w:b/>
                <w:color w:val="000000" w:themeColor="text1"/>
                <w:sz w:val="18"/>
                <w:szCs w:val="18"/>
                <w14:textFill>
                  <w14:solidFill>
                    <w14:schemeClr w14:val="tx1"/>
                  </w14:solidFill>
                </w14:textFill>
              </w:rPr>
            </w:pPr>
          </w:p>
        </w:tc>
        <w:tc>
          <w:tcPr>
            <w:tcW w:w="1226" w:type="dxa"/>
            <w:vMerge w:val="continue"/>
            <w:vAlign w:val="center"/>
          </w:tcPr>
          <w:p w14:paraId="7A9F1B26">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44E1892D">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1B586462">
            <w:pPr>
              <w:adjustRightInd w:val="0"/>
              <w:snapToGrid w:val="0"/>
              <w:spacing w:line="360" w:lineRule="auto"/>
              <w:jc w:val="center"/>
              <w:rPr>
                <w:color w:val="000000" w:themeColor="text1"/>
                <w:sz w:val="18"/>
                <w:szCs w:val="18"/>
                <w14:textFill>
                  <w14:solidFill>
                    <w14:schemeClr w14:val="tx1"/>
                  </w14:solidFill>
                </w14:textFill>
              </w:rPr>
            </w:pPr>
          </w:p>
        </w:tc>
        <w:tc>
          <w:tcPr>
            <w:tcW w:w="709" w:type="dxa"/>
            <w:vAlign w:val="center"/>
          </w:tcPr>
          <w:p w14:paraId="290FBFB2">
            <w:pPr>
              <w:adjustRightInd w:val="0"/>
              <w:snapToGrid w:val="0"/>
              <w:spacing w:line="360" w:lineRule="auto"/>
              <w:jc w:val="center"/>
              <w:rPr>
                <w:sz w:val="18"/>
                <w:szCs w:val="18"/>
              </w:rPr>
            </w:pPr>
          </w:p>
        </w:tc>
        <w:tc>
          <w:tcPr>
            <w:tcW w:w="709" w:type="dxa"/>
            <w:vAlign w:val="center"/>
          </w:tcPr>
          <w:p w14:paraId="5C39DD10">
            <w:pPr>
              <w:adjustRightInd w:val="0"/>
              <w:snapToGrid w:val="0"/>
              <w:spacing w:line="360" w:lineRule="auto"/>
              <w:jc w:val="center"/>
              <w:rPr>
                <w:sz w:val="18"/>
                <w:szCs w:val="18"/>
              </w:rPr>
            </w:pPr>
            <w:r>
              <w:rPr>
                <w:rFonts w:hint="eastAsia"/>
                <w:sz w:val="18"/>
                <w:szCs w:val="18"/>
              </w:rPr>
              <w:t>3</w:t>
            </w:r>
          </w:p>
        </w:tc>
        <w:tc>
          <w:tcPr>
            <w:tcW w:w="1045" w:type="dxa"/>
            <w:vMerge w:val="continue"/>
            <w:vAlign w:val="center"/>
          </w:tcPr>
          <w:p w14:paraId="32E2A101">
            <w:pPr>
              <w:adjustRightInd w:val="0"/>
              <w:snapToGrid w:val="0"/>
              <w:spacing w:line="360" w:lineRule="auto"/>
              <w:jc w:val="center"/>
              <w:rPr>
                <w:sz w:val="18"/>
                <w:szCs w:val="18"/>
              </w:rPr>
            </w:pPr>
          </w:p>
        </w:tc>
      </w:tr>
      <w:tr w14:paraId="1955CC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929176">
            <w:pPr>
              <w:adjustRightInd w:val="0"/>
              <w:snapToGrid w:val="0"/>
              <w:spacing w:line="360" w:lineRule="auto"/>
              <w:rPr>
                <w:b/>
                <w:color w:val="000000" w:themeColor="text1"/>
                <w:sz w:val="18"/>
                <w:szCs w:val="18"/>
                <w14:textFill>
                  <w14:solidFill>
                    <w14:schemeClr w14:val="tx1"/>
                  </w14:solidFill>
                </w14:textFill>
              </w:rPr>
            </w:pPr>
          </w:p>
        </w:tc>
        <w:tc>
          <w:tcPr>
            <w:tcW w:w="1226" w:type="dxa"/>
            <w:vMerge w:val="continue"/>
            <w:vAlign w:val="center"/>
          </w:tcPr>
          <w:p w14:paraId="74E330C2">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4AD27AF6">
            <w:pPr>
              <w:adjustRightInd w:val="0"/>
              <w:snapToGrid w:val="0"/>
              <w:spacing w:line="360" w:lineRule="auto"/>
              <w:rPr>
                <w:sz w:val="18"/>
                <w:szCs w:val="18"/>
              </w:rPr>
            </w:pPr>
            <w:r>
              <w:rPr>
                <w:sz w:val="18"/>
                <w:szCs w:val="18"/>
              </w:rPr>
              <w:t>论文中期进展报告</w:t>
            </w:r>
          </w:p>
        </w:tc>
        <w:tc>
          <w:tcPr>
            <w:tcW w:w="1081" w:type="dxa"/>
            <w:vAlign w:val="center"/>
          </w:tcPr>
          <w:p w14:paraId="07C40C35">
            <w:pPr>
              <w:adjustRightInd w:val="0"/>
              <w:snapToGrid w:val="0"/>
              <w:spacing w:line="360" w:lineRule="auto"/>
              <w:jc w:val="center"/>
              <w:rPr>
                <w:color w:val="000000" w:themeColor="text1"/>
                <w:sz w:val="18"/>
                <w:szCs w:val="18"/>
                <w14:textFill>
                  <w14:solidFill>
                    <w14:schemeClr w14:val="tx1"/>
                  </w14:solidFill>
                </w14:textFill>
              </w:rPr>
            </w:pPr>
          </w:p>
        </w:tc>
        <w:tc>
          <w:tcPr>
            <w:tcW w:w="709" w:type="dxa"/>
            <w:vAlign w:val="center"/>
          </w:tcPr>
          <w:p w14:paraId="071502C2">
            <w:pPr>
              <w:adjustRightInd w:val="0"/>
              <w:snapToGrid w:val="0"/>
              <w:spacing w:line="360" w:lineRule="auto"/>
              <w:jc w:val="center"/>
              <w:rPr>
                <w:sz w:val="18"/>
                <w:szCs w:val="18"/>
              </w:rPr>
            </w:pPr>
          </w:p>
        </w:tc>
        <w:tc>
          <w:tcPr>
            <w:tcW w:w="709" w:type="dxa"/>
            <w:vAlign w:val="center"/>
          </w:tcPr>
          <w:p w14:paraId="4C17741D">
            <w:pPr>
              <w:adjustRightInd w:val="0"/>
              <w:snapToGrid w:val="0"/>
              <w:spacing w:line="360" w:lineRule="auto"/>
              <w:jc w:val="center"/>
              <w:rPr>
                <w:sz w:val="18"/>
                <w:szCs w:val="18"/>
              </w:rPr>
            </w:pPr>
            <w:r>
              <w:rPr>
                <w:rFonts w:hint="eastAsia"/>
                <w:sz w:val="18"/>
                <w:szCs w:val="18"/>
              </w:rPr>
              <w:t>4</w:t>
            </w:r>
          </w:p>
        </w:tc>
        <w:tc>
          <w:tcPr>
            <w:tcW w:w="1045" w:type="dxa"/>
            <w:vMerge w:val="continue"/>
          </w:tcPr>
          <w:p w14:paraId="3ACE59BF">
            <w:pPr>
              <w:adjustRightInd w:val="0"/>
              <w:snapToGrid w:val="0"/>
              <w:spacing w:line="360" w:lineRule="auto"/>
              <w:jc w:val="center"/>
              <w:rPr>
                <w:sz w:val="18"/>
                <w:szCs w:val="18"/>
              </w:rPr>
            </w:pPr>
          </w:p>
        </w:tc>
      </w:tr>
      <w:tr w14:paraId="13EA72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B9BDB55">
            <w:pPr>
              <w:adjustRightInd w:val="0"/>
              <w:snapToGrid w:val="0"/>
              <w:spacing w:line="360" w:lineRule="auto"/>
              <w:rPr>
                <w:b/>
                <w:color w:val="000000" w:themeColor="text1"/>
                <w:sz w:val="18"/>
                <w:szCs w:val="18"/>
                <w14:textFill>
                  <w14:solidFill>
                    <w14:schemeClr w14:val="tx1"/>
                  </w14:solidFill>
                </w14:textFill>
              </w:rPr>
            </w:pPr>
          </w:p>
        </w:tc>
        <w:tc>
          <w:tcPr>
            <w:tcW w:w="1226" w:type="dxa"/>
            <w:vMerge w:val="continue"/>
            <w:vAlign w:val="center"/>
          </w:tcPr>
          <w:p w14:paraId="753A0499">
            <w:pPr>
              <w:adjustRightInd w:val="0"/>
              <w:snapToGrid w:val="0"/>
              <w:spacing w:line="360" w:lineRule="auto"/>
              <w:jc w:val="center"/>
              <w:rPr>
                <w:b/>
                <w:color w:val="000000" w:themeColor="text1"/>
                <w:sz w:val="18"/>
                <w:szCs w:val="18"/>
                <w14:textFill>
                  <w14:solidFill>
                    <w14:schemeClr w14:val="tx1"/>
                  </w14:solidFill>
                </w14:textFill>
              </w:rPr>
            </w:pPr>
          </w:p>
        </w:tc>
        <w:tc>
          <w:tcPr>
            <w:tcW w:w="3516" w:type="dxa"/>
            <w:vAlign w:val="center"/>
          </w:tcPr>
          <w:p w14:paraId="4DCF4EAD">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250A2EAC">
            <w:pPr>
              <w:adjustRightInd w:val="0"/>
              <w:snapToGrid w:val="0"/>
              <w:spacing w:line="360" w:lineRule="auto"/>
              <w:jc w:val="center"/>
              <w:rPr>
                <w:color w:val="000000" w:themeColor="text1"/>
                <w:sz w:val="18"/>
                <w:szCs w:val="18"/>
                <w14:textFill>
                  <w14:solidFill>
                    <w14:schemeClr w14:val="tx1"/>
                  </w14:solidFill>
                </w14:textFill>
              </w:rPr>
            </w:pPr>
          </w:p>
        </w:tc>
        <w:tc>
          <w:tcPr>
            <w:tcW w:w="709" w:type="dxa"/>
            <w:vAlign w:val="center"/>
          </w:tcPr>
          <w:p w14:paraId="12AD3E93">
            <w:pPr>
              <w:adjustRightInd w:val="0"/>
              <w:snapToGrid w:val="0"/>
              <w:spacing w:line="360" w:lineRule="auto"/>
              <w:jc w:val="center"/>
              <w:rPr>
                <w:sz w:val="18"/>
                <w:szCs w:val="18"/>
              </w:rPr>
            </w:pPr>
          </w:p>
        </w:tc>
        <w:tc>
          <w:tcPr>
            <w:tcW w:w="709" w:type="dxa"/>
            <w:vAlign w:val="center"/>
          </w:tcPr>
          <w:p w14:paraId="1B4648D3">
            <w:pPr>
              <w:adjustRightInd w:val="0"/>
              <w:snapToGrid w:val="0"/>
              <w:spacing w:line="360" w:lineRule="auto"/>
              <w:jc w:val="center"/>
              <w:rPr>
                <w:sz w:val="18"/>
                <w:szCs w:val="18"/>
              </w:rPr>
            </w:pPr>
            <w:r>
              <w:rPr>
                <w:rFonts w:hint="eastAsia"/>
                <w:sz w:val="18"/>
                <w:szCs w:val="18"/>
              </w:rPr>
              <w:t>6</w:t>
            </w:r>
          </w:p>
        </w:tc>
        <w:tc>
          <w:tcPr>
            <w:tcW w:w="1045" w:type="dxa"/>
            <w:vMerge w:val="continue"/>
          </w:tcPr>
          <w:p w14:paraId="72647BB3">
            <w:pPr>
              <w:adjustRightInd w:val="0"/>
              <w:snapToGrid w:val="0"/>
              <w:spacing w:line="360" w:lineRule="auto"/>
              <w:jc w:val="center"/>
              <w:rPr>
                <w:sz w:val="18"/>
                <w:szCs w:val="18"/>
              </w:rPr>
            </w:pPr>
          </w:p>
        </w:tc>
      </w:tr>
      <w:tr w14:paraId="1EF401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487D91">
            <w:pPr>
              <w:adjustRightInd w:val="0"/>
              <w:snapToGrid w:val="0"/>
              <w:spacing w:line="360" w:lineRule="auto"/>
              <w:rPr>
                <w:color w:val="000000" w:themeColor="text1"/>
                <w:sz w:val="18"/>
                <w:szCs w:val="18"/>
                <w14:textFill>
                  <w14:solidFill>
                    <w14:schemeClr w14:val="tx1"/>
                  </w14:solidFill>
                </w14:textFill>
              </w:rPr>
            </w:pPr>
          </w:p>
        </w:tc>
        <w:tc>
          <w:tcPr>
            <w:tcW w:w="1226" w:type="dxa"/>
            <w:vMerge w:val="continue"/>
          </w:tcPr>
          <w:p w14:paraId="0C05DA60">
            <w:pPr>
              <w:adjustRightInd w:val="0"/>
              <w:snapToGrid w:val="0"/>
              <w:spacing w:line="360" w:lineRule="auto"/>
              <w:jc w:val="center"/>
              <w:rPr>
                <w:color w:val="000000" w:themeColor="text1"/>
                <w:sz w:val="18"/>
                <w:szCs w:val="18"/>
                <w14:textFill>
                  <w14:solidFill>
                    <w14:schemeClr w14:val="tx1"/>
                  </w14:solidFill>
                </w14:textFill>
              </w:rPr>
            </w:pPr>
          </w:p>
        </w:tc>
        <w:tc>
          <w:tcPr>
            <w:tcW w:w="3516" w:type="dxa"/>
            <w:vAlign w:val="center"/>
          </w:tcPr>
          <w:p w14:paraId="57975F47">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652F0ECB">
            <w:pPr>
              <w:adjustRightInd w:val="0"/>
              <w:snapToGrid w:val="0"/>
              <w:spacing w:line="360" w:lineRule="auto"/>
              <w:jc w:val="center"/>
              <w:rPr>
                <w:color w:val="000000" w:themeColor="text1"/>
                <w:sz w:val="18"/>
                <w:szCs w:val="18"/>
                <w14:textFill>
                  <w14:solidFill>
                    <w14:schemeClr w14:val="tx1"/>
                  </w14:solidFill>
                </w14:textFill>
              </w:rPr>
            </w:pPr>
          </w:p>
        </w:tc>
        <w:tc>
          <w:tcPr>
            <w:tcW w:w="709" w:type="dxa"/>
            <w:vAlign w:val="center"/>
          </w:tcPr>
          <w:p w14:paraId="59576014">
            <w:pPr>
              <w:adjustRightInd w:val="0"/>
              <w:snapToGrid w:val="0"/>
              <w:spacing w:line="360" w:lineRule="auto"/>
              <w:jc w:val="center"/>
              <w:rPr>
                <w:sz w:val="18"/>
                <w:szCs w:val="18"/>
              </w:rPr>
            </w:pPr>
          </w:p>
        </w:tc>
        <w:tc>
          <w:tcPr>
            <w:tcW w:w="709" w:type="dxa"/>
            <w:vAlign w:val="center"/>
          </w:tcPr>
          <w:p w14:paraId="080DD369">
            <w:pPr>
              <w:adjustRightInd w:val="0"/>
              <w:snapToGrid w:val="0"/>
              <w:spacing w:line="360" w:lineRule="auto"/>
              <w:jc w:val="center"/>
              <w:rPr>
                <w:sz w:val="18"/>
                <w:szCs w:val="18"/>
              </w:rPr>
            </w:pPr>
            <w:r>
              <w:rPr>
                <w:sz w:val="18"/>
                <w:szCs w:val="18"/>
              </w:rPr>
              <w:t>6</w:t>
            </w:r>
          </w:p>
        </w:tc>
        <w:tc>
          <w:tcPr>
            <w:tcW w:w="1045" w:type="dxa"/>
            <w:vMerge w:val="continue"/>
          </w:tcPr>
          <w:p w14:paraId="15740517">
            <w:pPr>
              <w:adjustRightInd w:val="0"/>
              <w:snapToGrid w:val="0"/>
              <w:spacing w:line="360" w:lineRule="auto"/>
              <w:jc w:val="center"/>
              <w:rPr>
                <w:sz w:val="18"/>
                <w:szCs w:val="18"/>
              </w:rPr>
            </w:pPr>
          </w:p>
        </w:tc>
      </w:tr>
      <w:tr w14:paraId="2567E11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1F1E84D">
            <w:pPr>
              <w:adjustRightInd w:val="0"/>
              <w:snapToGrid w:val="0"/>
              <w:spacing w:line="360" w:lineRule="auto"/>
              <w:rPr>
                <w:color w:val="000000" w:themeColor="text1"/>
                <w:sz w:val="18"/>
                <w:szCs w:val="18"/>
                <w14:textFill>
                  <w14:solidFill>
                    <w14:schemeClr w14:val="tx1"/>
                  </w14:solidFill>
                </w14:textFill>
              </w:rPr>
            </w:pPr>
          </w:p>
        </w:tc>
        <w:tc>
          <w:tcPr>
            <w:tcW w:w="1226" w:type="dxa"/>
            <w:vMerge w:val="continue"/>
          </w:tcPr>
          <w:p w14:paraId="08699543">
            <w:pPr>
              <w:adjustRightInd w:val="0"/>
              <w:snapToGrid w:val="0"/>
              <w:spacing w:line="360" w:lineRule="auto"/>
              <w:jc w:val="center"/>
              <w:rPr>
                <w:color w:val="000000" w:themeColor="text1"/>
                <w:sz w:val="18"/>
                <w:szCs w:val="18"/>
                <w14:textFill>
                  <w14:solidFill>
                    <w14:schemeClr w14:val="tx1"/>
                  </w14:solidFill>
                </w14:textFill>
              </w:rPr>
            </w:pPr>
          </w:p>
        </w:tc>
        <w:tc>
          <w:tcPr>
            <w:tcW w:w="3516" w:type="dxa"/>
            <w:vAlign w:val="center"/>
          </w:tcPr>
          <w:p w14:paraId="558FE329">
            <w:pPr>
              <w:adjustRightInd w:val="0"/>
              <w:snapToGrid w:val="0"/>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0C0A821A">
            <w:pPr>
              <w:adjustRightInd w:val="0"/>
              <w:snapToGrid w:val="0"/>
              <w:spacing w:line="360" w:lineRule="auto"/>
              <w:jc w:val="center"/>
              <w:rPr>
                <w:color w:val="000000" w:themeColor="text1"/>
                <w:sz w:val="18"/>
                <w:szCs w:val="18"/>
                <w14:textFill>
                  <w14:solidFill>
                    <w14:schemeClr w14:val="tx1"/>
                  </w14:solidFill>
                </w14:textFill>
              </w:rPr>
            </w:pPr>
          </w:p>
        </w:tc>
        <w:tc>
          <w:tcPr>
            <w:tcW w:w="709" w:type="dxa"/>
            <w:vAlign w:val="center"/>
          </w:tcPr>
          <w:p w14:paraId="0A2DC9A2">
            <w:pPr>
              <w:adjustRightInd w:val="0"/>
              <w:snapToGrid w:val="0"/>
              <w:spacing w:line="360" w:lineRule="auto"/>
              <w:jc w:val="center"/>
              <w:rPr>
                <w:sz w:val="18"/>
                <w:szCs w:val="18"/>
              </w:rPr>
            </w:pPr>
          </w:p>
        </w:tc>
        <w:tc>
          <w:tcPr>
            <w:tcW w:w="709" w:type="dxa"/>
            <w:vAlign w:val="center"/>
          </w:tcPr>
          <w:p w14:paraId="199D0972">
            <w:pPr>
              <w:adjustRightInd w:val="0"/>
              <w:snapToGrid w:val="0"/>
              <w:spacing w:line="360" w:lineRule="auto"/>
              <w:jc w:val="center"/>
              <w:rPr>
                <w:sz w:val="18"/>
                <w:szCs w:val="18"/>
              </w:rPr>
            </w:pPr>
            <w:r>
              <w:rPr>
                <w:sz w:val="18"/>
                <w:szCs w:val="18"/>
              </w:rPr>
              <w:t>6</w:t>
            </w:r>
          </w:p>
        </w:tc>
        <w:tc>
          <w:tcPr>
            <w:tcW w:w="1045" w:type="dxa"/>
            <w:vMerge w:val="continue"/>
          </w:tcPr>
          <w:p w14:paraId="388019BB">
            <w:pPr>
              <w:adjustRightInd w:val="0"/>
              <w:snapToGrid w:val="0"/>
              <w:spacing w:line="360" w:lineRule="auto"/>
              <w:jc w:val="center"/>
              <w:rPr>
                <w:sz w:val="18"/>
                <w:szCs w:val="18"/>
              </w:rPr>
            </w:pPr>
          </w:p>
        </w:tc>
      </w:tr>
    </w:tbl>
    <w:p w14:paraId="1D32239E">
      <w:pPr>
        <w:adjustRightInd w:val="0"/>
        <w:snapToGrid w:val="0"/>
        <w:spacing w:line="360" w:lineRule="auto"/>
        <w:ind w:firstLine="480" w:firstLineChars="200"/>
        <w:rPr>
          <w:rFonts w:eastAsiaTheme="minorEastAsia"/>
          <w:bCs/>
          <w:sz w:val="24"/>
        </w:rPr>
      </w:pPr>
      <w:r>
        <w:rPr>
          <w:rFonts w:eastAsiaTheme="minorEastAsia"/>
          <w:bCs/>
          <w:sz w:val="24"/>
        </w:rPr>
        <w:t>*公共外语课程按入学时的外国语考试科目修读相关语种。</w:t>
      </w:r>
    </w:p>
    <w:p w14:paraId="278D2118">
      <w:pPr>
        <w:adjustRightInd w:val="0"/>
        <w:snapToGrid w:val="0"/>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C3B4E23">
      <w:pPr>
        <w:adjustRightInd w:val="0"/>
        <w:snapToGrid w:val="0"/>
        <w:spacing w:line="360" w:lineRule="auto"/>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3A318C4D">
      <w:pPr>
        <w:adjustRightInd w:val="0"/>
        <w:snapToGrid w:val="0"/>
        <w:spacing w:line="360" w:lineRule="auto"/>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707"/>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613C"/>
    <w:rsid w:val="000662DE"/>
    <w:rsid w:val="00067DA2"/>
    <w:rsid w:val="00070FB5"/>
    <w:rsid w:val="00073226"/>
    <w:rsid w:val="000773B4"/>
    <w:rsid w:val="000777E4"/>
    <w:rsid w:val="00080077"/>
    <w:rsid w:val="0008043C"/>
    <w:rsid w:val="000808AC"/>
    <w:rsid w:val="000819A1"/>
    <w:rsid w:val="00081ED3"/>
    <w:rsid w:val="00082A32"/>
    <w:rsid w:val="000846F8"/>
    <w:rsid w:val="00084EE7"/>
    <w:rsid w:val="000854CB"/>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0F2C"/>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4D47"/>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176"/>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5745A"/>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6CF"/>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BF4"/>
    <w:rsid w:val="00313F81"/>
    <w:rsid w:val="00314560"/>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2EDF"/>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4EA9"/>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269D4"/>
    <w:rsid w:val="00431329"/>
    <w:rsid w:val="0043229B"/>
    <w:rsid w:val="00432B06"/>
    <w:rsid w:val="00432D6A"/>
    <w:rsid w:val="00437442"/>
    <w:rsid w:val="00441446"/>
    <w:rsid w:val="00442209"/>
    <w:rsid w:val="004424CB"/>
    <w:rsid w:val="00444DA6"/>
    <w:rsid w:val="00445D02"/>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1B4B"/>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5C56"/>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E40"/>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183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59F9"/>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44BA"/>
    <w:rsid w:val="006C54A4"/>
    <w:rsid w:val="006C5F7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4625"/>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1BB8"/>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A7655"/>
    <w:rsid w:val="007B0007"/>
    <w:rsid w:val="007B0BCD"/>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3DDA"/>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2E79"/>
    <w:rsid w:val="00825096"/>
    <w:rsid w:val="00825B05"/>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354"/>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2E0E"/>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0B"/>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3D6"/>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1B4D"/>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518"/>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26D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6B2"/>
    <w:rsid w:val="00C927D7"/>
    <w:rsid w:val="00C9322D"/>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E69D7"/>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37FD7"/>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E6A"/>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E6D89"/>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E43"/>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2D4B"/>
    <w:rsid w:val="00F03465"/>
    <w:rsid w:val="00F03509"/>
    <w:rsid w:val="00F039F6"/>
    <w:rsid w:val="00F039F9"/>
    <w:rsid w:val="00F03A26"/>
    <w:rsid w:val="00F041CE"/>
    <w:rsid w:val="00F041E0"/>
    <w:rsid w:val="00F042DC"/>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C25"/>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4EF1"/>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6AF4"/>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76D"/>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4EF6240"/>
    <w:rsid w:val="184D7A6D"/>
    <w:rsid w:val="1FE96C05"/>
    <w:rsid w:val="35FA68B4"/>
    <w:rsid w:val="39251D40"/>
    <w:rsid w:val="40811336"/>
    <w:rsid w:val="5385202A"/>
    <w:rsid w:val="53855276"/>
    <w:rsid w:val="55054DD5"/>
    <w:rsid w:val="7D480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5</Pages>
  <Words>3699</Words>
  <Characters>3869</Characters>
  <Lines>176</Lines>
  <Paragraphs>166</Paragraphs>
  <TotalTime>5</TotalTime>
  <ScaleCrop>false</ScaleCrop>
  <LinksUpToDate>false</LinksUpToDate>
  <CharactersWithSpaces>3886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2025-06-09T03:22:00Z</dcterms:created>
  <dc:creator>刘明旭</dc:creator>
  <cp:lastModifiedBy>可儿</cp:lastModifiedBy>
  <cp:lastPrinted>2025-03-14T03:17:00Z</cp:lastPrinted>
  <dcterms:modified xsi:type="dcterms:W3CDTF">2025-07-14T09:19:13Z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eyJoZGlkIjoiZTc1ZjU4ZGM4MmRlYjBkMGFiM2M0MTg2NzI5ZTI4NzUiLCJ1c2VySWQiOiIzMjM0MDI2NTMifQ==</vt:lpwstr>
  </property>
  <property fmtid="{D5CDD505-2E9C-101B-9397-08002B2CF9AE}" pid="4" name="ICV">
    <vt:lpwstr>ED57DB6DE4284025ABCCF9C9C584AF7D_12</vt:lpwstr>
  </property>
</Properties>
</file>