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1D83D0">
      <w:pPr>
        <w:spacing w:line="360" w:lineRule="auto"/>
        <w:ind w:left="321" w:leftChars="153" w:right="227"/>
        <w:jc w:val="center"/>
        <w:rPr>
          <w:rFonts w:eastAsia="黑体"/>
          <w:b/>
          <w:bCs/>
          <w:i w:val="0"/>
          <w:iCs/>
          <w:color w:val="auto"/>
          <w:sz w:val="36"/>
          <w:szCs w:val="36"/>
          <w:u w:val="none"/>
        </w:rPr>
      </w:pPr>
      <w:r>
        <w:rPr>
          <w:rFonts w:hint="eastAsia" w:eastAsia="黑体"/>
          <w:b/>
          <w:bCs/>
          <w:i w:val="0"/>
          <w:iCs/>
          <w:color w:val="auto"/>
          <w:sz w:val="36"/>
          <w:szCs w:val="36"/>
          <w:u w:val="none"/>
        </w:rPr>
        <w:t>生物学</w:t>
      </w:r>
      <w:r>
        <w:rPr>
          <w:rFonts w:eastAsia="黑体"/>
          <w:b/>
          <w:bCs/>
          <w:i w:val="0"/>
          <w:iCs/>
          <w:color w:val="auto"/>
          <w:sz w:val="36"/>
          <w:szCs w:val="36"/>
          <w:u w:val="none"/>
        </w:rPr>
        <w:t>专业学术学位博士研究生培养方案</w:t>
      </w:r>
    </w:p>
    <w:p w14:paraId="2D569C1A">
      <w:pPr>
        <w:spacing w:line="360" w:lineRule="auto"/>
        <w:ind w:left="321" w:leftChars="153" w:right="227"/>
        <w:jc w:val="center"/>
        <w:rPr>
          <w:rFonts w:eastAsia="黑体"/>
          <w:b/>
          <w:bCs/>
          <w:sz w:val="24"/>
        </w:rPr>
      </w:pPr>
      <w:r>
        <w:rPr>
          <w:rFonts w:eastAsia="黑体"/>
          <w:b/>
          <w:bCs/>
          <w:color w:val="auto"/>
          <w:sz w:val="24"/>
        </w:rPr>
        <w:t>（</w:t>
      </w:r>
      <w:r>
        <w:rPr>
          <w:rFonts w:hint="eastAsia" w:eastAsia="黑体"/>
          <w:b/>
          <w:bCs/>
          <w:color w:val="auto"/>
          <w:sz w:val="24"/>
        </w:rPr>
        <w:t>生命科学</w:t>
      </w:r>
      <w:r>
        <w:rPr>
          <w:rFonts w:eastAsia="黑体"/>
          <w:b/>
          <w:bCs/>
          <w:color w:val="auto"/>
          <w:sz w:val="24"/>
        </w:rPr>
        <w:t>学院</w:t>
      </w:r>
      <w:r>
        <w:rPr>
          <w:rFonts w:eastAsia="黑体"/>
          <w:b/>
          <w:bCs/>
          <w:sz w:val="24"/>
        </w:rPr>
        <w:t>)</w:t>
      </w:r>
    </w:p>
    <w:p w14:paraId="64D84DE3">
      <w:pPr>
        <w:spacing w:line="360" w:lineRule="auto"/>
        <w:ind w:firstLine="560"/>
        <w:rPr>
          <w:rFonts w:eastAsia="黑体"/>
          <w:b/>
          <w:bCs w:val="0"/>
          <w:sz w:val="28"/>
          <w:szCs w:val="28"/>
        </w:rPr>
      </w:pPr>
      <w:r>
        <w:rPr>
          <w:rFonts w:eastAsia="黑体"/>
          <w:b/>
          <w:bCs w:val="0"/>
          <w:sz w:val="28"/>
          <w:szCs w:val="28"/>
        </w:rPr>
        <w:t>一、专业名称、代码</w:t>
      </w:r>
    </w:p>
    <w:p w14:paraId="5264E52B">
      <w:pPr>
        <w:keepNext w:val="0"/>
        <w:keepLines w:val="0"/>
        <w:pageBreakBefore w:val="0"/>
        <w:widowControl/>
        <w:kinsoku/>
        <w:wordWrap/>
        <w:overflowPunct/>
        <w:topLinePunct w:val="0"/>
        <w:autoSpaceDE/>
        <w:autoSpaceDN/>
        <w:bidi w:val="0"/>
        <w:adjustRightInd/>
        <w:snapToGrid/>
        <w:spacing w:line="360" w:lineRule="auto"/>
        <w:ind w:firstLine="960" w:firstLineChars="400"/>
        <w:jc w:val="left"/>
        <w:textAlignment w:val="auto"/>
        <w:rPr>
          <w:color w:val="222222"/>
          <w:kern w:val="0"/>
          <w:sz w:val="24"/>
        </w:rPr>
      </w:pPr>
      <w:r>
        <w:rPr>
          <w:rFonts w:hint="eastAsia"/>
          <w:color w:val="222222"/>
          <w:kern w:val="0"/>
          <w:sz w:val="24"/>
        </w:rPr>
        <w:t>所属门类：理学</w:t>
      </w:r>
    </w:p>
    <w:p w14:paraId="5ADA295C">
      <w:pPr>
        <w:keepNext w:val="0"/>
        <w:keepLines w:val="0"/>
        <w:pageBreakBefore w:val="0"/>
        <w:widowControl/>
        <w:kinsoku/>
        <w:wordWrap/>
        <w:overflowPunct/>
        <w:topLinePunct w:val="0"/>
        <w:autoSpaceDE/>
        <w:autoSpaceDN/>
        <w:bidi w:val="0"/>
        <w:adjustRightInd/>
        <w:snapToGrid/>
        <w:spacing w:line="360" w:lineRule="auto"/>
        <w:ind w:firstLine="960" w:firstLineChars="400"/>
        <w:jc w:val="left"/>
        <w:textAlignment w:val="auto"/>
        <w:rPr>
          <w:color w:val="222222"/>
          <w:kern w:val="0"/>
          <w:sz w:val="24"/>
        </w:rPr>
      </w:pPr>
      <w:r>
        <w:rPr>
          <w:rFonts w:hint="eastAsia"/>
          <w:color w:val="222222"/>
          <w:kern w:val="0"/>
          <w:sz w:val="24"/>
        </w:rPr>
        <w:t>一级学科名称：生物学</w:t>
      </w:r>
    </w:p>
    <w:p w14:paraId="6939ADD2">
      <w:pPr>
        <w:keepNext w:val="0"/>
        <w:keepLines w:val="0"/>
        <w:pageBreakBefore w:val="0"/>
        <w:widowControl/>
        <w:kinsoku/>
        <w:wordWrap/>
        <w:overflowPunct/>
        <w:topLinePunct w:val="0"/>
        <w:autoSpaceDE/>
        <w:autoSpaceDN/>
        <w:bidi w:val="0"/>
        <w:adjustRightInd/>
        <w:snapToGrid/>
        <w:spacing w:line="360" w:lineRule="auto"/>
        <w:ind w:firstLine="960" w:firstLineChars="400"/>
        <w:jc w:val="left"/>
        <w:textAlignment w:val="auto"/>
        <w:rPr>
          <w:rFonts w:eastAsia="黑体"/>
          <w:b/>
          <w:bCs w:val="0"/>
          <w:sz w:val="28"/>
          <w:szCs w:val="28"/>
        </w:rPr>
      </w:pPr>
      <w:r>
        <w:rPr>
          <w:rFonts w:hint="eastAsia"/>
          <w:color w:val="222222"/>
          <w:kern w:val="0"/>
          <w:sz w:val="24"/>
        </w:rPr>
        <w:t>一级学科代码：0710</w:t>
      </w:r>
    </w:p>
    <w:p w14:paraId="1E986939">
      <w:pPr>
        <w:spacing w:line="360" w:lineRule="auto"/>
        <w:ind w:firstLine="560"/>
        <w:rPr>
          <w:rFonts w:eastAsia="黑体"/>
          <w:b/>
          <w:bCs w:val="0"/>
          <w:sz w:val="28"/>
          <w:szCs w:val="28"/>
        </w:rPr>
      </w:pPr>
      <w:r>
        <w:rPr>
          <w:rFonts w:eastAsia="黑体"/>
          <w:b/>
          <w:bCs w:val="0"/>
          <w:sz w:val="28"/>
          <w:szCs w:val="28"/>
        </w:rPr>
        <w:t>二、专业简介</w:t>
      </w:r>
    </w:p>
    <w:p w14:paraId="591385AD">
      <w:pPr>
        <w:pStyle w:val="7"/>
        <w:keepNext w:val="0"/>
        <w:keepLines w:val="0"/>
        <w:pageBreakBefore w:val="0"/>
        <w:widowControl w:val="0"/>
        <w:kinsoku/>
        <w:wordWrap/>
        <w:overflowPunct/>
        <w:topLinePunct w:val="0"/>
        <w:autoSpaceDE w:val="0"/>
        <w:autoSpaceDN w:val="0"/>
        <w:bidi w:val="0"/>
        <w:adjustRightInd/>
        <w:snapToGrid/>
        <w:spacing w:before="18" w:line="360" w:lineRule="auto"/>
        <w:ind w:right="357" w:firstLine="420"/>
        <w:jc w:val="both"/>
        <w:textAlignment w:val="auto"/>
        <w:rPr>
          <w:rFonts w:hint="default" w:ascii="Times New Roman" w:hAnsi="Times New Roman" w:eastAsia="宋体" w:cs="Times New Roman"/>
          <w:spacing w:val="-7"/>
          <w:lang w:eastAsia="zh-CN"/>
        </w:rPr>
      </w:pPr>
      <w:r>
        <w:rPr>
          <w:rFonts w:hint="default" w:ascii="Times New Roman" w:hAnsi="Times New Roman" w:eastAsia="宋体" w:cs="Times New Roman"/>
          <w:spacing w:val="-7"/>
          <w:lang w:eastAsia="zh-CN"/>
        </w:rPr>
        <w:t>本学科始建于1952年，2000年获批博士学位点，2003年设立博士后科研工作站，拥有深厚的历史积淀与坚实的发展基础。学科平台优势显著，</w:t>
      </w:r>
      <w:r>
        <w:rPr>
          <w:rFonts w:hint="default" w:ascii="Times New Roman" w:hAnsi="Times New Roman" w:eastAsia="宋体" w:cs="Times New Roman"/>
          <w:spacing w:val="-2"/>
          <w:lang w:eastAsia="zh-CN"/>
        </w:rPr>
        <w:t>拥有</w:t>
      </w:r>
      <w:r>
        <w:rPr>
          <w:rFonts w:hint="default" w:ascii="Times New Roman" w:hAnsi="Times New Roman" w:eastAsia="宋体" w:cs="Times New Roman"/>
          <w:lang w:eastAsia="zh-CN"/>
        </w:rPr>
        <w:t>动1个物学国家级重点（培育）学科、1个省部共建重点</w:t>
      </w:r>
      <w:r>
        <w:rPr>
          <w:rFonts w:hint="eastAsia" w:ascii="Times New Roman" w:hAnsi="Times New Roman" w:cs="Times New Roman"/>
          <w:lang w:val="en-US" w:eastAsia="zh-CN"/>
        </w:rPr>
        <w:t>实</w:t>
      </w:r>
      <w:r>
        <w:rPr>
          <w:rFonts w:hint="default" w:ascii="Times New Roman" w:hAnsi="Times New Roman" w:eastAsia="宋体" w:cs="Times New Roman"/>
          <w:lang w:eastAsia="zh-CN"/>
        </w:rPr>
        <w:t>验室、2个省级重点学科、3个省级重</w:t>
      </w:r>
      <w:r>
        <w:rPr>
          <w:rFonts w:hint="default" w:ascii="Times New Roman" w:hAnsi="Times New Roman" w:eastAsia="宋体" w:cs="Times New Roman"/>
          <w:spacing w:val="-2"/>
          <w:lang w:eastAsia="zh-CN"/>
        </w:rPr>
        <w:t>点实验室、1个省级基础学科研究中心、1个教育部工程研究中心、2个野外科学研究观测站</w:t>
      </w:r>
      <w:r>
        <w:rPr>
          <w:rFonts w:hint="default" w:ascii="Times New Roman" w:hAnsi="Times New Roman" w:eastAsia="宋体" w:cs="Times New Roman"/>
          <w:spacing w:val="-7"/>
          <w:lang w:eastAsia="zh-CN"/>
        </w:rPr>
        <w:t>，为科研工作提供了有力支撑。同时，作为河北省人才培养模式示范基地、教学实验中心，凭借各方向优秀学术团队和教学团队，在人才培养方面成果丰硕。</w:t>
      </w:r>
    </w:p>
    <w:p w14:paraId="6D9927A5">
      <w:pPr>
        <w:pStyle w:val="7"/>
        <w:keepNext w:val="0"/>
        <w:keepLines w:val="0"/>
        <w:pageBreakBefore w:val="0"/>
        <w:widowControl w:val="0"/>
        <w:kinsoku/>
        <w:wordWrap/>
        <w:overflowPunct/>
        <w:topLinePunct w:val="0"/>
        <w:autoSpaceDE w:val="0"/>
        <w:autoSpaceDN w:val="0"/>
        <w:bidi w:val="0"/>
        <w:adjustRightInd/>
        <w:snapToGrid/>
        <w:spacing w:line="360" w:lineRule="auto"/>
        <w:ind w:left="758"/>
        <w:textAlignment w:val="auto"/>
        <w:rPr>
          <w:rFonts w:hint="default" w:ascii="Times New Roman" w:hAnsi="Times New Roman" w:eastAsia="宋体" w:cs="Times New Roman"/>
          <w:lang w:eastAsia="zh-CN"/>
        </w:rPr>
      </w:pPr>
      <w:r>
        <w:rPr>
          <w:rFonts w:hint="default" w:ascii="Times New Roman" w:hAnsi="Times New Roman" w:eastAsia="宋体" w:cs="Times New Roman"/>
          <w:spacing w:val="-3"/>
          <w:lang w:eastAsia="zh-CN"/>
        </w:rPr>
        <w:t>（一）特色</w:t>
      </w:r>
    </w:p>
    <w:p w14:paraId="2792D75C">
      <w:pPr>
        <w:pStyle w:val="7"/>
        <w:keepNext w:val="0"/>
        <w:keepLines w:val="0"/>
        <w:pageBreakBefore w:val="0"/>
        <w:widowControl w:val="0"/>
        <w:kinsoku/>
        <w:wordWrap/>
        <w:overflowPunct/>
        <w:topLinePunct w:val="0"/>
        <w:autoSpaceDE w:val="0"/>
        <w:autoSpaceDN w:val="0"/>
        <w:bidi w:val="0"/>
        <w:adjustRightInd/>
        <w:snapToGrid/>
        <w:spacing w:before="113" w:line="360" w:lineRule="auto"/>
        <w:ind w:right="237" w:firstLine="420"/>
        <w:textAlignment w:val="auto"/>
        <w:rPr>
          <w:rFonts w:hint="default" w:ascii="Times New Roman" w:hAnsi="Times New Roman" w:eastAsia="宋体" w:cs="Times New Roman"/>
          <w:spacing w:val="-7"/>
          <w:lang w:eastAsia="zh-CN"/>
        </w:rPr>
      </w:pPr>
      <w:r>
        <w:rPr>
          <w:rFonts w:hint="default" w:ascii="Times New Roman" w:hAnsi="Times New Roman" w:eastAsia="宋体" w:cs="Times New Roman"/>
          <w:spacing w:val="-3"/>
          <w:lang w:eastAsia="zh-CN"/>
        </w:rPr>
        <w:t>本学科经历长期发展形成多个特色研究领域：</w:t>
      </w:r>
      <w:r>
        <w:rPr>
          <w:rFonts w:hint="default" w:ascii="Times New Roman" w:hAnsi="Times New Roman" w:eastAsia="宋体" w:cs="Times New Roman"/>
          <w:lang w:eastAsia="zh-CN"/>
        </w:rPr>
        <w:t xml:space="preserve">1. </w:t>
      </w:r>
      <w:r>
        <w:rPr>
          <w:rFonts w:hint="default" w:ascii="Times New Roman" w:hAnsi="Times New Roman" w:eastAsia="宋体" w:cs="Times New Roman"/>
          <w:spacing w:val="-2"/>
          <w:lang w:eastAsia="zh-CN"/>
        </w:rPr>
        <w:t>开展环境适应的多组学机理研究，</w:t>
      </w:r>
      <w:r>
        <w:rPr>
          <w:rFonts w:hint="default" w:ascii="Times New Roman" w:hAnsi="Times New Roman" w:eastAsia="宋体" w:cs="Times New Roman"/>
          <w:lang w:eastAsia="zh-CN"/>
        </w:rPr>
        <w:t>特别是针对重大农业害虫和重要传粉昆虫开展表型可塑性（生理、行为、生态）和表观基因组学研究，在世界前沿领域已取得重要发现；2. 无脊椎动物分类和系统进化研究享誉海内外，是中国动物分类的重要基地；3. 开展多物种间共</w:t>
      </w:r>
      <w:r>
        <w:rPr>
          <w:rFonts w:hint="default" w:ascii="Times New Roman" w:hAnsi="Times New Roman" w:eastAsia="宋体" w:cs="Times New Roman"/>
          <w:spacing w:val="-6"/>
          <w:lang w:eastAsia="zh-CN"/>
        </w:rPr>
        <w:t>生关系、真菌多样性和环境互作、微生物的分类和资源利用等研究，形成新的学科增长</w:t>
      </w:r>
      <w:r>
        <w:rPr>
          <w:rFonts w:hint="default" w:ascii="Times New Roman" w:hAnsi="Times New Roman" w:eastAsia="宋体" w:cs="Times New Roman"/>
          <w:spacing w:val="-18"/>
          <w:lang w:eastAsia="zh-CN"/>
        </w:rPr>
        <w:t>点；</w:t>
      </w:r>
      <w:r>
        <w:rPr>
          <w:rFonts w:hint="default" w:ascii="Times New Roman" w:hAnsi="Times New Roman" w:eastAsia="宋体" w:cs="Times New Roman"/>
          <w:lang w:eastAsia="zh-CN"/>
        </w:rPr>
        <w:t xml:space="preserve">4.  </w:t>
      </w:r>
      <w:r>
        <w:rPr>
          <w:rFonts w:hint="default" w:ascii="Times New Roman" w:hAnsi="Times New Roman" w:eastAsia="宋体" w:cs="Times New Roman"/>
          <w:spacing w:val="-5"/>
          <w:lang w:eastAsia="zh-CN"/>
        </w:rPr>
        <w:t>基于现代分子技术、组学技术和基因编辑技术开展分子生物学、生理学、发育生</w:t>
      </w:r>
      <w:r>
        <w:rPr>
          <w:rFonts w:hint="default" w:ascii="Times New Roman" w:hAnsi="Times New Roman" w:eastAsia="宋体" w:cs="Times New Roman"/>
          <w:spacing w:val="-4"/>
          <w:lang w:eastAsia="zh-CN"/>
        </w:rPr>
        <w:t>物学及整合生物学研究；</w:t>
      </w:r>
      <w:r>
        <w:rPr>
          <w:rFonts w:hint="default" w:ascii="Times New Roman" w:hAnsi="Times New Roman" w:eastAsia="宋体" w:cs="Times New Roman"/>
          <w:lang w:eastAsia="zh-CN"/>
        </w:rPr>
        <w:t>5. 研究植物和菌类的生物功能小分子、生物合成与转化、药物作用机理、重大疾病分子病理学与诊断治疗，在国内形成较大综合优势；6.</w:t>
      </w:r>
      <w:r>
        <w:rPr>
          <w:rFonts w:hint="default" w:ascii="Times New Roman" w:hAnsi="Times New Roman" w:eastAsia="宋体" w:cs="Times New Roman"/>
          <w:spacing w:val="-4"/>
          <w:lang w:eastAsia="zh-CN"/>
        </w:rPr>
        <w:t>在水生动物发育繁殖、良种培育、营养学和物种多样性</w:t>
      </w:r>
      <w:r>
        <w:rPr>
          <w:rFonts w:hint="default" w:ascii="Times New Roman" w:hAnsi="Times New Roman" w:eastAsia="宋体" w:cs="Times New Roman"/>
          <w:spacing w:val="-3"/>
          <w:lang w:eastAsia="zh-CN"/>
        </w:rPr>
        <w:t>等方面实现了理论与应用研究的有机结合，</w:t>
      </w:r>
      <w:r>
        <w:rPr>
          <w:rFonts w:hint="default" w:ascii="Times New Roman" w:hAnsi="Times New Roman" w:eastAsia="宋体" w:cs="Times New Roman"/>
          <w:lang w:eastAsia="zh-CN"/>
        </w:rPr>
        <w:t>是我国北方</w:t>
      </w:r>
      <w:r>
        <w:rPr>
          <w:rFonts w:hint="default" w:ascii="Times New Roman" w:hAnsi="Times New Roman" w:eastAsia="宋体" w:cs="Times New Roman"/>
          <w:spacing w:val="-4"/>
          <w:lang w:eastAsia="zh-CN"/>
        </w:rPr>
        <w:t>最早建立的水生生物学硕士点</w:t>
      </w:r>
      <w:r>
        <w:rPr>
          <w:rFonts w:hint="default" w:ascii="Times New Roman" w:hAnsi="Times New Roman" w:eastAsia="宋体" w:cs="Times New Roman"/>
          <w:spacing w:val="-3"/>
          <w:lang w:eastAsia="zh-CN"/>
        </w:rPr>
        <w:t>；</w:t>
      </w:r>
      <w:r>
        <w:rPr>
          <w:rFonts w:hint="default" w:ascii="Times New Roman" w:hAnsi="Times New Roman" w:eastAsia="宋体" w:cs="Times New Roman"/>
          <w:lang w:eastAsia="zh-CN"/>
        </w:rPr>
        <w:t xml:space="preserve">7. </w:t>
      </w:r>
      <w:r>
        <w:rPr>
          <w:rFonts w:hint="default" w:ascii="Times New Roman" w:hAnsi="Times New Roman" w:eastAsia="宋体" w:cs="Times New Roman"/>
          <w:spacing w:val="-7"/>
          <w:lang w:eastAsia="zh-CN"/>
        </w:rPr>
        <w:t>在京津冀生物多样性保护、生态修复与保护、生物入侵理论和实践方面具有雄厚的研究基础，</w:t>
      </w:r>
      <w:r>
        <w:rPr>
          <w:rFonts w:hint="default" w:ascii="Times New Roman" w:hAnsi="Times New Roman" w:eastAsia="宋体" w:cs="Times New Roman"/>
          <w:lang w:eastAsia="zh-CN"/>
        </w:rPr>
        <w:t>引进和培育了多个研究团队，在</w:t>
      </w:r>
      <w:r>
        <w:rPr>
          <w:rFonts w:hint="default" w:ascii="Times New Roman" w:hAnsi="Times New Roman" w:eastAsia="宋体" w:cs="Times New Roman"/>
          <w:spacing w:val="-6"/>
          <w:lang w:eastAsia="zh-CN"/>
        </w:rPr>
        <w:t>昆虫学、动物生态学和植物生态学等领域有多个全球高被引学</w:t>
      </w:r>
      <w:r>
        <w:rPr>
          <w:rFonts w:hint="default" w:ascii="Times New Roman" w:hAnsi="Times New Roman" w:eastAsia="宋体" w:cs="Times New Roman"/>
          <w:spacing w:val="-7"/>
          <w:lang w:eastAsia="zh-CN"/>
        </w:rPr>
        <w:t>者。</w:t>
      </w:r>
    </w:p>
    <w:p w14:paraId="457870C8">
      <w:pPr>
        <w:pStyle w:val="7"/>
        <w:keepNext w:val="0"/>
        <w:keepLines w:val="0"/>
        <w:pageBreakBefore w:val="0"/>
        <w:widowControl w:val="0"/>
        <w:numPr>
          <w:ilvl w:val="0"/>
          <w:numId w:val="1"/>
        </w:numPr>
        <w:kinsoku/>
        <w:wordWrap/>
        <w:overflowPunct/>
        <w:topLinePunct w:val="0"/>
        <w:autoSpaceDE w:val="0"/>
        <w:autoSpaceDN w:val="0"/>
        <w:bidi w:val="0"/>
        <w:adjustRightInd/>
        <w:snapToGrid/>
        <w:spacing w:line="360" w:lineRule="auto"/>
        <w:ind w:left="758"/>
        <w:textAlignment w:val="auto"/>
        <w:rPr>
          <w:rFonts w:hint="eastAsia" w:ascii="Times New Roman" w:hAnsi="Times New Roman" w:cs="Times New Roman"/>
          <w:spacing w:val="-3"/>
          <w:lang w:val="en-US" w:eastAsia="zh-CN"/>
        </w:rPr>
      </w:pPr>
      <w:r>
        <w:rPr>
          <w:rFonts w:hint="eastAsia" w:ascii="Times New Roman" w:hAnsi="Times New Roman" w:cs="Times New Roman"/>
          <w:spacing w:val="-3"/>
          <w:lang w:val="en-US" w:eastAsia="zh-CN"/>
        </w:rPr>
        <w:t>优势</w:t>
      </w:r>
    </w:p>
    <w:p w14:paraId="7844C936">
      <w:pPr>
        <w:pStyle w:val="7"/>
        <w:keepNext w:val="0"/>
        <w:keepLines w:val="0"/>
        <w:pageBreakBefore w:val="0"/>
        <w:widowControl w:val="0"/>
        <w:numPr>
          <w:ilvl w:val="0"/>
          <w:numId w:val="2"/>
        </w:numPr>
        <w:kinsoku/>
        <w:wordWrap/>
        <w:overflowPunct/>
        <w:topLinePunct w:val="0"/>
        <w:autoSpaceDE w:val="0"/>
        <w:autoSpaceDN w:val="0"/>
        <w:bidi w:val="0"/>
        <w:adjustRightInd/>
        <w:snapToGrid/>
        <w:spacing w:line="360" w:lineRule="auto"/>
        <w:ind w:left="340" w:firstLine="482" w:firstLineChars="0"/>
        <w:textAlignment w:val="auto"/>
        <w:rPr>
          <w:rFonts w:hint="default" w:ascii="Times New Roman" w:hAnsi="Times New Roman" w:eastAsia="宋体" w:cs="Times New Roman"/>
          <w:sz w:val="24"/>
        </w:rPr>
      </w:pPr>
      <w:r>
        <w:rPr>
          <w:rFonts w:hint="default" w:ascii="Times New Roman" w:hAnsi="Times New Roman" w:eastAsia="宋体" w:cs="Times New Roman"/>
          <w:b/>
          <w:spacing w:val="-3"/>
          <w:sz w:val="24"/>
        </w:rPr>
        <w:t>学术团队国内一流：</w:t>
      </w:r>
      <w:r>
        <w:rPr>
          <w:rFonts w:hint="default" w:ascii="Times New Roman" w:hAnsi="Times New Roman" w:eastAsia="宋体" w:cs="Times New Roman"/>
          <w:spacing w:val="-3"/>
          <w:sz w:val="24"/>
        </w:rPr>
        <w:t>学术队伍中博士研究生导师</w:t>
      </w:r>
      <w:r>
        <w:rPr>
          <w:rFonts w:hint="default" w:ascii="Times New Roman" w:hAnsi="Times New Roman" w:eastAsia="宋体" w:cs="Times New Roman"/>
          <w:sz w:val="24"/>
        </w:rPr>
        <w:t>38</w:t>
      </w:r>
      <w:r>
        <w:rPr>
          <w:rFonts w:hint="default" w:ascii="Times New Roman" w:hAnsi="Times New Roman" w:eastAsia="宋体" w:cs="Times New Roman"/>
          <w:spacing w:val="-8"/>
          <w:sz w:val="24"/>
        </w:rPr>
        <w:t>人、硕士研究生导师</w:t>
      </w:r>
      <w:r>
        <w:rPr>
          <w:rFonts w:hint="eastAsia" w:cs="Times New Roman"/>
          <w:spacing w:val="-8"/>
          <w:sz w:val="24"/>
          <w:lang w:val="en-US" w:eastAsia="zh-CN"/>
        </w:rPr>
        <w:t xml:space="preserve"> </w:t>
      </w:r>
      <w:r>
        <w:rPr>
          <w:rFonts w:hint="default" w:ascii="Times New Roman" w:hAnsi="Times New Roman" w:eastAsia="宋体" w:cs="Times New Roman"/>
          <w:sz w:val="24"/>
        </w:rPr>
        <w:t>95</w:t>
      </w:r>
      <w:r>
        <w:rPr>
          <w:rFonts w:hint="default" w:ascii="Times New Roman" w:hAnsi="Times New Roman" w:eastAsia="宋体" w:cs="Times New Roman"/>
          <w:spacing w:val="-4"/>
          <w:sz w:val="24"/>
        </w:rPr>
        <w:t>人，其中中国科学院院士</w:t>
      </w:r>
      <w:r>
        <w:rPr>
          <w:rFonts w:hint="default" w:ascii="Times New Roman" w:hAnsi="Times New Roman" w:eastAsia="宋体" w:cs="Times New Roman"/>
          <w:spacing w:val="-10"/>
          <w:sz w:val="24"/>
        </w:rPr>
        <w:t>2</w:t>
      </w:r>
      <w:r>
        <w:rPr>
          <w:rFonts w:hint="default" w:ascii="Times New Roman" w:hAnsi="Times New Roman" w:eastAsia="宋体" w:cs="Times New Roman"/>
          <w:spacing w:val="-13"/>
          <w:sz w:val="24"/>
        </w:rPr>
        <w:t>名、国家</w:t>
      </w:r>
      <w:r>
        <w:rPr>
          <w:rFonts w:hint="eastAsia" w:cs="Times New Roman"/>
          <w:spacing w:val="-13"/>
          <w:sz w:val="24"/>
          <w:lang w:val="en-US" w:eastAsia="zh-CN"/>
        </w:rPr>
        <w:t xml:space="preserve"> </w:t>
      </w:r>
      <w:r>
        <w:rPr>
          <w:rFonts w:hint="default" w:ascii="Times New Roman" w:hAnsi="Times New Roman" w:eastAsia="宋体" w:cs="Times New Roman"/>
          <w:sz w:val="24"/>
        </w:rPr>
        <w:t>973</w:t>
      </w:r>
      <w:r>
        <w:rPr>
          <w:rFonts w:hint="default" w:ascii="Times New Roman" w:hAnsi="Times New Roman" w:eastAsia="宋体" w:cs="Times New Roman"/>
          <w:spacing w:val="-15"/>
          <w:sz w:val="24"/>
        </w:rPr>
        <w:t xml:space="preserve"> </w:t>
      </w:r>
      <w:r>
        <w:rPr>
          <w:rFonts w:hint="default" w:ascii="Times New Roman" w:hAnsi="Times New Roman" w:eastAsia="宋体" w:cs="Times New Roman"/>
          <w:spacing w:val="-6"/>
          <w:sz w:val="24"/>
        </w:rPr>
        <w:t>项目首席科学家科学家</w:t>
      </w:r>
      <w:r>
        <w:rPr>
          <w:rFonts w:hint="default" w:ascii="Times New Roman" w:hAnsi="Times New Roman" w:eastAsia="宋体" w:cs="Times New Roman"/>
          <w:sz w:val="24"/>
        </w:rPr>
        <w:t>5</w:t>
      </w:r>
      <w:r>
        <w:rPr>
          <w:rFonts w:hint="default" w:ascii="Times New Roman" w:hAnsi="Times New Roman" w:eastAsia="宋体" w:cs="Times New Roman"/>
          <w:spacing w:val="-9"/>
          <w:sz w:val="24"/>
        </w:rPr>
        <w:t>名、国家杰出青年基金获者</w:t>
      </w:r>
      <w:r>
        <w:rPr>
          <w:rFonts w:hint="default" w:ascii="Times New Roman" w:hAnsi="Times New Roman" w:eastAsia="宋体" w:cs="Times New Roman"/>
          <w:sz w:val="24"/>
        </w:rPr>
        <w:t>2</w:t>
      </w:r>
      <w:r>
        <w:rPr>
          <w:rFonts w:hint="default" w:ascii="Times New Roman" w:hAnsi="Times New Roman" w:eastAsia="宋体" w:cs="Times New Roman"/>
          <w:spacing w:val="-9"/>
          <w:sz w:val="24"/>
        </w:rPr>
        <w:t>人、长江学者</w:t>
      </w:r>
      <w:r>
        <w:rPr>
          <w:rFonts w:hint="default" w:ascii="Times New Roman" w:hAnsi="Times New Roman" w:eastAsia="宋体" w:cs="Times New Roman"/>
          <w:sz w:val="24"/>
        </w:rPr>
        <w:t>1</w:t>
      </w:r>
      <w:r>
        <w:rPr>
          <w:rFonts w:hint="default" w:ascii="Times New Roman" w:hAnsi="Times New Roman" w:eastAsia="宋体" w:cs="Times New Roman"/>
          <w:spacing w:val="-2"/>
          <w:sz w:val="24"/>
        </w:rPr>
        <w:t>人、万人计划领</w:t>
      </w:r>
      <w:r>
        <w:rPr>
          <w:rFonts w:hint="default" w:ascii="Times New Roman" w:hAnsi="Times New Roman" w:eastAsia="宋体" w:cs="Times New Roman"/>
          <w:spacing w:val="-15"/>
          <w:sz w:val="24"/>
        </w:rPr>
        <w:t>军人才</w:t>
      </w:r>
      <w:r>
        <w:rPr>
          <w:rFonts w:hint="default" w:ascii="Times New Roman" w:hAnsi="Times New Roman" w:eastAsia="宋体" w:cs="Times New Roman"/>
          <w:sz w:val="24"/>
        </w:rPr>
        <w:t>1</w:t>
      </w:r>
      <w:r>
        <w:rPr>
          <w:rFonts w:hint="default" w:ascii="Times New Roman" w:hAnsi="Times New Roman" w:eastAsia="宋体" w:cs="Times New Roman"/>
          <w:spacing w:val="-9"/>
          <w:sz w:val="24"/>
        </w:rPr>
        <w:t>人、国家优秀青年基金获得者</w:t>
      </w:r>
      <w:r>
        <w:rPr>
          <w:rFonts w:hint="default" w:ascii="Times New Roman" w:hAnsi="Times New Roman" w:eastAsia="宋体" w:cs="Times New Roman"/>
          <w:sz w:val="24"/>
        </w:rPr>
        <w:t>1</w:t>
      </w:r>
      <w:r>
        <w:rPr>
          <w:rFonts w:hint="default" w:ascii="Times New Roman" w:hAnsi="Times New Roman" w:eastAsia="宋体" w:cs="Times New Roman"/>
          <w:spacing w:val="-5"/>
          <w:sz w:val="24"/>
        </w:rPr>
        <w:t>人、中国科协青年托举人才</w:t>
      </w:r>
      <w:r>
        <w:rPr>
          <w:rFonts w:hint="default" w:ascii="Times New Roman" w:hAnsi="Times New Roman" w:eastAsia="宋体" w:cs="Times New Roman"/>
          <w:sz w:val="24"/>
        </w:rPr>
        <w:t>2</w:t>
      </w:r>
      <w:r>
        <w:rPr>
          <w:rFonts w:hint="default" w:ascii="Times New Roman" w:hAnsi="Times New Roman" w:eastAsia="宋体" w:cs="Times New Roman"/>
          <w:spacing w:val="-5"/>
          <w:sz w:val="24"/>
        </w:rPr>
        <w:t>人。</w:t>
      </w:r>
    </w:p>
    <w:p w14:paraId="503D7B8D">
      <w:pPr>
        <w:pStyle w:val="27"/>
        <w:keepNext w:val="0"/>
        <w:keepLines w:val="0"/>
        <w:pageBreakBefore w:val="0"/>
        <w:widowControl w:val="0"/>
        <w:numPr>
          <w:ilvl w:val="0"/>
          <w:numId w:val="2"/>
        </w:numPr>
        <w:tabs>
          <w:tab w:val="left" w:pos="940"/>
        </w:tabs>
        <w:kinsoku/>
        <w:wordWrap/>
        <w:overflowPunct/>
        <w:topLinePunct w:val="0"/>
        <w:autoSpaceDE w:val="0"/>
        <w:autoSpaceDN w:val="0"/>
        <w:bidi w:val="0"/>
        <w:adjustRightInd/>
        <w:snapToGrid/>
        <w:spacing w:before="112" w:line="360" w:lineRule="auto"/>
        <w:ind w:left="340" w:leftChars="0" w:right="353" w:rightChars="0" w:firstLine="482" w:firstLineChars="0"/>
        <w:jc w:val="left"/>
        <w:textAlignment w:val="auto"/>
        <w:rPr>
          <w:rFonts w:hint="default" w:ascii="Times New Roman" w:hAnsi="Times New Roman" w:eastAsia="宋体" w:cs="Times New Roman"/>
          <w:sz w:val="24"/>
        </w:rPr>
      </w:pPr>
      <w:r>
        <w:rPr>
          <w:rFonts w:hint="default" w:ascii="Times New Roman" w:hAnsi="Times New Roman" w:eastAsia="宋体" w:cs="Times New Roman"/>
          <w:b/>
          <w:spacing w:val="-2"/>
          <w:sz w:val="24"/>
        </w:rPr>
        <w:t>科研实力强，承担国家和地方动物志为全国高校之首：</w:t>
      </w:r>
      <w:r>
        <w:rPr>
          <w:rFonts w:hint="default" w:ascii="Times New Roman" w:hAnsi="Times New Roman" w:eastAsia="宋体" w:cs="Times New Roman"/>
          <w:spacing w:val="-2"/>
          <w:sz w:val="24"/>
        </w:rPr>
        <w:t>本学科迄今承担《中国动物志》16</w:t>
      </w:r>
      <w:r>
        <w:rPr>
          <w:rFonts w:hint="default" w:ascii="Times New Roman" w:hAnsi="Times New Roman" w:eastAsia="宋体" w:cs="Times New Roman"/>
          <w:spacing w:val="-13"/>
          <w:sz w:val="24"/>
        </w:rPr>
        <w:t xml:space="preserve"> </w:t>
      </w:r>
      <w:r>
        <w:rPr>
          <w:rFonts w:hint="default" w:ascii="Times New Roman" w:hAnsi="Times New Roman" w:eastAsia="宋体" w:cs="Times New Roman"/>
          <w:spacing w:val="-2"/>
          <w:sz w:val="24"/>
        </w:rPr>
        <w:t>卷，《河北动物志》6</w:t>
      </w:r>
      <w:r>
        <w:rPr>
          <w:rFonts w:hint="default" w:ascii="Times New Roman" w:hAnsi="Times New Roman" w:eastAsia="宋体" w:cs="Times New Roman"/>
          <w:spacing w:val="-13"/>
          <w:sz w:val="24"/>
        </w:rPr>
        <w:t xml:space="preserve"> </w:t>
      </w:r>
      <w:r>
        <w:rPr>
          <w:rFonts w:hint="default" w:ascii="Times New Roman" w:hAnsi="Times New Roman" w:eastAsia="宋体" w:cs="Times New Roman"/>
          <w:spacing w:val="-4"/>
          <w:sz w:val="24"/>
        </w:rPr>
        <w:t xml:space="preserve">卷，完成了《动物学名词》等一系列著作；近 </w:t>
      </w:r>
      <w:r>
        <w:rPr>
          <w:rFonts w:hint="default" w:ascii="Times New Roman" w:hAnsi="Times New Roman" w:eastAsia="宋体" w:cs="Times New Roman"/>
          <w:spacing w:val="-2"/>
          <w:sz w:val="24"/>
        </w:rPr>
        <w:t>5</w:t>
      </w:r>
      <w:r>
        <w:rPr>
          <w:rFonts w:hint="default" w:ascii="Times New Roman" w:hAnsi="Times New Roman" w:eastAsia="宋体" w:cs="Times New Roman"/>
          <w:spacing w:val="-13"/>
          <w:sz w:val="24"/>
        </w:rPr>
        <w:t xml:space="preserve"> </w:t>
      </w:r>
      <w:r>
        <w:rPr>
          <w:rFonts w:hint="default" w:ascii="Times New Roman" w:hAnsi="Times New Roman" w:eastAsia="宋体" w:cs="Times New Roman"/>
          <w:spacing w:val="-2"/>
          <w:sz w:val="24"/>
        </w:rPr>
        <w:t>年承担</w:t>
      </w:r>
      <w:r>
        <w:rPr>
          <w:rFonts w:hint="default" w:ascii="Times New Roman" w:hAnsi="Times New Roman" w:eastAsia="宋体" w:cs="Times New Roman"/>
          <w:spacing w:val="-8"/>
          <w:sz w:val="24"/>
        </w:rPr>
        <w:t xml:space="preserve">国家自然科学基金重点 </w:t>
      </w:r>
      <w:r>
        <w:rPr>
          <w:rFonts w:hint="default" w:ascii="Times New Roman" w:hAnsi="Times New Roman" w:eastAsia="宋体" w:cs="Times New Roman"/>
          <w:spacing w:val="-2"/>
          <w:sz w:val="24"/>
        </w:rPr>
        <w:t>2</w:t>
      </w:r>
      <w:r>
        <w:rPr>
          <w:rFonts w:hint="default" w:ascii="Times New Roman" w:hAnsi="Times New Roman" w:eastAsia="宋体" w:cs="Times New Roman"/>
          <w:spacing w:val="-5"/>
          <w:sz w:val="24"/>
        </w:rPr>
        <w:t xml:space="preserve"> </w:t>
      </w:r>
      <w:r>
        <w:rPr>
          <w:rFonts w:hint="default" w:ascii="Times New Roman" w:hAnsi="Times New Roman" w:eastAsia="宋体" w:cs="Times New Roman"/>
          <w:spacing w:val="-7"/>
          <w:sz w:val="24"/>
        </w:rPr>
        <w:t xml:space="preserve">项、重大基金项目子课题 </w:t>
      </w:r>
      <w:r>
        <w:rPr>
          <w:rFonts w:hint="default" w:ascii="Times New Roman" w:hAnsi="Times New Roman" w:eastAsia="宋体" w:cs="Times New Roman"/>
          <w:spacing w:val="-2"/>
          <w:sz w:val="24"/>
        </w:rPr>
        <w:t xml:space="preserve">12 </w:t>
      </w:r>
      <w:r>
        <w:rPr>
          <w:rFonts w:hint="default" w:ascii="Times New Roman" w:hAnsi="Times New Roman" w:eastAsia="宋体" w:cs="Times New Roman"/>
          <w:spacing w:val="-11"/>
          <w:sz w:val="24"/>
        </w:rPr>
        <w:t xml:space="preserve">项、面上基金 </w:t>
      </w:r>
      <w:r>
        <w:rPr>
          <w:rFonts w:hint="default" w:ascii="Times New Roman" w:hAnsi="Times New Roman" w:eastAsia="宋体" w:cs="Times New Roman"/>
          <w:spacing w:val="-2"/>
          <w:sz w:val="24"/>
        </w:rPr>
        <w:t>30 余项、国家基础</w:t>
      </w:r>
      <w:r>
        <w:rPr>
          <w:rFonts w:hint="default" w:ascii="Times New Roman" w:hAnsi="Times New Roman" w:eastAsia="宋体" w:cs="Times New Roman"/>
          <w:spacing w:val="-7"/>
          <w:sz w:val="24"/>
        </w:rPr>
        <w:t xml:space="preserve">研究与基础条件平台专项 </w:t>
      </w:r>
      <w:r>
        <w:rPr>
          <w:rFonts w:hint="default" w:ascii="Times New Roman" w:hAnsi="Times New Roman" w:eastAsia="宋体" w:cs="Times New Roman"/>
          <w:spacing w:val="-2"/>
          <w:sz w:val="24"/>
        </w:rPr>
        <w:t>14</w:t>
      </w:r>
      <w:r>
        <w:rPr>
          <w:rFonts w:hint="default" w:ascii="Times New Roman" w:hAnsi="Times New Roman" w:eastAsia="宋体" w:cs="Times New Roman"/>
          <w:spacing w:val="6"/>
          <w:sz w:val="24"/>
        </w:rPr>
        <w:t xml:space="preserve"> </w:t>
      </w:r>
      <w:r>
        <w:rPr>
          <w:rFonts w:hint="default" w:ascii="Times New Roman" w:hAnsi="Times New Roman" w:eastAsia="宋体" w:cs="Times New Roman"/>
          <w:spacing w:val="-8"/>
          <w:sz w:val="24"/>
        </w:rPr>
        <w:t xml:space="preserve">项、省部级项目近 </w:t>
      </w:r>
      <w:r>
        <w:rPr>
          <w:rFonts w:hint="default" w:ascii="Times New Roman" w:hAnsi="Times New Roman" w:eastAsia="宋体" w:cs="Times New Roman"/>
          <w:spacing w:val="-2"/>
          <w:sz w:val="24"/>
        </w:rPr>
        <w:t>60</w:t>
      </w:r>
      <w:r>
        <w:rPr>
          <w:rFonts w:hint="default" w:ascii="Times New Roman" w:hAnsi="Times New Roman" w:eastAsia="宋体" w:cs="Times New Roman"/>
          <w:spacing w:val="7"/>
          <w:sz w:val="24"/>
        </w:rPr>
        <w:t xml:space="preserve"> </w:t>
      </w:r>
      <w:r>
        <w:rPr>
          <w:rFonts w:hint="default" w:ascii="Times New Roman" w:hAnsi="Times New Roman" w:eastAsia="宋体" w:cs="Times New Roman"/>
          <w:spacing w:val="-3"/>
          <w:sz w:val="24"/>
        </w:rPr>
        <w:t>项；获省级科技进步成果奖和自然科</w:t>
      </w:r>
      <w:r>
        <w:rPr>
          <w:rFonts w:hint="default" w:ascii="Times New Roman" w:hAnsi="Times New Roman" w:eastAsia="宋体" w:cs="Times New Roman"/>
          <w:spacing w:val="-20"/>
          <w:sz w:val="24"/>
        </w:rPr>
        <w:t xml:space="preserve">学奖 </w:t>
      </w:r>
      <w:r>
        <w:rPr>
          <w:rFonts w:hint="default" w:ascii="Times New Roman" w:hAnsi="Times New Roman" w:eastAsia="宋体" w:cs="Times New Roman"/>
          <w:sz w:val="24"/>
        </w:rPr>
        <w:t xml:space="preserve">23 </w:t>
      </w:r>
      <w:r>
        <w:rPr>
          <w:rFonts w:hint="default" w:ascii="Times New Roman" w:hAnsi="Times New Roman" w:eastAsia="宋体" w:cs="Times New Roman"/>
          <w:spacing w:val="-8"/>
          <w:sz w:val="24"/>
        </w:rPr>
        <w:t xml:space="preserve">项、国家图书奖 </w:t>
      </w:r>
      <w:r>
        <w:rPr>
          <w:rFonts w:hint="default" w:ascii="Times New Roman" w:hAnsi="Times New Roman" w:eastAsia="宋体" w:cs="Times New Roman"/>
          <w:sz w:val="24"/>
        </w:rPr>
        <w:t xml:space="preserve">3 </w:t>
      </w:r>
      <w:r>
        <w:rPr>
          <w:rFonts w:hint="default" w:ascii="Times New Roman" w:hAnsi="Times New Roman" w:eastAsia="宋体" w:cs="Times New Roman"/>
          <w:spacing w:val="-6"/>
          <w:sz w:val="24"/>
        </w:rPr>
        <w:t xml:space="preserve">项、国家发明专利技术 </w:t>
      </w:r>
      <w:r>
        <w:rPr>
          <w:rFonts w:hint="default" w:ascii="Times New Roman" w:hAnsi="Times New Roman" w:eastAsia="宋体" w:cs="Times New Roman"/>
          <w:sz w:val="24"/>
        </w:rPr>
        <w:t xml:space="preserve">8 </w:t>
      </w:r>
      <w:r>
        <w:rPr>
          <w:rFonts w:hint="default" w:ascii="Times New Roman" w:hAnsi="Times New Roman" w:eastAsia="宋体" w:cs="Times New Roman"/>
          <w:spacing w:val="-6"/>
          <w:sz w:val="24"/>
        </w:rPr>
        <w:t xml:space="preserve">项；出版学术专著和教材 </w:t>
      </w:r>
      <w:r>
        <w:rPr>
          <w:rFonts w:hint="default" w:ascii="Times New Roman" w:hAnsi="Times New Roman" w:eastAsia="宋体" w:cs="Times New Roman"/>
          <w:sz w:val="24"/>
        </w:rPr>
        <w:t xml:space="preserve">70 </w:t>
      </w:r>
      <w:r>
        <w:rPr>
          <w:rFonts w:hint="default" w:ascii="Times New Roman" w:hAnsi="Times New Roman" w:eastAsia="宋体" w:cs="Times New Roman"/>
          <w:spacing w:val="-4"/>
          <w:sz w:val="24"/>
        </w:rPr>
        <w:t>余部。</w:t>
      </w:r>
    </w:p>
    <w:p w14:paraId="59FC61BD">
      <w:pPr>
        <w:pStyle w:val="27"/>
        <w:keepNext w:val="0"/>
        <w:keepLines w:val="0"/>
        <w:pageBreakBefore w:val="0"/>
        <w:widowControl w:val="0"/>
        <w:numPr>
          <w:ilvl w:val="0"/>
          <w:numId w:val="2"/>
        </w:numPr>
        <w:tabs>
          <w:tab w:val="left" w:pos="940"/>
        </w:tabs>
        <w:kinsoku/>
        <w:wordWrap/>
        <w:overflowPunct/>
        <w:topLinePunct w:val="0"/>
        <w:autoSpaceDE w:val="0"/>
        <w:autoSpaceDN w:val="0"/>
        <w:bidi w:val="0"/>
        <w:adjustRightInd/>
        <w:snapToGrid/>
        <w:spacing w:before="112" w:line="360" w:lineRule="auto"/>
        <w:ind w:left="340" w:leftChars="0" w:right="353" w:rightChars="0" w:firstLine="482" w:firstLineChars="0"/>
        <w:jc w:val="left"/>
        <w:textAlignment w:val="auto"/>
        <w:rPr>
          <w:rFonts w:eastAsia="黑体"/>
          <w:bCs/>
          <w:sz w:val="24"/>
        </w:rPr>
      </w:pPr>
      <w:r>
        <w:rPr>
          <w:rFonts w:hint="default" w:ascii="Times New Roman" w:hAnsi="Times New Roman" w:eastAsia="宋体" w:cs="Times New Roman"/>
          <w:b/>
          <w:spacing w:val="-5"/>
          <w:sz w:val="24"/>
        </w:rPr>
        <w:t>教学科研资源丰富：</w:t>
      </w:r>
      <w:r>
        <w:rPr>
          <w:rFonts w:hint="default" w:ascii="Times New Roman" w:hAnsi="Times New Roman" w:eastAsia="宋体" w:cs="Times New Roman"/>
          <w:spacing w:val="-5"/>
          <w:sz w:val="24"/>
        </w:rPr>
        <w:t xml:space="preserve">本学科仪器设备先进，总资逾 </w:t>
      </w:r>
      <w:r>
        <w:rPr>
          <w:rFonts w:hint="default" w:ascii="Times New Roman" w:hAnsi="Times New Roman" w:eastAsia="宋体" w:cs="Times New Roman"/>
          <w:spacing w:val="-2"/>
          <w:sz w:val="24"/>
        </w:rPr>
        <w:t>6800</w:t>
      </w:r>
      <w:r>
        <w:rPr>
          <w:rFonts w:hint="default" w:ascii="Times New Roman" w:hAnsi="Times New Roman" w:eastAsia="宋体" w:cs="Times New Roman"/>
          <w:spacing w:val="11"/>
          <w:sz w:val="24"/>
        </w:rPr>
        <w:t xml:space="preserve"> </w:t>
      </w:r>
      <w:r>
        <w:rPr>
          <w:rFonts w:hint="default" w:ascii="Times New Roman" w:hAnsi="Times New Roman" w:eastAsia="宋体" w:cs="Times New Roman"/>
          <w:spacing w:val="-3"/>
          <w:sz w:val="24"/>
        </w:rPr>
        <w:t>万元；图书资料丰富，馆</w:t>
      </w:r>
      <w:r>
        <w:rPr>
          <w:rFonts w:hint="default" w:ascii="Times New Roman" w:hAnsi="Times New Roman" w:eastAsia="宋体" w:cs="Times New Roman"/>
          <w:spacing w:val="-6"/>
          <w:sz w:val="24"/>
        </w:rPr>
        <w:t xml:space="preserve">藏生物标本超过 </w:t>
      </w:r>
      <w:r>
        <w:rPr>
          <w:rFonts w:hint="default" w:ascii="Times New Roman" w:hAnsi="Times New Roman" w:eastAsia="宋体" w:cs="Times New Roman"/>
          <w:spacing w:val="-2"/>
          <w:sz w:val="24"/>
        </w:rPr>
        <w:t>130</w:t>
      </w:r>
      <w:r>
        <w:rPr>
          <w:rFonts w:hint="default" w:ascii="Times New Roman" w:hAnsi="Times New Roman" w:eastAsia="宋体" w:cs="Times New Roman"/>
          <w:spacing w:val="-13"/>
          <w:sz w:val="24"/>
        </w:rPr>
        <w:t xml:space="preserve"> </w:t>
      </w:r>
      <w:r>
        <w:rPr>
          <w:rFonts w:hint="default" w:ascii="Times New Roman" w:hAnsi="Times New Roman" w:eastAsia="宋体" w:cs="Times New Roman"/>
          <w:spacing w:val="-2"/>
          <w:sz w:val="24"/>
        </w:rPr>
        <w:t>余万件，是全国高校馆藏生物标本量最大的单位之一；放线菌纯种的保存数量居国内前列。</w:t>
      </w:r>
    </w:p>
    <w:p w14:paraId="7F5943C3">
      <w:pPr>
        <w:keepNext w:val="0"/>
        <w:keepLines w:val="0"/>
        <w:pageBreakBefore w:val="0"/>
        <w:widowControl w:val="0"/>
        <w:kinsoku/>
        <w:wordWrap/>
        <w:overflowPunct/>
        <w:topLinePunct w:val="0"/>
        <w:autoSpaceDE/>
        <w:autoSpaceDN/>
        <w:bidi w:val="0"/>
        <w:adjustRightInd/>
        <w:snapToGrid/>
        <w:spacing w:line="360" w:lineRule="auto"/>
        <w:ind w:firstLine="561"/>
        <w:textAlignment w:val="auto"/>
        <w:rPr>
          <w:rFonts w:eastAsia="黑体"/>
          <w:b/>
          <w:bCs w:val="0"/>
          <w:sz w:val="28"/>
          <w:szCs w:val="28"/>
        </w:rPr>
      </w:pPr>
      <w:r>
        <w:rPr>
          <w:rFonts w:eastAsia="黑体"/>
          <w:b/>
          <w:bCs w:val="0"/>
          <w:sz w:val="28"/>
          <w:szCs w:val="28"/>
        </w:rPr>
        <w:t>三、研究方向</w:t>
      </w:r>
    </w:p>
    <w:p w14:paraId="33967607">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360" w:lineRule="auto"/>
        <w:ind w:leftChars="-1" w:firstLine="482" w:firstLineChars="0"/>
        <w:textAlignment w:val="auto"/>
        <w:rPr>
          <w:spacing w:val="-4"/>
          <w:sz w:val="24"/>
        </w:rPr>
      </w:pPr>
      <w:r>
        <w:rPr>
          <w:rFonts w:hint="eastAsia"/>
          <w:b/>
          <w:bCs/>
          <w:spacing w:val="-4"/>
          <w:sz w:val="24"/>
          <w:lang w:val="en-US" w:eastAsia="zh-CN"/>
        </w:rPr>
        <w:t xml:space="preserve">1. </w:t>
      </w:r>
      <w:r>
        <w:rPr>
          <w:rFonts w:hint="eastAsia"/>
          <w:b/>
          <w:bCs/>
          <w:spacing w:val="-4"/>
          <w:sz w:val="24"/>
        </w:rPr>
        <w:t>动物学</w:t>
      </w:r>
      <w:r>
        <w:rPr>
          <w:rFonts w:hint="eastAsia"/>
          <w:spacing w:val="-4"/>
          <w:sz w:val="24"/>
        </w:rPr>
        <w:t>：以现代动物系统学、生物多样性和生物地理学理论为基石，致力于培养具备扎实基础理论、广阔学术视野、卓越创新实践能力与独立科研能力的专业人才。注重经典分类学与现代生物新技术有机结合，推动基础研究与应用技术协同发展，深入探索未知动物资源，揭示生物多样性奥秘。在宏观层面，聚焦动物种系发生、适应性、功能结构、多样性形成机制、分布格局及生物地理学规律；微观层面，深入剖析分子系统学、基因进化、分子地理学及行为特征的遗传基础。积极开展优势动物资源保护与利用研究，力求取得具有国际影响力的原创性成果。</w:t>
      </w:r>
    </w:p>
    <w:p w14:paraId="68096CD9">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360" w:lineRule="auto"/>
        <w:ind w:leftChars="-1" w:firstLine="482" w:firstLineChars="0"/>
        <w:textAlignment w:val="auto"/>
        <w:rPr>
          <w:spacing w:val="-4"/>
          <w:sz w:val="24"/>
        </w:rPr>
      </w:pPr>
      <w:r>
        <w:rPr>
          <w:rFonts w:hint="eastAsia"/>
          <w:b/>
          <w:bCs/>
          <w:spacing w:val="-4"/>
          <w:sz w:val="24"/>
          <w:lang w:val="en-US" w:eastAsia="zh-CN"/>
        </w:rPr>
        <w:t xml:space="preserve">2. </w:t>
      </w:r>
      <w:r>
        <w:rPr>
          <w:rFonts w:hint="eastAsia"/>
          <w:b/>
          <w:bCs/>
          <w:spacing w:val="-4"/>
          <w:sz w:val="24"/>
        </w:rPr>
        <w:t>生物化学与分子细胞生物学</w:t>
      </w:r>
      <w:r>
        <w:rPr>
          <w:rFonts w:hint="eastAsia"/>
          <w:spacing w:val="-4"/>
          <w:sz w:val="24"/>
        </w:rPr>
        <w:t>：运用天然药物活性分子发现、小鼠模型构建及生命医学前沿技术，从细胞、分子水平，经模式动物研究，最终延伸至人类样本，系统解析人类相关疾病的分子信号传导机制，精准寻找新型药物靶点，为创新药物研发筑牢理论根基。长期专注于天然药物活性成分挖掘与信号转导通路研究，紧密结合基础研究与药物开发应用，不断探索生命科学与医学交叉领域的前沿问题。</w:t>
      </w:r>
      <w:r>
        <w:rPr>
          <w:spacing w:val="-4"/>
          <w:sz w:val="24"/>
        </w:rPr>
        <w:t>采用多学科交叉的研究策略聚焦人类重大疾病的分子机制与药物靶点发现。通过整合天然药物活性分子筛选、小鼠模型构建等前沿技术手段，建立从分子、细胞到模式动物的多层次研究体系。以生物化学和分子细胞生物学为核心研究方法，结合临床样本分析，系统阐明疾病发生发展的信号转导网络，为创新药物研发提供理论基础。长期致力于天然药物活性成分的发现与作用机制解析</w:t>
      </w:r>
      <w:r>
        <w:rPr>
          <w:rFonts w:hint="eastAsia"/>
          <w:spacing w:val="-4"/>
          <w:sz w:val="24"/>
        </w:rPr>
        <w:t>、重大</w:t>
      </w:r>
      <w:r>
        <w:rPr>
          <w:spacing w:val="-4"/>
          <w:sz w:val="24"/>
        </w:rPr>
        <w:t>疾病相关信号通路调控</w:t>
      </w:r>
      <w:r>
        <w:rPr>
          <w:rFonts w:hint="eastAsia"/>
          <w:spacing w:val="-4"/>
          <w:sz w:val="24"/>
        </w:rPr>
        <w:t>机制及</w:t>
      </w:r>
      <w:r>
        <w:rPr>
          <w:spacing w:val="-4"/>
          <w:sz w:val="24"/>
        </w:rPr>
        <w:t>精准</w:t>
      </w:r>
      <w:r>
        <w:rPr>
          <w:rFonts w:hint="eastAsia"/>
          <w:spacing w:val="-4"/>
          <w:sz w:val="24"/>
        </w:rPr>
        <w:t>干预、</w:t>
      </w:r>
      <w:r>
        <w:rPr>
          <w:spacing w:val="-4"/>
          <w:sz w:val="24"/>
        </w:rPr>
        <w:t>基础研究成果向药物开发的转化应用。通过持续探索生命科学与医学的交叉前沿，推动从基础研究到临床应用的转化医学发展。</w:t>
      </w:r>
    </w:p>
    <w:p w14:paraId="11935DA3">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360" w:lineRule="auto"/>
        <w:ind w:leftChars="-1" w:firstLine="482" w:firstLineChars="0"/>
        <w:textAlignment w:val="auto"/>
        <w:rPr>
          <w:spacing w:val="-4"/>
          <w:sz w:val="24"/>
        </w:rPr>
      </w:pPr>
      <w:r>
        <w:rPr>
          <w:rFonts w:hint="eastAsia"/>
          <w:b/>
          <w:bCs/>
          <w:spacing w:val="-4"/>
          <w:sz w:val="24"/>
          <w:lang w:val="en-US" w:eastAsia="zh-CN"/>
        </w:rPr>
        <w:t xml:space="preserve">3. </w:t>
      </w:r>
      <w:r>
        <w:rPr>
          <w:rFonts w:hint="eastAsia"/>
          <w:b/>
          <w:bCs/>
          <w:spacing w:val="-4"/>
          <w:sz w:val="24"/>
        </w:rPr>
        <w:t>微生物学</w:t>
      </w:r>
      <w:r>
        <w:rPr>
          <w:rFonts w:hint="eastAsia"/>
          <w:spacing w:val="-4"/>
          <w:sz w:val="24"/>
        </w:rPr>
        <w:t>：以微生物多样性保育、资源开发利用、合成生物学与发酵调控、动物病毒防控技术及溶瘤机制为主要研究方向。深入挖掘各类微生物资源，创新微生物分类方法与体系，积极发现新物种，构建高效微生物遗传操作系统，用于微生物代谢工程育种，提升微生物资源利用价值。全力攻克动物病毒感染、致病及溶瘤机制难题，建立先进的病毒检测技术，研发新型疫苗与溶瘤制剂，构建产学研深度融合的技术创新体系，推动微生物学研究成果的产业化应用。</w:t>
      </w:r>
    </w:p>
    <w:p w14:paraId="5A150B8D">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360" w:lineRule="auto"/>
        <w:ind w:leftChars="-1" w:firstLine="482" w:firstLineChars="0"/>
        <w:textAlignment w:val="auto"/>
        <w:rPr>
          <w:color w:val="auto"/>
          <w:spacing w:val="-4"/>
          <w:sz w:val="24"/>
        </w:rPr>
      </w:pPr>
      <w:r>
        <w:rPr>
          <w:rFonts w:hint="eastAsia"/>
          <w:b/>
          <w:bCs/>
          <w:spacing w:val="-4"/>
          <w:sz w:val="24"/>
          <w:lang w:val="en-US" w:eastAsia="zh-CN"/>
        </w:rPr>
        <w:t xml:space="preserve">4. </w:t>
      </w:r>
      <w:r>
        <w:rPr>
          <w:rFonts w:hint="eastAsia"/>
          <w:b/>
          <w:bCs/>
          <w:spacing w:val="-4"/>
          <w:sz w:val="24"/>
        </w:rPr>
        <w:t>植物学</w:t>
      </w:r>
      <w:r>
        <w:rPr>
          <w:rFonts w:hint="eastAsia"/>
          <w:spacing w:val="-4"/>
          <w:sz w:val="24"/>
        </w:rPr>
        <w:t>：针对逆境植物资源保护、生态安全评价和中药现代化等关键科学问题，开展创新性植物资源与生态响应机理研究。聚焦干旱、湿地、盐碱等特殊生境以及药用、濒危、特有、入侵等特色植物资源，系统研究丛枝菌根（</w:t>
      </w:r>
      <w:r>
        <w:rPr>
          <w:spacing w:val="-4"/>
          <w:sz w:val="24"/>
        </w:rPr>
        <w:t>AM</w:t>
      </w:r>
      <w:r>
        <w:rPr>
          <w:rFonts w:hint="eastAsia"/>
          <w:spacing w:val="-4"/>
          <w:sz w:val="24"/>
        </w:rPr>
        <w:t>）真菌和深色有隔内生真菌（</w:t>
      </w:r>
      <w:r>
        <w:rPr>
          <w:spacing w:val="-4"/>
          <w:sz w:val="24"/>
        </w:rPr>
        <w:t>DSE</w:t>
      </w:r>
      <w:r>
        <w:rPr>
          <w:rFonts w:hint="eastAsia"/>
          <w:spacing w:val="-4"/>
          <w:sz w:val="24"/>
        </w:rPr>
        <w:t>）的资源多样性、生态地理分布及其环境调控机制。深入探索菌根共生体在植被恢复、植物生长发育及药用植物有效成分代谢过程中的作用机理与应用潜力。大力开展耐逆植物资源引种驯化和优良基因挖掘工作，</w:t>
      </w:r>
      <w:r>
        <w:rPr>
          <w:rFonts w:hint="eastAsia"/>
          <w:color w:val="auto"/>
          <w:spacing w:val="-4"/>
          <w:sz w:val="24"/>
        </w:rPr>
        <w:t>为京冀津地区生态安全评价提供科学依据与技术支撑。</w:t>
      </w:r>
    </w:p>
    <w:p w14:paraId="39C15A56">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360" w:lineRule="auto"/>
        <w:ind w:leftChars="-1" w:firstLine="482" w:firstLineChars="0"/>
        <w:textAlignment w:val="auto"/>
        <w:rPr>
          <w:rFonts w:eastAsiaTheme="minorEastAsia"/>
          <w:i/>
          <w:color w:val="auto"/>
          <w:sz w:val="24"/>
        </w:rPr>
      </w:pPr>
      <w:r>
        <w:rPr>
          <w:rFonts w:hint="eastAsia"/>
          <w:b/>
          <w:bCs/>
          <w:color w:val="auto"/>
          <w:spacing w:val="-4"/>
          <w:sz w:val="24"/>
          <w:lang w:val="en-US" w:eastAsia="zh-CN"/>
        </w:rPr>
        <w:t xml:space="preserve">5. </w:t>
      </w:r>
      <w:r>
        <w:rPr>
          <w:rFonts w:hint="eastAsia"/>
          <w:b/>
          <w:bCs/>
          <w:color w:val="auto"/>
          <w:spacing w:val="-4"/>
          <w:sz w:val="24"/>
        </w:rPr>
        <w:t>水生生物学</w:t>
      </w:r>
      <w:r>
        <w:rPr>
          <w:rFonts w:hint="eastAsia"/>
          <w:color w:val="auto"/>
          <w:spacing w:val="-4"/>
          <w:sz w:val="24"/>
        </w:rPr>
        <w:t>：围绕水生生物多样性生态保护与资源可持续利用核心目标，着力培养基础扎实、视野开阔、创新实践与科研能力兼备的专业人才。借助现代生物学技术，揭示水生动物生殖、发育、种质保育与改良机制，</w:t>
      </w:r>
      <w:r>
        <w:rPr>
          <w:rFonts w:hint="eastAsia" w:eastAsiaTheme="minorEastAsia"/>
          <w:iCs/>
          <w:color w:val="auto"/>
          <w:sz w:val="24"/>
        </w:rPr>
        <w:t>构筑水产</w:t>
      </w:r>
      <w:r>
        <w:rPr>
          <w:rFonts w:eastAsiaTheme="minorEastAsia"/>
          <w:iCs/>
          <w:color w:val="auto"/>
          <w:sz w:val="24"/>
        </w:rPr>
        <w:t>养殖优良种质创制的技术平台，为优良种质创制提供前沿理论和技术</w:t>
      </w:r>
      <w:r>
        <w:rPr>
          <w:rFonts w:hint="eastAsia" w:eastAsiaTheme="minorEastAsia"/>
          <w:iCs/>
          <w:color w:val="auto"/>
          <w:sz w:val="24"/>
        </w:rPr>
        <w:t>；</w:t>
      </w:r>
      <w:r>
        <w:rPr>
          <w:rFonts w:hint="eastAsia"/>
          <w:color w:val="auto"/>
          <w:spacing w:val="-4"/>
          <w:sz w:val="24"/>
        </w:rPr>
        <w:t>阐释水产动物营养需求规律与免疫机制，助力健康养殖产业发展；明晰水生生物多样性及生物地理学特征，</w:t>
      </w:r>
      <w:r>
        <w:rPr>
          <w:rFonts w:hint="eastAsia" w:eastAsiaTheme="minorEastAsia"/>
          <w:iCs/>
          <w:color w:val="auto"/>
          <w:sz w:val="24"/>
        </w:rPr>
        <w:t>建立生态模型，为水域</w:t>
      </w:r>
      <w:r>
        <w:rPr>
          <w:rFonts w:hint="eastAsia"/>
          <w:color w:val="auto"/>
          <w:spacing w:val="-4"/>
          <w:sz w:val="24"/>
        </w:rPr>
        <w:t>生态保护和</w:t>
      </w:r>
      <w:r>
        <w:rPr>
          <w:rFonts w:hint="eastAsia" w:eastAsiaTheme="minorEastAsia"/>
          <w:iCs/>
          <w:color w:val="auto"/>
          <w:sz w:val="24"/>
        </w:rPr>
        <w:t>退化水生生态系统生态修复</w:t>
      </w:r>
      <w:r>
        <w:rPr>
          <w:rFonts w:hint="eastAsia"/>
          <w:color w:val="auto"/>
          <w:spacing w:val="-4"/>
          <w:sz w:val="24"/>
        </w:rPr>
        <w:t>提供科学指导。</w:t>
      </w:r>
    </w:p>
    <w:p w14:paraId="3FF0F3A3">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360" w:lineRule="auto"/>
        <w:ind w:leftChars="-1" w:firstLine="482" w:firstLineChars="0"/>
        <w:textAlignment w:val="auto"/>
        <w:rPr>
          <w:rFonts w:eastAsiaTheme="minorEastAsia"/>
          <w:i/>
          <w:color w:val="FF0000"/>
          <w:sz w:val="24"/>
        </w:rPr>
      </w:pPr>
      <w:r>
        <w:rPr>
          <w:rFonts w:hint="eastAsia"/>
          <w:b/>
          <w:bCs/>
          <w:color w:val="auto"/>
          <w:spacing w:val="-4"/>
          <w:sz w:val="24"/>
          <w:lang w:val="en-US" w:eastAsia="zh-CN"/>
        </w:rPr>
        <w:t xml:space="preserve">6. </w:t>
      </w:r>
      <w:r>
        <w:rPr>
          <w:rFonts w:hint="eastAsia"/>
          <w:b/>
          <w:bCs/>
          <w:color w:val="auto"/>
          <w:spacing w:val="-4"/>
          <w:sz w:val="24"/>
        </w:rPr>
        <w:t>生物多</w:t>
      </w:r>
      <w:r>
        <w:rPr>
          <w:rFonts w:hint="eastAsia"/>
          <w:b/>
          <w:bCs/>
          <w:spacing w:val="-4"/>
          <w:sz w:val="24"/>
        </w:rPr>
        <w:t>样性、生物入侵与生态保护</w:t>
      </w:r>
      <w:r>
        <w:rPr>
          <w:rFonts w:hint="eastAsia"/>
          <w:spacing w:val="-4"/>
          <w:sz w:val="24"/>
        </w:rPr>
        <w:t>：紧密围绕美丽中国建设和京津冀协同发展战略中的生态环境需求，依托教育部工程研究中心和生态系统野外观测研究站等平台，重点研究全球变化和人类活动影响下生态系统生产力、多样性和稳定性的维持机制。全力研发外来物种侵害防控、区域生物多样性提升、生态系统固碳功能增强以及山水林田湖草沙一体化保护和系统治理技术，为国家生物多样性保护和生态修复重大工程提供坚实的理论基础、先进技术和专业人才保障。</w:t>
      </w:r>
    </w:p>
    <w:p w14:paraId="1F2E1EBF">
      <w:pPr>
        <w:keepNext w:val="0"/>
        <w:keepLines w:val="0"/>
        <w:pageBreakBefore w:val="0"/>
        <w:widowControl w:val="0"/>
        <w:kinsoku/>
        <w:wordWrap/>
        <w:overflowPunct/>
        <w:topLinePunct w:val="0"/>
        <w:autoSpaceDE/>
        <w:autoSpaceDN/>
        <w:bidi w:val="0"/>
        <w:adjustRightInd/>
        <w:snapToGrid/>
        <w:spacing w:line="360" w:lineRule="auto"/>
        <w:ind w:firstLine="561"/>
        <w:textAlignment w:val="auto"/>
        <w:rPr>
          <w:rFonts w:eastAsia="黑体"/>
          <w:b/>
          <w:bCs w:val="0"/>
          <w:sz w:val="28"/>
          <w:szCs w:val="28"/>
        </w:rPr>
      </w:pPr>
      <w:r>
        <w:rPr>
          <w:rFonts w:eastAsia="黑体"/>
          <w:b/>
          <w:bCs w:val="0"/>
          <w:sz w:val="28"/>
          <w:szCs w:val="28"/>
        </w:rPr>
        <w:t>四、学制及学习年限</w:t>
      </w:r>
    </w:p>
    <w:p w14:paraId="4E0064BB">
      <w:pPr>
        <w:spacing w:line="360" w:lineRule="auto"/>
        <w:ind w:firstLine="480" w:firstLineChars="200"/>
        <w:rPr>
          <w:rFonts w:eastAsia="黑体"/>
          <w:b/>
          <w:bCs w:val="0"/>
          <w:sz w:val="28"/>
          <w:szCs w:val="28"/>
        </w:rPr>
      </w:pPr>
      <w:r>
        <w:rPr>
          <w:rFonts w:eastAsiaTheme="minorEastAsia"/>
          <w:color w:val="000000"/>
          <w:sz w:val="24"/>
        </w:rPr>
        <w:t>本专业学制为4年，在校最长学习年限（含休学）不超过8年。</w:t>
      </w:r>
    </w:p>
    <w:p w14:paraId="080841CF">
      <w:pPr>
        <w:keepNext w:val="0"/>
        <w:keepLines w:val="0"/>
        <w:pageBreakBefore w:val="0"/>
        <w:widowControl w:val="0"/>
        <w:kinsoku/>
        <w:wordWrap/>
        <w:overflowPunct/>
        <w:topLinePunct w:val="0"/>
        <w:autoSpaceDE/>
        <w:autoSpaceDN/>
        <w:bidi w:val="0"/>
        <w:adjustRightInd/>
        <w:snapToGrid/>
        <w:spacing w:line="360" w:lineRule="auto"/>
        <w:ind w:firstLine="561"/>
        <w:textAlignment w:val="auto"/>
        <w:rPr>
          <w:rFonts w:eastAsia="黑体"/>
          <w:b/>
          <w:bCs w:val="0"/>
          <w:sz w:val="28"/>
          <w:szCs w:val="28"/>
        </w:rPr>
      </w:pPr>
      <w:r>
        <w:rPr>
          <w:rFonts w:eastAsia="黑体"/>
          <w:b/>
          <w:bCs w:val="0"/>
          <w:sz w:val="28"/>
          <w:szCs w:val="28"/>
        </w:rPr>
        <w:t>五、培养目标</w:t>
      </w:r>
    </w:p>
    <w:p w14:paraId="73C1BDDA">
      <w:pPr>
        <w:pStyle w:val="27"/>
        <w:keepNext w:val="0"/>
        <w:keepLines w:val="0"/>
        <w:pageBreakBefore w:val="0"/>
        <w:widowControl w:val="0"/>
        <w:numPr>
          <w:ilvl w:val="0"/>
          <w:numId w:val="0"/>
        </w:numPr>
        <w:tabs>
          <w:tab w:val="left" w:pos="1000"/>
        </w:tabs>
        <w:kinsoku/>
        <w:wordWrap/>
        <w:overflowPunct/>
        <w:topLinePunct w:val="0"/>
        <w:autoSpaceDE w:val="0"/>
        <w:autoSpaceDN w:val="0"/>
        <w:bidi w:val="0"/>
        <w:adjustRightInd/>
        <w:snapToGrid/>
        <w:spacing w:before="98" w:line="360" w:lineRule="auto"/>
        <w:ind w:leftChars="0" w:right="356" w:rightChars="0" w:firstLine="482" w:firstLineChars="0"/>
        <w:jc w:val="left"/>
        <w:textAlignment w:val="auto"/>
        <w:rPr>
          <w:sz w:val="24"/>
        </w:rPr>
      </w:pPr>
      <w:r>
        <w:rPr>
          <w:rFonts w:hint="eastAsia"/>
          <w:spacing w:val="-2"/>
          <w:sz w:val="24"/>
          <w:lang w:val="en-US" w:eastAsia="zh-CN"/>
        </w:rPr>
        <w:t xml:space="preserve">1. </w:t>
      </w:r>
      <w:r>
        <w:rPr>
          <w:spacing w:val="-2"/>
          <w:sz w:val="24"/>
        </w:rPr>
        <w:t>树立正确的中国特色社会主义核心价值观，具有坚定的理想信念，高尚的道德情操，优良的学术作风，高度的社会责任感。</w:t>
      </w:r>
    </w:p>
    <w:p w14:paraId="6A9D54C5">
      <w:pPr>
        <w:pStyle w:val="27"/>
        <w:keepNext w:val="0"/>
        <w:keepLines w:val="0"/>
        <w:pageBreakBefore w:val="0"/>
        <w:widowControl w:val="0"/>
        <w:numPr>
          <w:ilvl w:val="0"/>
          <w:numId w:val="0"/>
        </w:numPr>
        <w:tabs>
          <w:tab w:val="left" w:pos="1000"/>
        </w:tabs>
        <w:kinsoku/>
        <w:wordWrap/>
        <w:overflowPunct/>
        <w:topLinePunct w:val="0"/>
        <w:autoSpaceDE w:val="0"/>
        <w:autoSpaceDN w:val="0"/>
        <w:bidi w:val="0"/>
        <w:adjustRightInd/>
        <w:snapToGrid/>
        <w:spacing w:line="360" w:lineRule="auto"/>
        <w:ind w:leftChars="0" w:right="357" w:rightChars="0" w:firstLine="482" w:firstLineChars="0"/>
        <w:textAlignment w:val="auto"/>
        <w:rPr>
          <w:sz w:val="24"/>
        </w:rPr>
      </w:pPr>
      <w:r>
        <w:rPr>
          <w:rFonts w:hint="eastAsia"/>
          <w:spacing w:val="-2"/>
          <w:sz w:val="24"/>
          <w:lang w:val="en-US" w:eastAsia="zh-CN"/>
        </w:rPr>
        <w:t xml:space="preserve">2. </w:t>
      </w:r>
      <w:r>
        <w:rPr>
          <w:spacing w:val="-2"/>
          <w:sz w:val="24"/>
        </w:rPr>
        <w:t>掌握坚实宽广的基础理论和系统深入的专门知识，掌握本学科的科学研究方法及必要的现代实验方法和技能，熟悉本学科的前沿研究领域，具有独立从事科学研究和解决实际问题的能力。</w:t>
      </w:r>
    </w:p>
    <w:p w14:paraId="30C9FE15">
      <w:pPr>
        <w:pStyle w:val="27"/>
        <w:keepNext w:val="0"/>
        <w:keepLines w:val="0"/>
        <w:pageBreakBefore w:val="0"/>
        <w:widowControl w:val="0"/>
        <w:numPr>
          <w:ilvl w:val="0"/>
          <w:numId w:val="0"/>
        </w:numPr>
        <w:tabs>
          <w:tab w:val="left" w:pos="1000"/>
        </w:tabs>
        <w:kinsoku/>
        <w:wordWrap/>
        <w:overflowPunct/>
        <w:topLinePunct w:val="0"/>
        <w:autoSpaceDE w:val="0"/>
        <w:autoSpaceDN w:val="0"/>
        <w:bidi w:val="0"/>
        <w:adjustRightInd/>
        <w:snapToGrid/>
        <w:spacing w:line="360" w:lineRule="auto"/>
        <w:ind w:leftChars="0" w:right="356" w:rightChars="0" w:firstLine="482" w:firstLineChars="0"/>
        <w:jc w:val="left"/>
        <w:textAlignment w:val="auto"/>
        <w:rPr>
          <w:sz w:val="24"/>
        </w:rPr>
      </w:pPr>
      <w:r>
        <w:rPr>
          <w:rFonts w:hint="eastAsia"/>
          <w:spacing w:val="-2"/>
          <w:sz w:val="24"/>
          <w:lang w:val="en-US" w:eastAsia="zh-CN"/>
        </w:rPr>
        <w:t xml:space="preserve">3. </w:t>
      </w:r>
      <w:r>
        <w:rPr>
          <w:spacing w:val="-2"/>
          <w:sz w:val="24"/>
        </w:rPr>
        <w:t>至少掌握一门外国语，能熟练阅读本专业的外文资料，具有撰写学术论文和进行国际学术交流的能力。</w:t>
      </w:r>
    </w:p>
    <w:p w14:paraId="5025306A">
      <w:pPr>
        <w:pStyle w:val="27"/>
        <w:keepNext w:val="0"/>
        <w:keepLines w:val="0"/>
        <w:pageBreakBefore w:val="0"/>
        <w:widowControl w:val="0"/>
        <w:numPr>
          <w:ilvl w:val="0"/>
          <w:numId w:val="0"/>
        </w:numPr>
        <w:tabs>
          <w:tab w:val="left" w:pos="1000"/>
        </w:tabs>
        <w:kinsoku/>
        <w:wordWrap/>
        <w:overflowPunct/>
        <w:topLinePunct w:val="0"/>
        <w:autoSpaceDE w:val="0"/>
        <w:autoSpaceDN w:val="0"/>
        <w:bidi w:val="0"/>
        <w:adjustRightInd/>
        <w:snapToGrid/>
        <w:spacing w:line="360" w:lineRule="auto"/>
        <w:ind w:leftChars="0" w:firstLine="482" w:firstLineChars="0"/>
        <w:jc w:val="left"/>
        <w:textAlignment w:val="auto"/>
        <w:rPr>
          <w:sz w:val="24"/>
        </w:rPr>
      </w:pPr>
      <w:r>
        <w:rPr>
          <w:rFonts w:hint="eastAsia"/>
          <w:spacing w:val="-1"/>
          <w:sz w:val="24"/>
          <w:lang w:val="en-US" w:eastAsia="zh-CN"/>
        </w:rPr>
        <w:t xml:space="preserve">4. </w:t>
      </w:r>
      <w:r>
        <w:rPr>
          <w:spacing w:val="-1"/>
          <w:sz w:val="24"/>
        </w:rPr>
        <w:t>具有良好的团队意识和团队合作精神。</w:t>
      </w:r>
    </w:p>
    <w:p w14:paraId="3DBF229B">
      <w:pPr>
        <w:pStyle w:val="27"/>
        <w:keepNext w:val="0"/>
        <w:keepLines w:val="0"/>
        <w:pageBreakBefore w:val="0"/>
        <w:widowControl w:val="0"/>
        <w:numPr>
          <w:ilvl w:val="0"/>
          <w:numId w:val="0"/>
        </w:numPr>
        <w:tabs>
          <w:tab w:val="left" w:pos="1000"/>
        </w:tabs>
        <w:kinsoku/>
        <w:wordWrap/>
        <w:overflowPunct/>
        <w:topLinePunct w:val="0"/>
        <w:autoSpaceDE w:val="0"/>
        <w:autoSpaceDN w:val="0"/>
        <w:bidi w:val="0"/>
        <w:adjustRightInd/>
        <w:snapToGrid/>
        <w:spacing w:before="107" w:line="360" w:lineRule="auto"/>
        <w:ind w:leftChars="0" w:firstLine="482" w:firstLineChars="0"/>
        <w:jc w:val="left"/>
        <w:textAlignment w:val="auto"/>
        <w:rPr>
          <w:sz w:val="24"/>
        </w:rPr>
      </w:pPr>
      <w:r>
        <w:rPr>
          <w:rFonts w:hint="eastAsia"/>
          <w:spacing w:val="-1"/>
          <w:sz w:val="24"/>
          <w:lang w:val="en-US" w:eastAsia="zh-CN"/>
        </w:rPr>
        <w:t xml:space="preserve">5. </w:t>
      </w:r>
      <w:r>
        <w:rPr>
          <w:spacing w:val="-1"/>
          <w:sz w:val="24"/>
        </w:rPr>
        <w:t>具有健康的身体和良好的心理素质。</w:t>
      </w:r>
    </w:p>
    <w:p w14:paraId="689F74D0">
      <w:pPr>
        <w:pStyle w:val="27"/>
        <w:keepNext w:val="0"/>
        <w:keepLines w:val="0"/>
        <w:pageBreakBefore w:val="0"/>
        <w:widowControl w:val="0"/>
        <w:numPr>
          <w:ilvl w:val="0"/>
          <w:numId w:val="0"/>
        </w:numPr>
        <w:tabs>
          <w:tab w:val="left" w:pos="1119"/>
        </w:tabs>
        <w:kinsoku/>
        <w:wordWrap/>
        <w:overflowPunct/>
        <w:topLinePunct w:val="0"/>
        <w:autoSpaceDE w:val="0"/>
        <w:autoSpaceDN w:val="0"/>
        <w:bidi w:val="0"/>
        <w:adjustRightInd/>
        <w:snapToGrid/>
        <w:spacing w:before="112" w:line="360" w:lineRule="auto"/>
        <w:ind w:leftChars="0" w:firstLine="482" w:firstLineChars="0"/>
        <w:jc w:val="left"/>
        <w:textAlignment w:val="auto"/>
        <w:rPr>
          <w:sz w:val="24"/>
        </w:rPr>
      </w:pPr>
      <w:r>
        <w:rPr>
          <w:rFonts w:hint="eastAsia"/>
          <w:spacing w:val="-1"/>
          <w:sz w:val="24"/>
          <w:lang w:val="en-US" w:eastAsia="zh-CN"/>
        </w:rPr>
        <w:t xml:space="preserve">6. </w:t>
      </w:r>
      <w:r>
        <w:rPr>
          <w:spacing w:val="-1"/>
          <w:sz w:val="24"/>
        </w:rPr>
        <w:t>培养德智体美劳全面发展的社会主义事业接班人。</w:t>
      </w:r>
    </w:p>
    <w:p w14:paraId="48514DF7">
      <w:pPr>
        <w:pStyle w:val="27"/>
        <w:keepNext w:val="0"/>
        <w:keepLines w:val="0"/>
        <w:pageBreakBefore w:val="0"/>
        <w:widowControl w:val="0"/>
        <w:numPr>
          <w:ilvl w:val="0"/>
          <w:numId w:val="0"/>
        </w:numPr>
        <w:tabs>
          <w:tab w:val="left" w:pos="1119"/>
        </w:tabs>
        <w:kinsoku/>
        <w:wordWrap/>
        <w:overflowPunct/>
        <w:topLinePunct w:val="0"/>
        <w:autoSpaceDE w:val="0"/>
        <w:autoSpaceDN w:val="0"/>
        <w:bidi w:val="0"/>
        <w:adjustRightInd/>
        <w:snapToGrid/>
        <w:spacing w:before="113" w:line="360" w:lineRule="auto"/>
        <w:ind w:leftChars="0" w:right="357" w:rightChars="0" w:firstLine="482" w:firstLineChars="0"/>
        <w:jc w:val="left"/>
        <w:textAlignment w:val="auto"/>
        <w:rPr>
          <w:sz w:val="24"/>
        </w:rPr>
      </w:pPr>
      <w:r>
        <w:rPr>
          <w:rFonts w:hint="eastAsia"/>
          <w:spacing w:val="-6"/>
          <w:sz w:val="24"/>
          <w:lang w:val="en-US" w:eastAsia="zh-CN"/>
        </w:rPr>
        <w:t xml:space="preserve">7. </w:t>
      </w:r>
      <w:r>
        <w:rPr>
          <w:spacing w:val="-6"/>
          <w:sz w:val="24"/>
        </w:rPr>
        <w:t>在生物学一级学科范围内</w:t>
      </w:r>
      <w:r>
        <w:rPr>
          <w:rFonts w:hint="eastAsia"/>
          <w:spacing w:val="-6"/>
          <w:sz w:val="24"/>
        </w:rPr>
        <w:t>，</w:t>
      </w:r>
      <w:r>
        <w:rPr>
          <w:spacing w:val="-6"/>
          <w:sz w:val="24"/>
        </w:rPr>
        <w:t>掌握坚实宽厚的基础理论和系统深入的专门知识，具有</w:t>
      </w:r>
      <w:r>
        <w:rPr>
          <w:spacing w:val="-2"/>
          <w:sz w:val="24"/>
        </w:rPr>
        <w:t>独立从事科学研究工作的能力，在科学或专门技术上取得创造性成果。</w:t>
      </w:r>
    </w:p>
    <w:p w14:paraId="176AF0D6">
      <w:pPr>
        <w:keepNext w:val="0"/>
        <w:keepLines w:val="0"/>
        <w:pageBreakBefore w:val="0"/>
        <w:widowControl w:val="0"/>
        <w:kinsoku/>
        <w:wordWrap/>
        <w:overflowPunct/>
        <w:topLinePunct w:val="0"/>
        <w:autoSpaceDE/>
        <w:autoSpaceDN/>
        <w:bidi w:val="0"/>
        <w:adjustRightInd/>
        <w:snapToGrid/>
        <w:spacing w:line="360" w:lineRule="auto"/>
        <w:ind w:firstLine="561"/>
        <w:textAlignment w:val="auto"/>
        <w:rPr>
          <w:rFonts w:eastAsia="黑体"/>
          <w:b/>
          <w:bCs w:val="0"/>
          <w:sz w:val="28"/>
          <w:szCs w:val="28"/>
        </w:rPr>
      </w:pPr>
      <w:r>
        <w:rPr>
          <w:rFonts w:hint="eastAsia" w:eastAsia="黑体"/>
          <w:b/>
          <w:bCs w:val="0"/>
          <w:sz w:val="28"/>
          <w:szCs w:val="28"/>
        </w:rPr>
        <w:t>六、培养方式</w:t>
      </w:r>
    </w:p>
    <w:p w14:paraId="2790FBEB">
      <w:pPr>
        <w:keepNext w:val="0"/>
        <w:keepLines w:val="0"/>
        <w:pageBreakBefore w:val="0"/>
        <w:widowControl w:val="0"/>
        <w:kinsoku/>
        <w:wordWrap/>
        <w:overflowPunct/>
        <w:topLinePunct w:val="0"/>
        <w:bidi w:val="0"/>
        <w:adjustRightInd/>
        <w:snapToGrid/>
        <w:spacing w:line="360" w:lineRule="auto"/>
        <w:ind w:firstLine="482" w:firstLineChars="0"/>
        <w:textAlignment w:val="auto"/>
        <w:rPr>
          <w:rFonts w:hint="eastAsia" w:asciiTheme="minorEastAsia" w:hAnsiTheme="minorEastAsia" w:eastAsiaTheme="minorEastAsia"/>
          <w:bCs/>
          <w:iCs/>
          <w:sz w:val="24"/>
        </w:rPr>
      </w:pPr>
      <w:r>
        <w:rPr>
          <w:rFonts w:hint="eastAsia" w:asciiTheme="minorEastAsia" w:hAnsiTheme="minorEastAsia" w:eastAsiaTheme="minorEastAsia"/>
          <w:bCs/>
          <w:iCs/>
          <w:sz w:val="24"/>
        </w:rPr>
        <w:t>全日制非定向培养，过程</w:t>
      </w:r>
      <w:r>
        <w:rPr>
          <w:rFonts w:asciiTheme="minorEastAsia" w:hAnsiTheme="minorEastAsia" w:eastAsiaTheme="minorEastAsia"/>
          <w:bCs/>
          <w:iCs/>
          <w:sz w:val="24"/>
        </w:rPr>
        <w:t>包括</w:t>
      </w:r>
      <w:r>
        <w:rPr>
          <w:rFonts w:hint="eastAsia" w:asciiTheme="minorEastAsia" w:hAnsiTheme="minorEastAsia" w:eastAsiaTheme="minorEastAsia"/>
          <w:bCs/>
          <w:iCs/>
          <w:sz w:val="24"/>
        </w:rPr>
        <w:t>课程学习、科研训练、论文撰写和答辩等多个</w:t>
      </w:r>
      <w:r>
        <w:rPr>
          <w:rFonts w:asciiTheme="minorEastAsia" w:hAnsiTheme="minorEastAsia" w:eastAsiaTheme="minorEastAsia"/>
          <w:bCs/>
          <w:iCs/>
          <w:sz w:val="24"/>
        </w:rPr>
        <w:t>方面</w:t>
      </w:r>
      <w:r>
        <w:rPr>
          <w:rFonts w:hint="eastAsia" w:asciiTheme="minorEastAsia" w:hAnsiTheme="minorEastAsia" w:eastAsiaTheme="minorEastAsia"/>
          <w:bCs/>
          <w:iCs/>
          <w:sz w:val="24"/>
        </w:rPr>
        <w:t>。</w:t>
      </w:r>
    </w:p>
    <w:p w14:paraId="42BD65C7">
      <w:pPr>
        <w:keepNext w:val="0"/>
        <w:keepLines w:val="0"/>
        <w:pageBreakBefore w:val="0"/>
        <w:widowControl w:val="0"/>
        <w:kinsoku/>
        <w:wordWrap/>
        <w:overflowPunct/>
        <w:topLinePunct w:val="0"/>
        <w:autoSpaceDE/>
        <w:autoSpaceDN/>
        <w:bidi w:val="0"/>
        <w:adjustRightInd/>
        <w:snapToGrid/>
        <w:spacing w:line="360" w:lineRule="auto"/>
        <w:ind w:firstLine="482" w:firstLineChars="0"/>
        <w:textAlignment w:val="auto"/>
        <w:rPr>
          <w:rFonts w:hint="eastAsia" w:asciiTheme="minorEastAsia" w:hAnsiTheme="minorEastAsia" w:eastAsiaTheme="minorEastAsia"/>
          <w:b/>
          <w:bCs/>
          <w:iCs/>
          <w:sz w:val="24"/>
        </w:rPr>
      </w:pPr>
      <w:r>
        <w:rPr>
          <w:rFonts w:hint="eastAsia" w:asciiTheme="minorEastAsia" w:hAnsiTheme="minorEastAsia" w:eastAsiaTheme="minorEastAsia"/>
          <w:b/>
          <w:bCs/>
          <w:iCs/>
          <w:sz w:val="24"/>
        </w:rPr>
        <w:t>（一）课程学习</w:t>
      </w:r>
    </w:p>
    <w:p w14:paraId="76F666B8">
      <w:pPr>
        <w:pStyle w:val="27"/>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0"/>
        <w:textAlignment w:val="auto"/>
        <w:rPr>
          <w:rFonts w:hint="eastAsia" w:asciiTheme="minorEastAsia" w:hAnsiTheme="minorEastAsia" w:eastAsiaTheme="minorEastAsia"/>
          <w:iCs/>
          <w:sz w:val="24"/>
        </w:rPr>
      </w:pPr>
      <w:r>
        <w:rPr>
          <w:rFonts w:hint="eastAsia" w:asciiTheme="minorEastAsia" w:hAnsiTheme="minorEastAsia" w:eastAsiaTheme="minorEastAsia"/>
          <w:b/>
          <w:bCs w:val="0"/>
          <w:iCs/>
          <w:color w:val="auto"/>
          <w:sz w:val="24"/>
          <w:lang w:val="en-US" w:eastAsia="zh-CN"/>
        </w:rPr>
        <w:t xml:space="preserve">1. </w:t>
      </w:r>
      <w:r>
        <w:rPr>
          <w:rFonts w:hint="eastAsia" w:asciiTheme="minorEastAsia" w:hAnsiTheme="minorEastAsia" w:eastAsiaTheme="minorEastAsia"/>
          <w:b/>
          <w:bCs w:val="0"/>
          <w:iCs/>
          <w:color w:val="auto"/>
          <w:sz w:val="24"/>
        </w:rPr>
        <w:t>专业课程</w:t>
      </w:r>
      <w:r>
        <w:rPr>
          <w:rFonts w:hint="eastAsia" w:asciiTheme="minorEastAsia" w:hAnsiTheme="minorEastAsia" w:eastAsiaTheme="minorEastAsia"/>
          <w:b/>
          <w:iCs/>
          <w:sz w:val="24"/>
        </w:rPr>
        <w:t>：</w:t>
      </w:r>
      <w:r>
        <w:rPr>
          <w:rFonts w:hint="eastAsia" w:asciiTheme="minorEastAsia" w:hAnsiTheme="minorEastAsia" w:eastAsiaTheme="minorEastAsia"/>
          <w:iCs/>
          <w:sz w:val="24"/>
        </w:rPr>
        <w:t>精心设置涵盖生物学前沿理论与核心知识的专业课程体系。除分子生物学、细胞生物学、遗传学等经典核心课程外，增设如系统生物学、合成生物学等前沿选修课程。课程内容紧密跟踪国际学科发展趋势，邀请国内外知名专家参与授课或举办专题讲座，使学生深入理解生物学专业知识体系，精准把握学科前沿动态，为科研工作奠定坚实理论基础。</w:t>
      </w:r>
    </w:p>
    <w:p w14:paraId="65CFA278">
      <w:pPr>
        <w:pStyle w:val="27"/>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0"/>
        <w:textAlignment w:val="auto"/>
        <w:rPr>
          <w:rFonts w:hint="eastAsia" w:asciiTheme="minorEastAsia" w:hAnsiTheme="minorEastAsia" w:eastAsiaTheme="minorEastAsia"/>
          <w:iCs/>
          <w:sz w:val="24"/>
        </w:rPr>
      </w:pPr>
      <w:r>
        <w:rPr>
          <w:rFonts w:hint="eastAsia" w:asciiTheme="minorEastAsia" w:hAnsiTheme="minorEastAsia" w:eastAsiaTheme="minorEastAsia"/>
          <w:b/>
          <w:iCs/>
          <w:sz w:val="24"/>
          <w:lang w:val="en-US" w:eastAsia="zh-CN"/>
        </w:rPr>
        <w:t xml:space="preserve">2. </w:t>
      </w:r>
      <w:r>
        <w:rPr>
          <w:rFonts w:hint="eastAsia" w:asciiTheme="minorEastAsia" w:hAnsiTheme="minorEastAsia" w:eastAsiaTheme="minorEastAsia"/>
          <w:b/>
          <w:iCs/>
          <w:sz w:val="24"/>
        </w:rPr>
        <w:t>跨学科课程：</w:t>
      </w:r>
      <w:r>
        <w:rPr>
          <w:rFonts w:hint="eastAsia" w:asciiTheme="minorEastAsia" w:hAnsiTheme="minorEastAsia" w:eastAsiaTheme="minorEastAsia"/>
          <w:iCs/>
          <w:sz w:val="24"/>
        </w:rPr>
        <w:t>鉴于生物学与多学科交叉融合的发展趋势，开设丰富多样的跨学科课程，如生物信息学、生物物理学、生物医学工程等。通过跨学科课程学习，打破学科壁垒，培养学生运用多学科思维和方法解决生物学问题的能力。鼓励学生参与跨学科科研项目和学术交流活动，促进不同学科知识的深度融合与创新应用。</w:t>
      </w:r>
    </w:p>
    <w:p w14:paraId="6998B8B9">
      <w:pPr>
        <w:pStyle w:val="27"/>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0"/>
        <w:textAlignment w:val="auto"/>
        <w:rPr>
          <w:rFonts w:hint="eastAsia" w:asciiTheme="minorEastAsia" w:hAnsiTheme="minorEastAsia" w:eastAsiaTheme="minorEastAsia"/>
          <w:iCs/>
          <w:sz w:val="24"/>
        </w:rPr>
      </w:pPr>
      <w:r>
        <w:rPr>
          <w:rFonts w:hint="eastAsia" w:asciiTheme="minorEastAsia" w:hAnsiTheme="minorEastAsia" w:eastAsiaTheme="minorEastAsia"/>
          <w:b/>
          <w:iCs/>
          <w:sz w:val="24"/>
          <w:lang w:val="en-US" w:eastAsia="zh-CN"/>
        </w:rPr>
        <w:t xml:space="preserve">3. </w:t>
      </w:r>
      <w:r>
        <w:rPr>
          <w:rFonts w:hint="eastAsia" w:asciiTheme="minorEastAsia" w:hAnsiTheme="minorEastAsia" w:eastAsiaTheme="minorEastAsia"/>
          <w:b/>
          <w:iCs/>
          <w:sz w:val="24"/>
        </w:rPr>
        <w:t>外语课程：</w:t>
      </w:r>
      <w:r>
        <w:rPr>
          <w:rFonts w:hint="eastAsia" w:asciiTheme="minorEastAsia" w:hAnsiTheme="minorEastAsia" w:eastAsiaTheme="minorEastAsia"/>
          <w:iCs/>
          <w:sz w:val="24"/>
        </w:rPr>
        <w:t>强化外语课程建设，开设学术英语阅读、写作、口语表达及国际学术交流礼仪等系列课程。定期组织学生参加国际学术交流活动，邀请国外专家来校讲学，营造浓厚的国际化学习氛围。</w:t>
      </w:r>
    </w:p>
    <w:p w14:paraId="22F376F6">
      <w:pPr>
        <w:keepNext w:val="0"/>
        <w:keepLines w:val="0"/>
        <w:pageBreakBefore w:val="0"/>
        <w:widowControl w:val="0"/>
        <w:kinsoku/>
        <w:wordWrap/>
        <w:overflowPunct/>
        <w:topLinePunct w:val="0"/>
        <w:autoSpaceDE/>
        <w:autoSpaceDN/>
        <w:bidi w:val="0"/>
        <w:adjustRightInd/>
        <w:snapToGrid/>
        <w:spacing w:line="360" w:lineRule="auto"/>
        <w:ind w:firstLine="482" w:firstLineChars="0"/>
        <w:textAlignment w:val="auto"/>
        <w:rPr>
          <w:rFonts w:hint="eastAsia" w:asciiTheme="minorEastAsia" w:hAnsiTheme="minorEastAsia" w:eastAsiaTheme="minorEastAsia"/>
          <w:b/>
          <w:iCs/>
          <w:sz w:val="24"/>
        </w:rPr>
      </w:pPr>
      <w:r>
        <w:rPr>
          <w:rFonts w:hint="eastAsia" w:asciiTheme="minorEastAsia" w:hAnsiTheme="minorEastAsia" w:eastAsiaTheme="minorEastAsia"/>
          <w:b/>
          <w:iCs/>
          <w:sz w:val="24"/>
        </w:rPr>
        <w:t>（二）科研训练</w:t>
      </w:r>
    </w:p>
    <w:p w14:paraId="71278877">
      <w:pPr>
        <w:pStyle w:val="27"/>
        <w:keepNext w:val="0"/>
        <w:keepLines w:val="0"/>
        <w:pageBreakBefore w:val="0"/>
        <w:widowControl w:val="0"/>
        <w:numPr>
          <w:ilvl w:val="0"/>
          <w:numId w:val="0"/>
        </w:numPr>
        <w:kinsoku/>
        <w:wordWrap/>
        <w:overflowPunct/>
        <w:topLinePunct w:val="0"/>
        <w:autoSpaceDE/>
        <w:autoSpaceDN/>
        <w:bidi w:val="0"/>
        <w:adjustRightInd/>
        <w:snapToGrid/>
        <w:spacing w:line="360" w:lineRule="auto"/>
        <w:ind w:left="123" w:leftChars="0" w:firstLine="482" w:firstLineChars="0"/>
        <w:textAlignment w:val="auto"/>
        <w:rPr>
          <w:rFonts w:hint="eastAsia" w:asciiTheme="minorEastAsia" w:hAnsiTheme="minorEastAsia" w:eastAsiaTheme="minorEastAsia"/>
          <w:iCs/>
          <w:sz w:val="24"/>
        </w:rPr>
      </w:pPr>
      <w:r>
        <w:rPr>
          <w:rFonts w:hint="eastAsia" w:asciiTheme="minorEastAsia" w:hAnsiTheme="minorEastAsia" w:eastAsiaTheme="minorEastAsia"/>
          <w:b/>
          <w:iCs/>
          <w:sz w:val="24"/>
          <w:lang w:val="en-US" w:eastAsia="zh-CN"/>
        </w:rPr>
        <w:t xml:space="preserve">1. </w:t>
      </w:r>
      <w:r>
        <w:rPr>
          <w:rFonts w:hint="eastAsia" w:asciiTheme="minorEastAsia" w:hAnsiTheme="minorEastAsia" w:eastAsiaTheme="minorEastAsia"/>
          <w:b/>
          <w:iCs/>
          <w:sz w:val="24"/>
        </w:rPr>
        <w:t>参与课题研究：</w:t>
      </w:r>
      <w:r>
        <w:rPr>
          <w:rFonts w:hint="eastAsia" w:asciiTheme="minorEastAsia" w:hAnsiTheme="minorEastAsia" w:eastAsiaTheme="minorEastAsia"/>
          <w:iCs/>
          <w:sz w:val="24"/>
        </w:rPr>
        <w:t>博士研究生入学后即加入导师科研团队，深度参与具体科研项目。在导师指导下，学生从项目选题、实验设计、数据采集与分析到结果讨论与论文撰写，全程独立开展科研工作，培养科研实践能力、创新思维和独立解决问题的能力。鼓励学生参与国家级和省部级重大科研项目，在高水平科研实践中提升科研素养和竞争力。</w:t>
      </w:r>
    </w:p>
    <w:p w14:paraId="14AB39EA">
      <w:pPr>
        <w:pStyle w:val="27"/>
        <w:keepNext w:val="0"/>
        <w:keepLines w:val="0"/>
        <w:pageBreakBefore w:val="0"/>
        <w:widowControl w:val="0"/>
        <w:numPr>
          <w:ilvl w:val="0"/>
          <w:numId w:val="0"/>
        </w:numPr>
        <w:kinsoku/>
        <w:wordWrap/>
        <w:overflowPunct/>
        <w:topLinePunct w:val="0"/>
        <w:autoSpaceDE/>
        <w:autoSpaceDN/>
        <w:bidi w:val="0"/>
        <w:adjustRightInd/>
        <w:snapToGrid/>
        <w:spacing w:line="360" w:lineRule="auto"/>
        <w:ind w:left="123" w:leftChars="0" w:firstLine="482" w:firstLineChars="0"/>
        <w:textAlignment w:val="auto"/>
        <w:rPr>
          <w:rFonts w:hint="eastAsia" w:asciiTheme="minorEastAsia" w:hAnsiTheme="minorEastAsia" w:eastAsiaTheme="minorEastAsia"/>
          <w:iCs/>
          <w:sz w:val="24"/>
        </w:rPr>
      </w:pPr>
      <w:r>
        <w:rPr>
          <w:rFonts w:hint="eastAsia" w:asciiTheme="minorEastAsia" w:hAnsiTheme="minorEastAsia" w:eastAsiaTheme="minorEastAsia"/>
          <w:b/>
          <w:iCs/>
          <w:sz w:val="24"/>
          <w:lang w:val="en-US" w:eastAsia="zh-CN"/>
        </w:rPr>
        <w:t xml:space="preserve">2. </w:t>
      </w:r>
      <w:r>
        <w:rPr>
          <w:rFonts w:hint="eastAsia" w:asciiTheme="minorEastAsia" w:hAnsiTheme="minorEastAsia" w:eastAsiaTheme="minorEastAsia"/>
          <w:b/>
          <w:iCs/>
          <w:sz w:val="24"/>
        </w:rPr>
        <w:t>学术交流：</w:t>
      </w:r>
      <w:r>
        <w:rPr>
          <w:rFonts w:hint="eastAsia" w:asciiTheme="minorEastAsia" w:hAnsiTheme="minorEastAsia" w:eastAsiaTheme="minorEastAsia"/>
          <w:iCs/>
          <w:sz w:val="24"/>
        </w:rPr>
        <w:t>积极支持学生参加国内外高水平学术会议、研讨会和学术讲座，拓宽学术视野，了解学科最新研究进展和发展趋势。要求学生在学术会议上积极展示研究成果，与国内外同行进行深入交流与合作，提升学术表达能力和国际影响力。定期举办校内学术论坛，为学生提供学术交流平台，促进不同研究方向学生之间的思想碰撞与合作。</w:t>
      </w:r>
    </w:p>
    <w:p w14:paraId="07D98314">
      <w:pPr>
        <w:pStyle w:val="27"/>
        <w:keepNext w:val="0"/>
        <w:keepLines w:val="0"/>
        <w:pageBreakBefore w:val="0"/>
        <w:widowControl w:val="0"/>
        <w:numPr>
          <w:ilvl w:val="0"/>
          <w:numId w:val="0"/>
        </w:numPr>
        <w:kinsoku/>
        <w:wordWrap/>
        <w:overflowPunct/>
        <w:topLinePunct w:val="0"/>
        <w:autoSpaceDE/>
        <w:autoSpaceDN/>
        <w:bidi w:val="0"/>
        <w:adjustRightInd/>
        <w:snapToGrid/>
        <w:spacing w:line="360" w:lineRule="auto"/>
        <w:ind w:left="123" w:leftChars="0" w:firstLine="482" w:firstLineChars="0"/>
        <w:textAlignment w:val="auto"/>
        <w:rPr>
          <w:rFonts w:hint="eastAsia" w:asciiTheme="minorEastAsia" w:hAnsiTheme="minorEastAsia" w:eastAsiaTheme="minorEastAsia"/>
          <w:iCs/>
          <w:sz w:val="24"/>
        </w:rPr>
      </w:pPr>
      <w:r>
        <w:rPr>
          <w:rFonts w:hint="eastAsia" w:asciiTheme="minorEastAsia" w:hAnsiTheme="minorEastAsia" w:eastAsiaTheme="minorEastAsia"/>
          <w:b/>
          <w:iCs/>
          <w:sz w:val="24"/>
          <w:lang w:val="en-US" w:eastAsia="zh-CN"/>
        </w:rPr>
        <w:t xml:space="preserve">3. </w:t>
      </w:r>
      <w:r>
        <w:rPr>
          <w:rFonts w:hint="eastAsia" w:asciiTheme="minorEastAsia" w:hAnsiTheme="minorEastAsia" w:eastAsiaTheme="minorEastAsia"/>
          <w:b/>
          <w:iCs/>
          <w:sz w:val="24"/>
        </w:rPr>
        <w:t>学术规范与道德培养：</w:t>
      </w:r>
      <w:r>
        <w:rPr>
          <w:rFonts w:hint="eastAsia" w:asciiTheme="minorEastAsia" w:hAnsiTheme="minorEastAsia" w:eastAsiaTheme="minorEastAsia"/>
          <w:iCs/>
          <w:sz w:val="24"/>
        </w:rPr>
        <w:t>将学术规范与道德教育贯穿于培养全过程。通过开设专门课程、举办学术道德讲座、组织案例分析讨论等方式，使学生深刻理解学术规范和道德准则，掌握正确的文献引用、数据处理和学术论文撰写方法，坚决杜绝抄袭、剽窃等学术不端行为，树立良好的学术道德观念。</w:t>
      </w:r>
    </w:p>
    <w:p w14:paraId="3E864B2A">
      <w:pPr>
        <w:keepNext w:val="0"/>
        <w:keepLines w:val="0"/>
        <w:pageBreakBefore w:val="0"/>
        <w:widowControl w:val="0"/>
        <w:kinsoku/>
        <w:wordWrap/>
        <w:overflowPunct/>
        <w:topLinePunct w:val="0"/>
        <w:autoSpaceDE/>
        <w:autoSpaceDN/>
        <w:bidi w:val="0"/>
        <w:adjustRightInd/>
        <w:snapToGrid/>
        <w:spacing w:line="360" w:lineRule="auto"/>
        <w:ind w:left="123" w:firstLine="482" w:firstLineChars="0"/>
        <w:textAlignment w:val="auto"/>
        <w:rPr>
          <w:rFonts w:hint="eastAsia" w:asciiTheme="minorEastAsia" w:hAnsiTheme="minorEastAsia" w:eastAsiaTheme="minorEastAsia"/>
          <w:b/>
          <w:iCs/>
          <w:sz w:val="24"/>
        </w:rPr>
      </w:pPr>
      <w:r>
        <w:rPr>
          <w:rFonts w:hint="eastAsia" w:asciiTheme="minorEastAsia" w:hAnsiTheme="minorEastAsia" w:eastAsiaTheme="minorEastAsia"/>
          <w:b/>
          <w:iCs/>
          <w:sz w:val="24"/>
        </w:rPr>
        <w:t>（三）论文撰写与答辩</w:t>
      </w:r>
    </w:p>
    <w:p w14:paraId="0FE03B86">
      <w:pPr>
        <w:keepNext w:val="0"/>
        <w:keepLines w:val="0"/>
        <w:pageBreakBefore w:val="0"/>
        <w:widowControl w:val="0"/>
        <w:kinsoku/>
        <w:wordWrap/>
        <w:overflowPunct/>
        <w:topLinePunct w:val="0"/>
        <w:autoSpaceDE/>
        <w:autoSpaceDN/>
        <w:bidi w:val="0"/>
        <w:adjustRightInd/>
        <w:snapToGrid/>
        <w:spacing w:line="360" w:lineRule="auto"/>
        <w:ind w:firstLine="482" w:firstLineChars="0"/>
        <w:textAlignment w:val="auto"/>
        <w:rPr>
          <w:rFonts w:hint="eastAsia" w:eastAsia="黑体"/>
          <w:b/>
          <w:bCs w:val="0"/>
          <w:sz w:val="28"/>
          <w:szCs w:val="28"/>
        </w:rPr>
      </w:pPr>
      <w:r>
        <w:rPr>
          <w:rFonts w:hint="eastAsia" w:asciiTheme="minorEastAsia" w:hAnsiTheme="minorEastAsia" w:eastAsiaTheme="minorEastAsia"/>
          <w:iCs/>
          <w:sz w:val="24"/>
        </w:rPr>
        <w:t xml:space="preserve">    具体过程和要求根据学校学院相关规定和下面陈述。</w:t>
      </w:r>
    </w:p>
    <w:p w14:paraId="05C2F6C3">
      <w:pPr>
        <w:keepNext w:val="0"/>
        <w:keepLines w:val="0"/>
        <w:pageBreakBefore w:val="0"/>
        <w:widowControl w:val="0"/>
        <w:kinsoku/>
        <w:wordWrap/>
        <w:overflowPunct/>
        <w:topLinePunct w:val="0"/>
        <w:autoSpaceDE/>
        <w:autoSpaceDN/>
        <w:bidi w:val="0"/>
        <w:adjustRightInd/>
        <w:snapToGrid/>
        <w:spacing w:line="360" w:lineRule="auto"/>
        <w:ind w:firstLine="561"/>
        <w:textAlignment w:val="auto"/>
        <w:rPr>
          <w:rFonts w:hint="eastAsia" w:eastAsia="黑体"/>
          <w:b/>
          <w:bCs w:val="0"/>
          <w:sz w:val="28"/>
          <w:szCs w:val="28"/>
        </w:rPr>
      </w:pPr>
      <w:r>
        <w:rPr>
          <w:rFonts w:hint="eastAsia" w:eastAsia="黑体"/>
          <w:b/>
          <w:bCs w:val="0"/>
          <w:sz w:val="28"/>
          <w:szCs w:val="28"/>
        </w:rPr>
        <w:t>七、中期筛选</w:t>
      </w:r>
    </w:p>
    <w:p w14:paraId="26A7A437">
      <w:pPr>
        <w:spacing w:line="360" w:lineRule="auto"/>
        <w:ind w:firstLine="480" w:firstLineChars="20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在完成培养方案规定的课程学习、考核成绩合格、获得规定的学分后，按照《河北大学研究生中期筛选管理办法》（校政字〔2021〕15号）的相关规定，组织开展中期筛选工作。</w:t>
      </w:r>
    </w:p>
    <w:p w14:paraId="30BF661A">
      <w:pPr>
        <w:keepNext w:val="0"/>
        <w:keepLines w:val="0"/>
        <w:pageBreakBefore w:val="0"/>
        <w:widowControl w:val="0"/>
        <w:kinsoku/>
        <w:wordWrap/>
        <w:overflowPunct/>
        <w:topLinePunct w:val="0"/>
        <w:autoSpaceDE/>
        <w:autoSpaceDN/>
        <w:bidi w:val="0"/>
        <w:adjustRightInd/>
        <w:snapToGrid/>
        <w:spacing w:line="360" w:lineRule="auto"/>
        <w:ind w:firstLine="561"/>
        <w:textAlignment w:val="auto"/>
        <w:rPr>
          <w:rFonts w:hint="eastAsia" w:eastAsia="黑体"/>
          <w:b/>
          <w:bCs w:val="0"/>
          <w:color w:val="auto"/>
          <w:sz w:val="28"/>
          <w:szCs w:val="28"/>
        </w:rPr>
      </w:pPr>
      <w:r>
        <w:rPr>
          <w:rFonts w:hint="eastAsia" w:eastAsia="黑体"/>
          <w:b/>
          <w:bCs w:val="0"/>
          <w:color w:val="auto"/>
          <w:sz w:val="28"/>
          <w:szCs w:val="28"/>
        </w:rPr>
        <w:t>八、学位（毕业）论文</w:t>
      </w:r>
    </w:p>
    <w:p w14:paraId="47222A8D">
      <w:pPr>
        <w:widowControl/>
        <w:spacing w:line="360" w:lineRule="auto"/>
        <w:ind w:firstLine="480"/>
        <w:jc w:val="left"/>
        <w:rPr>
          <w:i/>
          <w:color w:val="auto"/>
          <w:kern w:val="0"/>
          <w:sz w:val="24"/>
        </w:rPr>
      </w:pPr>
      <w:r>
        <w:rPr>
          <w:bCs/>
          <w:color w:val="222222"/>
          <w:kern w:val="0"/>
          <w:sz w:val="24"/>
        </w:rPr>
        <w:t>1</w:t>
      </w:r>
      <w:r>
        <w:rPr>
          <w:b/>
          <w:bCs/>
          <w:color w:val="222222"/>
          <w:kern w:val="0"/>
          <w:sz w:val="24"/>
        </w:rPr>
        <w:t>.</w:t>
      </w:r>
      <w:r>
        <w:rPr>
          <w:rFonts w:hint="eastAsia"/>
          <w:b/>
          <w:bCs/>
          <w:color w:val="222222"/>
          <w:kern w:val="0"/>
          <w:sz w:val="24"/>
        </w:rPr>
        <w:t xml:space="preserve"> 总体要求：</w:t>
      </w:r>
      <w:r>
        <w:rPr>
          <w:spacing w:val="-2"/>
          <w:sz w:val="24"/>
        </w:rPr>
        <w:t>博士研究生必须在导师指导下独立完成学位（毕业）论文。学位（毕业）论文应表明作者具有独立从事科学研究工作的能力，并做出创新性成果，不得抄袭和剽窃他人成果。博士</w:t>
      </w:r>
      <w:r>
        <w:rPr>
          <w:color w:val="auto"/>
          <w:spacing w:val="-2"/>
          <w:sz w:val="24"/>
        </w:rPr>
        <w:t>学位（毕业）论文的研究工作必须经过开题、预答辩、评审、答辩等环节。</w:t>
      </w:r>
    </w:p>
    <w:p w14:paraId="17F19FAA">
      <w:pPr>
        <w:widowControl/>
        <w:spacing w:line="360" w:lineRule="auto"/>
        <w:ind w:firstLine="480"/>
        <w:jc w:val="left"/>
        <w:rPr>
          <w:color w:val="auto"/>
          <w:kern w:val="0"/>
          <w:sz w:val="24"/>
        </w:rPr>
      </w:pPr>
      <w:r>
        <w:rPr>
          <w:bCs/>
          <w:color w:val="auto"/>
          <w:kern w:val="0"/>
          <w:sz w:val="24"/>
        </w:rPr>
        <w:t>2</w:t>
      </w:r>
      <w:r>
        <w:rPr>
          <w:b/>
          <w:bCs/>
          <w:color w:val="auto"/>
          <w:kern w:val="0"/>
          <w:sz w:val="24"/>
        </w:rPr>
        <w:t>.</w:t>
      </w:r>
      <w:r>
        <w:rPr>
          <w:rFonts w:hint="eastAsia"/>
          <w:b/>
          <w:bCs/>
          <w:color w:val="auto"/>
          <w:kern w:val="0"/>
          <w:sz w:val="24"/>
        </w:rPr>
        <w:t xml:space="preserve"> 开题：</w:t>
      </w:r>
      <w:r>
        <w:rPr>
          <w:rFonts w:hint="eastAsia"/>
          <w:color w:val="auto"/>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w:t>
      </w:r>
      <w:r>
        <w:rPr>
          <w:color w:val="auto"/>
          <w:spacing w:val="-2"/>
          <w:sz w:val="24"/>
        </w:rPr>
        <w:t>博士学位（毕业）论文的选题应体现学科领域的前沿性和先进性，开题报告能够清晰表述研究内容及其研究的学术价值。</w:t>
      </w:r>
    </w:p>
    <w:p w14:paraId="2B86FB06">
      <w:pPr>
        <w:widowControl/>
        <w:spacing w:line="360" w:lineRule="auto"/>
        <w:ind w:firstLine="480"/>
        <w:jc w:val="left"/>
        <w:rPr>
          <w:color w:val="auto"/>
          <w:kern w:val="0"/>
          <w:sz w:val="24"/>
        </w:rPr>
      </w:pPr>
      <w:r>
        <w:rPr>
          <w:color w:val="auto"/>
          <w:kern w:val="0"/>
          <w:sz w:val="24"/>
        </w:rPr>
        <w:t>按照《河北大学关于开展2025版研究生培养方案修订工作的指导意见》（校政字</w:t>
      </w:r>
      <w:r>
        <w:rPr>
          <w:rFonts w:eastAsiaTheme="minorEastAsia"/>
          <w:bCs/>
          <w:color w:val="auto"/>
          <w:sz w:val="24"/>
        </w:rPr>
        <w:t>〔2025〕9号</w:t>
      </w:r>
      <w:r>
        <w:rPr>
          <w:color w:val="auto"/>
          <w:kern w:val="0"/>
          <w:sz w:val="24"/>
        </w:rPr>
        <w:t>）规定，博士研究生论文开题与答辩时间间隔原则上不少于18个月。</w:t>
      </w:r>
      <w:r>
        <w:rPr>
          <w:rFonts w:hint="eastAsia"/>
          <w:color w:val="auto"/>
          <w:kern w:val="0"/>
          <w:sz w:val="24"/>
        </w:rPr>
        <w:t>原则上在入学后第</w:t>
      </w:r>
      <w:r>
        <w:rPr>
          <w:color w:val="auto"/>
          <w:kern w:val="0"/>
          <w:sz w:val="24"/>
        </w:rPr>
        <w:t>3</w:t>
      </w:r>
      <w:r>
        <w:rPr>
          <w:rFonts w:hint="eastAsia"/>
          <w:color w:val="auto"/>
          <w:kern w:val="0"/>
          <w:sz w:val="24"/>
        </w:rPr>
        <w:t>学期（最迟不超过</w:t>
      </w:r>
      <w:r>
        <w:rPr>
          <w:rFonts w:hint="eastAsia"/>
          <w:i w:val="0"/>
          <w:iCs w:val="0"/>
          <w:color w:val="auto"/>
          <w:kern w:val="0"/>
          <w:sz w:val="24"/>
        </w:rPr>
        <w:t>第</w:t>
      </w:r>
      <w:r>
        <w:rPr>
          <w:i w:val="0"/>
          <w:iCs w:val="0"/>
          <w:color w:val="auto"/>
          <w:kern w:val="0"/>
          <w:sz w:val="24"/>
        </w:rPr>
        <w:t>4</w:t>
      </w:r>
      <w:r>
        <w:rPr>
          <w:rFonts w:hint="eastAsia"/>
          <w:i w:val="0"/>
          <w:iCs w:val="0"/>
          <w:color w:val="auto"/>
          <w:kern w:val="0"/>
          <w:sz w:val="24"/>
        </w:rPr>
        <w:t>学期）完成开题。开题由</w:t>
      </w:r>
      <w:r>
        <w:rPr>
          <w:i w:val="0"/>
          <w:iCs w:val="0"/>
          <w:color w:val="auto"/>
          <w:kern w:val="0"/>
          <w:sz w:val="24"/>
        </w:rPr>
        <w:t>3-5</w:t>
      </w:r>
      <w:r>
        <w:rPr>
          <w:rFonts w:hint="eastAsia"/>
          <w:i w:val="0"/>
          <w:iCs w:val="0"/>
          <w:color w:val="auto"/>
          <w:kern w:val="0"/>
          <w:sz w:val="24"/>
        </w:rPr>
        <w:t>名具有正高级专业技术职务人员参加（校外专家不低于1/3），</w:t>
      </w:r>
      <w:r>
        <w:rPr>
          <w:rFonts w:hint="eastAsia"/>
          <w:color w:val="auto"/>
          <w:kern w:val="0"/>
          <w:sz w:val="24"/>
        </w:rPr>
        <w:t>以学术报告的方式进行。</w:t>
      </w:r>
    </w:p>
    <w:p w14:paraId="7458ECD8">
      <w:pPr>
        <w:widowControl/>
        <w:spacing w:line="360" w:lineRule="auto"/>
        <w:ind w:firstLine="480"/>
        <w:jc w:val="left"/>
        <w:rPr>
          <w:color w:val="auto"/>
          <w:kern w:val="0"/>
          <w:sz w:val="24"/>
        </w:rPr>
      </w:pPr>
      <w:r>
        <w:rPr>
          <w:b/>
          <w:bCs/>
          <w:color w:val="auto"/>
          <w:kern w:val="0"/>
          <w:sz w:val="24"/>
        </w:rPr>
        <w:t>3.</w:t>
      </w:r>
      <w:r>
        <w:rPr>
          <w:rFonts w:hint="eastAsia"/>
          <w:b/>
          <w:bCs/>
          <w:color w:val="auto"/>
          <w:kern w:val="0"/>
          <w:sz w:val="24"/>
        </w:rPr>
        <w:t xml:space="preserve"> 中期进展报告：</w:t>
      </w:r>
      <w:r>
        <w:rPr>
          <w:rFonts w:hint="eastAsia"/>
          <w:color w:val="auto"/>
          <w:kern w:val="0"/>
          <w:sz w:val="24"/>
        </w:rPr>
        <w:t>中期进展报告是检查研究生个人综合能力及学位论文进展、指导研究生把握学位（毕业）论文方向、提高学位（毕业）论文质量的必要环节。中期进展报告原则上应在入学后第</w:t>
      </w:r>
      <w:r>
        <w:rPr>
          <w:color w:val="auto"/>
          <w:kern w:val="0"/>
          <w:sz w:val="24"/>
        </w:rPr>
        <w:t>5</w:t>
      </w:r>
      <w:r>
        <w:rPr>
          <w:rFonts w:hint="eastAsia"/>
          <w:color w:val="auto"/>
          <w:kern w:val="0"/>
          <w:sz w:val="24"/>
        </w:rPr>
        <w:t>学期进行；各导师组自行制定中期考核办法并组织考核。</w:t>
      </w:r>
    </w:p>
    <w:p w14:paraId="1283083E">
      <w:pPr>
        <w:widowControl/>
        <w:spacing w:line="360" w:lineRule="auto"/>
        <w:ind w:firstLine="480"/>
        <w:jc w:val="left"/>
        <w:rPr>
          <w:i/>
          <w:color w:val="auto"/>
          <w:kern w:val="0"/>
          <w:sz w:val="24"/>
        </w:rPr>
      </w:pPr>
      <w:r>
        <w:rPr>
          <w:b/>
          <w:bCs/>
          <w:color w:val="auto"/>
          <w:kern w:val="0"/>
          <w:sz w:val="24"/>
        </w:rPr>
        <w:t>4.</w:t>
      </w:r>
      <w:r>
        <w:rPr>
          <w:rFonts w:hint="eastAsia"/>
          <w:b/>
          <w:bCs/>
          <w:color w:val="auto"/>
          <w:kern w:val="0"/>
          <w:sz w:val="24"/>
        </w:rPr>
        <w:t xml:space="preserve"> 学位申请：</w:t>
      </w:r>
      <w:r>
        <w:rPr>
          <w:rFonts w:hint="eastAsia"/>
          <w:color w:val="auto"/>
          <w:kern w:val="0"/>
          <w:sz w:val="24"/>
        </w:rPr>
        <w:t>达到学位授予条件的申请人，经导师同意后，应于答辩前三个月，向所属学位评定分委员会提出学位申请，提交学位申请材料。</w:t>
      </w:r>
    </w:p>
    <w:p w14:paraId="47DFEA0C">
      <w:pPr>
        <w:widowControl/>
        <w:spacing w:line="360" w:lineRule="auto"/>
        <w:ind w:firstLine="480"/>
        <w:jc w:val="left"/>
        <w:rPr>
          <w:color w:val="auto"/>
          <w:kern w:val="0"/>
          <w:sz w:val="24"/>
        </w:rPr>
      </w:pPr>
      <w:r>
        <w:rPr>
          <w:b/>
          <w:bCs/>
          <w:color w:val="auto"/>
          <w:kern w:val="0"/>
          <w:sz w:val="24"/>
        </w:rPr>
        <w:t>5.</w:t>
      </w:r>
      <w:r>
        <w:rPr>
          <w:rFonts w:hint="eastAsia"/>
          <w:b/>
          <w:bCs/>
          <w:color w:val="auto"/>
          <w:kern w:val="0"/>
          <w:sz w:val="24"/>
        </w:rPr>
        <w:t xml:space="preserve"> 预答辩：</w:t>
      </w:r>
      <w:r>
        <w:rPr>
          <w:rFonts w:hint="eastAsia"/>
          <w:color w:val="auto"/>
          <w:kern w:val="0"/>
          <w:sz w:val="24"/>
        </w:rPr>
        <w:t>学位申请人须进行学位论文预答辩。预答辩通过者，方可进入学位论文评阅、学位论文答辩等环节。学位（毕业）论文预答辩在正式答辩前</w:t>
      </w:r>
      <w:r>
        <w:rPr>
          <w:color w:val="auto"/>
          <w:kern w:val="0"/>
          <w:sz w:val="24"/>
        </w:rPr>
        <w:t>3</w:t>
      </w:r>
      <w:r>
        <w:rPr>
          <w:rFonts w:hint="eastAsia"/>
          <w:color w:val="auto"/>
          <w:kern w:val="0"/>
          <w:sz w:val="24"/>
        </w:rPr>
        <w:t>个月进行。</w:t>
      </w:r>
    </w:p>
    <w:p w14:paraId="742298AF">
      <w:pPr>
        <w:widowControl/>
        <w:spacing w:line="360" w:lineRule="auto"/>
        <w:ind w:firstLine="480"/>
        <w:jc w:val="left"/>
        <w:rPr>
          <w:color w:val="222222"/>
          <w:kern w:val="0"/>
          <w:sz w:val="24"/>
        </w:rPr>
      </w:pPr>
      <w:r>
        <w:rPr>
          <w:b/>
          <w:bCs/>
          <w:color w:val="auto"/>
          <w:kern w:val="0"/>
          <w:sz w:val="24"/>
        </w:rPr>
        <w:t>6.</w:t>
      </w:r>
      <w:r>
        <w:rPr>
          <w:rFonts w:hint="eastAsia"/>
          <w:b/>
          <w:bCs/>
          <w:color w:val="auto"/>
          <w:kern w:val="0"/>
          <w:sz w:val="24"/>
        </w:rPr>
        <w:t xml:space="preserve"> 论文评阅：</w:t>
      </w:r>
      <w:r>
        <w:rPr>
          <w:rFonts w:hint="eastAsia"/>
          <w:color w:val="auto"/>
          <w:kern w:val="0"/>
          <w:sz w:val="24"/>
        </w:rPr>
        <w:t>学位（毕业）论文在获得导师组认可，经培养单位形式审查合格，并通过预答辩，方可提出进入评阅程序的申请。论文评阅在正式答辩前</w:t>
      </w:r>
      <w:r>
        <w:rPr>
          <w:color w:val="auto"/>
          <w:kern w:val="0"/>
          <w:sz w:val="24"/>
        </w:rPr>
        <w:t>40</w:t>
      </w:r>
      <w:r>
        <w:rPr>
          <w:rFonts w:hint="eastAsia"/>
          <w:color w:val="auto"/>
          <w:kern w:val="0"/>
          <w:sz w:val="24"/>
        </w:rPr>
        <w:t>天由研究生提出，由培养单位依据相关规定进行匿名评审。</w:t>
      </w:r>
      <w:r>
        <w:rPr>
          <w:color w:val="auto"/>
          <w:kern w:val="0"/>
          <w:sz w:val="24"/>
        </w:rPr>
        <w:t>评阅</w:t>
      </w:r>
      <w:r>
        <w:rPr>
          <w:color w:val="222222"/>
          <w:kern w:val="0"/>
          <w:sz w:val="24"/>
        </w:rPr>
        <w:t>结果及异议处理按照《河北大学研究生学位论文或者实践成果评审管理办法》（校政字〔2025〕8号）执行。</w:t>
      </w:r>
    </w:p>
    <w:p w14:paraId="792E7DD8">
      <w:pPr>
        <w:widowControl/>
        <w:spacing w:line="360" w:lineRule="auto"/>
        <w:ind w:firstLine="480"/>
        <w:jc w:val="left"/>
        <w:rPr>
          <w:color w:val="222222"/>
          <w:kern w:val="0"/>
          <w:sz w:val="24"/>
        </w:rPr>
      </w:pPr>
      <w:r>
        <w:rPr>
          <w:b/>
          <w:bCs/>
          <w:color w:val="222222"/>
          <w:kern w:val="0"/>
          <w:sz w:val="24"/>
        </w:rPr>
        <w:t>7.</w:t>
      </w:r>
      <w:r>
        <w:rPr>
          <w:rFonts w:hint="eastAsia"/>
          <w:b/>
          <w:bCs/>
          <w:color w:val="222222"/>
          <w:kern w:val="0"/>
          <w:sz w:val="24"/>
        </w:rPr>
        <w:t xml:space="preserve"> 答辩：</w:t>
      </w:r>
      <w:r>
        <w:rPr>
          <w:bCs/>
          <w:color w:val="222222"/>
          <w:kern w:val="0"/>
          <w:sz w:val="24"/>
        </w:rPr>
        <w:t>学位（毕业）论文答辩按照</w:t>
      </w:r>
      <w:r>
        <w:rPr>
          <w:color w:val="222222"/>
          <w:kern w:val="0"/>
          <w:sz w:val="24"/>
        </w:rPr>
        <w:t>《河北大学博士、硕士学位授予工作实施细则》（校政字〔2025〕7号）执行。</w:t>
      </w:r>
    </w:p>
    <w:p w14:paraId="6D55A49F">
      <w:pPr>
        <w:keepNext w:val="0"/>
        <w:keepLines w:val="0"/>
        <w:pageBreakBefore w:val="0"/>
        <w:widowControl w:val="0"/>
        <w:kinsoku/>
        <w:wordWrap/>
        <w:overflowPunct/>
        <w:topLinePunct w:val="0"/>
        <w:autoSpaceDE/>
        <w:autoSpaceDN/>
        <w:bidi w:val="0"/>
        <w:adjustRightInd/>
        <w:snapToGrid/>
        <w:spacing w:line="360" w:lineRule="auto"/>
        <w:ind w:firstLine="561"/>
        <w:textAlignment w:val="auto"/>
        <w:rPr>
          <w:rFonts w:hint="eastAsia" w:eastAsia="黑体"/>
          <w:b/>
          <w:bCs w:val="0"/>
          <w:color w:val="auto"/>
          <w:sz w:val="28"/>
          <w:szCs w:val="28"/>
        </w:rPr>
      </w:pPr>
      <w:r>
        <w:rPr>
          <w:rFonts w:hint="eastAsia" w:eastAsia="黑体"/>
          <w:b/>
          <w:bCs w:val="0"/>
          <w:color w:val="auto"/>
          <w:sz w:val="28"/>
          <w:szCs w:val="28"/>
        </w:rPr>
        <w:t>九、毕业条件</w:t>
      </w:r>
    </w:p>
    <w:p w14:paraId="09996293">
      <w:pPr>
        <w:spacing w:line="360" w:lineRule="auto"/>
        <w:ind w:firstLine="482" w:firstLineChars="200"/>
        <w:rPr>
          <w:rFonts w:eastAsiaTheme="minorEastAsia"/>
          <w:bCs/>
          <w:i w:val="0"/>
          <w:iCs w:val="0"/>
          <w:color w:val="auto"/>
          <w:sz w:val="24"/>
        </w:rPr>
      </w:pPr>
      <w:r>
        <w:rPr>
          <w:rFonts w:eastAsiaTheme="minorEastAsia"/>
          <w:b/>
          <w:bCs/>
          <w:sz w:val="24"/>
        </w:rPr>
        <w:t xml:space="preserve">1. </w:t>
      </w:r>
      <w:r>
        <w:rPr>
          <w:rFonts w:hint="eastAsia" w:eastAsiaTheme="minorEastAsia"/>
          <w:b/>
          <w:bCs/>
          <w:sz w:val="24"/>
        </w:rPr>
        <w:t>课程学习：</w:t>
      </w:r>
      <w:r>
        <w:rPr>
          <w:rFonts w:eastAsiaTheme="minorEastAsia"/>
          <w:bCs/>
          <w:sz w:val="24"/>
        </w:rPr>
        <w:t>研究生在规定修业年限内完成培养方案规定的课程学习，考核成绩合格，获得规定的学分。</w:t>
      </w:r>
    </w:p>
    <w:p w14:paraId="0186A08E">
      <w:pPr>
        <w:spacing w:line="360" w:lineRule="auto"/>
        <w:ind w:firstLine="482" w:firstLineChars="200"/>
        <w:rPr>
          <w:rFonts w:eastAsiaTheme="minorEastAsia"/>
          <w:i w:val="0"/>
          <w:iCs w:val="0"/>
          <w:color w:val="auto"/>
          <w:sz w:val="24"/>
        </w:rPr>
      </w:pPr>
      <w:r>
        <w:rPr>
          <w:rFonts w:eastAsiaTheme="minorEastAsia"/>
          <w:b/>
          <w:bCs/>
          <w:i w:val="0"/>
          <w:iCs w:val="0"/>
          <w:color w:val="auto"/>
          <w:sz w:val="24"/>
        </w:rPr>
        <w:t xml:space="preserve">2. </w:t>
      </w:r>
      <w:r>
        <w:rPr>
          <w:rFonts w:hint="eastAsia" w:eastAsiaTheme="minorEastAsia"/>
          <w:b/>
          <w:bCs/>
          <w:i w:val="0"/>
          <w:iCs w:val="0"/>
          <w:color w:val="auto"/>
          <w:sz w:val="24"/>
        </w:rPr>
        <w:t>学术活动：</w:t>
      </w:r>
      <w:r>
        <w:rPr>
          <w:rFonts w:eastAsiaTheme="minorEastAsia"/>
          <w:bCs/>
          <w:i w:val="0"/>
          <w:iCs w:val="0"/>
          <w:color w:val="auto"/>
          <w:sz w:val="24"/>
        </w:rPr>
        <w:t>研究生</w:t>
      </w:r>
      <w:r>
        <w:rPr>
          <w:rFonts w:eastAsiaTheme="minorEastAsia"/>
          <w:i w:val="0"/>
          <w:iCs w:val="0"/>
          <w:color w:val="auto"/>
          <w:sz w:val="24"/>
        </w:rPr>
        <w:t>在读期间参加不少于15次学术活动，并撰写学术报告小结；以主讲人或宣讲人身份，参加在校内外举行的学术报告或学术讲座不少于2次。</w:t>
      </w:r>
    </w:p>
    <w:p w14:paraId="77D64DFC">
      <w:pPr>
        <w:spacing w:line="360" w:lineRule="auto"/>
        <w:ind w:firstLine="482" w:firstLineChars="200"/>
        <w:rPr>
          <w:rFonts w:eastAsiaTheme="minorEastAsia"/>
          <w:bCs/>
          <w:sz w:val="24"/>
        </w:rPr>
      </w:pPr>
      <w:r>
        <w:rPr>
          <w:rFonts w:hint="eastAsia" w:eastAsiaTheme="minorEastAsia"/>
          <w:b/>
          <w:bCs/>
          <w:i w:val="0"/>
          <w:iCs w:val="0"/>
          <w:color w:val="auto"/>
          <w:sz w:val="24"/>
          <w:lang w:val="en-US" w:eastAsia="zh-CN"/>
        </w:rPr>
        <w:t>3</w:t>
      </w:r>
      <w:r>
        <w:rPr>
          <w:rFonts w:eastAsiaTheme="minorEastAsia"/>
          <w:b/>
          <w:bCs/>
          <w:i w:val="0"/>
          <w:iCs w:val="0"/>
          <w:color w:val="auto"/>
          <w:sz w:val="24"/>
        </w:rPr>
        <w:t xml:space="preserve">. </w:t>
      </w:r>
      <w:r>
        <w:rPr>
          <w:rFonts w:hint="eastAsia" w:eastAsiaTheme="minorEastAsia"/>
          <w:b/>
          <w:bCs/>
          <w:i w:val="0"/>
          <w:iCs w:val="0"/>
          <w:color w:val="auto"/>
          <w:sz w:val="24"/>
        </w:rPr>
        <w:t>论文答辩：</w:t>
      </w:r>
      <w:r>
        <w:rPr>
          <w:rFonts w:eastAsiaTheme="minorEastAsia"/>
          <w:bCs/>
          <w:i w:val="0"/>
          <w:iCs w:val="0"/>
          <w:color w:val="auto"/>
          <w:sz w:val="24"/>
        </w:rPr>
        <w:t>学位（毕业）论文经专家评审合格、通过学位（毕业</w:t>
      </w:r>
      <w:r>
        <w:rPr>
          <w:rFonts w:eastAsiaTheme="minorEastAsia"/>
          <w:bCs/>
          <w:sz w:val="24"/>
        </w:rPr>
        <w:t>）答辩，符合毕业资格审查后，准予毕业。</w:t>
      </w:r>
    </w:p>
    <w:p w14:paraId="079EB1CC">
      <w:pPr>
        <w:spacing w:line="360" w:lineRule="auto"/>
        <w:ind w:firstLine="480" w:firstLineChars="200"/>
        <w:rPr>
          <w:rFonts w:hint="eastAsia" w:eastAsia="黑体"/>
          <w:b/>
          <w:bCs w:val="0"/>
          <w:sz w:val="28"/>
          <w:szCs w:val="28"/>
        </w:rPr>
      </w:pPr>
      <w:r>
        <w:rPr>
          <w:rFonts w:hint="eastAsia" w:eastAsiaTheme="minorEastAsia"/>
          <w:color w:val="000000"/>
          <w:sz w:val="24"/>
          <w:lang w:val="en-US" w:eastAsia="zh-CN"/>
        </w:rPr>
        <w:t xml:space="preserve">4. </w:t>
      </w:r>
      <w:r>
        <w:rPr>
          <w:rFonts w:eastAsiaTheme="minorEastAsia"/>
          <w:color w:val="000000"/>
          <w:sz w:val="24"/>
        </w:rPr>
        <w:t>符合提前毕业条件的研究生，可按照学校相关规定</w:t>
      </w:r>
      <w:r>
        <w:rPr>
          <w:rFonts w:eastAsiaTheme="minorEastAsia"/>
          <w:bCs/>
          <w:sz w:val="24"/>
        </w:rPr>
        <w:t>申请</w:t>
      </w:r>
      <w:r>
        <w:rPr>
          <w:rFonts w:eastAsiaTheme="minorEastAsia"/>
          <w:color w:val="000000"/>
          <w:sz w:val="24"/>
        </w:rPr>
        <w:t>提前毕业。</w:t>
      </w:r>
    </w:p>
    <w:p w14:paraId="737AAA47">
      <w:pPr>
        <w:keepNext w:val="0"/>
        <w:keepLines w:val="0"/>
        <w:pageBreakBefore w:val="0"/>
        <w:widowControl w:val="0"/>
        <w:kinsoku/>
        <w:wordWrap/>
        <w:overflowPunct/>
        <w:topLinePunct w:val="0"/>
        <w:autoSpaceDE/>
        <w:autoSpaceDN/>
        <w:bidi w:val="0"/>
        <w:adjustRightInd/>
        <w:snapToGrid/>
        <w:spacing w:line="360" w:lineRule="auto"/>
        <w:ind w:firstLine="561"/>
        <w:textAlignment w:val="auto"/>
        <w:rPr>
          <w:rFonts w:hint="eastAsia" w:eastAsia="黑体"/>
          <w:b/>
          <w:bCs w:val="0"/>
          <w:color w:val="auto"/>
          <w:sz w:val="28"/>
          <w:szCs w:val="28"/>
        </w:rPr>
      </w:pPr>
      <w:r>
        <w:rPr>
          <w:rFonts w:hint="eastAsia" w:eastAsia="黑体"/>
          <w:b/>
          <w:bCs w:val="0"/>
          <w:color w:val="auto"/>
          <w:sz w:val="28"/>
          <w:szCs w:val="28"/>
        </w:rPr>
        <w:t>十、创新性成果</w:t>
      </w:r>
    </w:p>
    <w:p w14:paraId="6E1788FE">
      <w:pPr>
        <w:spacing w:line="360" w:lineRule="auto"/>
        <w:ind w:firstLine="480" w:firstLineChars="200"/>
        <w:rPr>
          <w:rFonts w:eastAsiaTheme="minorEastAsia"/>
          <w:color w:val="auto"/>
          <w:sz w:val="24"/>
        </w:rPr>
      </w:pPr>
      <w:r>
        <w:rPr>
          <w:rFonts w:hint="eastAsia" w:eastAsiaTheme="minorEastAsia"/>
          <w:iCs/>
          <w:color w:val="auto"/>
          <w:sz w:val="24"/>
        </w:rPr>
        <w:t>按照《生命科学学院关于研究生申请学位取得创新性成果的规定》执行。</w:t>
      </w:r>
    </w:p>
    <w:p w14:paraId="0303D976">
      <w:pPr>
        <w:keepNext w:val="0"/>
        <w:keepLines w:val="0"/>
        <w:pageBreakBefore w:val="0"/>
        <w:widowControl w:val="0"/>
        <w:kinsoku/>
        <w:wordWrap/>
        <w:overflowPunct/>
        <w:topLinePunct w:val="0"/>
        <w:autoSpaceDE/>
        <w:autoSpaceDN/>
        <w:bidi w:val="0"/>
        <w:adjustRightInd/>
        <w:snapToGrid/>
        <w:spacing w:line="360" w:lineRule="auto"/>
        <w:ind w:firstLine="561"/>
        <w:textAlignment w:val="auto"/>
        <w:rPr>
          <w:rFonts w:hint="eastAsia" w:eastAsia="黑体"/>
          <w:b/>
          <w:bCs w:val="0"/>
          <w:color w:val="auto"/>
          <w:sz w:val="28"/>
          <w:szCs w:val="28"/>
        </w:rPr>
      </w:pPr>
      <w:r>
        <w:rPr>
          <w:rFonts w:hint="eastAsia" w:eastAsia="黑体"/>
          <w:b/>
          <w:bCs w:val="0"/>
          <w:color w:val="auto"/>
          <w:sz w:val="28"/>
          <w:szCs w:val="28"/>
        </w:rPr>
        <w:t>十一、学位授予</w:t>
      </w:r>
    </w:p>
    <w:p w14:paraId="45BA3013">
      <w:pPr>
        <w:spacing w:line="360" w:lineRule="auto"/>
        <w:ind w:firstLine="480" w:firstLineChars="200"/>
        <w:rPr>
          <w:rFonts w:eastAsiaTheme="minorEastAsia"/>
          <w:bCs/>
          <w:color w:val="auto"/>
          <w:sz w:val="24"/>
        </w:rPr>
      </w:pPr>
      <w:r>
        <w:rPr>
          <w:rFonts w:eastAsiaTheme="minorEastAsia"/>
          <w:bCs/>
          <w:color w:val="000000" w:themeColor="text1"/>
          <w:sz w:val="24"/>
          <w14:textFill>
            <w14:solidFill>
              <w14:schemeClr w14:val="tx1"/>
            </w14:solidFill>
          </w14:textFill>
        </w:rPr>
        <w:t>研究生通过毕业资</w:t>
      </w:r>
      <w:r>
        <w:rPr>
          <w:rFonts w:eastAsiaTheme="minorEastAsia"/>
          <w:bCs/>
          <w:color w:val="auto"/>
          <w:sz w:val="24"/>
        </w:rPr>
        <w:t>格审查，</w:t>
      </w:r>
      <w:r>
        <w:rPr>
          <w:color w:val="auto"/>
          <w:kern w:val="0"/>
          <w:sz w:val="24"/>
        </w:rPr>
        <w:t>满足本</w:t>
      </w:r>
      <w:r>
        <w:rPr>
          <w:rFonts w:hint="eastAsia"/>
          <w:color w:val="auto"/>
          <w:kern w:val="0"/>
          <w:sz w:val="24"/>
        </w:rPr>
        <w:t>学院</w:t>
      </w:r>
      <w:r>
        <w:rPr>
          <w:color w:val="auto"/>
          <w:kern w:val="0"/>
          <w:sz w:val="24"/>
        </w:rPr>
        <w:t>/</w:t>
      </w:r>
      <w:r>
        <w:rPr>
          <w:rFonts w:hint="eastAsia"/>
          <w:color w:val="auto"/>
          <w:kern w:val="0"/>
          <w:sz w:val="24"/>
        </w:rPr>
        <w:t>系</w:t>
      </w:r>
      <w:r>
        <w:rPr>
          <w:color w:val="auto"/>
          <w:kern w:val="0"/>
          <w:sz w:val="24"/>
        </w:rPr>
        <w:t>/</w:t>
      </w:r>
      <w:r>
        <w:rPr>
          <w:rFonts w:hint="eastAsia"/>
          <w:color w:val="auto"/>
          <w:kern w:val="0"/>
          <w:sz w:val="24"/>
        </w:rPr>
        <w:t>中心</w:t>
      </w:r>
      <w:r>
        <w:rPr>
          <w:color w:val="auto"/>
          <w:kern w:val="0"/>
          <w:sz w:val="24"/>
        </w:rPr>
        <w:t>制定的创新性成果要求，</w:t>
      </w:r>
      <w:r>
        <w:rPr>
          <w:rFonts w:eastAsiaTheme="minorEastAsia"/>
          <w:bCs/>
          <w:color w:val="auto"/>
          <w:sz w:val="24"/>
        </w:rPr>
        <w:t>符合</w:t>
      </w:r>
      <w:r>
        <w:rPr>
          <w:color w:val="auto"/>
          <w:kern w:val="0"/>
          <w:sz w:val="24"/>
        </w:rPr>
        <w:t>《河北大学博士、硕士学位授予工作实施细则》（校政字〔2025〕7号）</w:t>
      </w:r>
      <w:r>
        <w:rPr>
          <w:rFonts w:eastAsiaTheme="minorEastAsia"/>
          <w:bCs/>
          <w:color w:val="auto"/>
          <w:sz w:val="24"/>
        </w:rPr>
        <w:t>的有关规定，达到学校学位授予标准，经学校学位评定委员会审议，授予博士学位。</w:t>
      </w:r>
    </w:p>
    <w:p w14:paraId="17EF66B8">
      <w:pPr>
        <w:spacing w:line="360" w:lineRule="auto"/>
        <w:ind w:firstLine="480" w:firstLineChars="200"/>
        <w:rPr>
          <w:rFonts w:eastAsiaTheme="minorEastAsia"/>
          <w:bCs/>
          <w:color w:val="auto"/>
          <w:sz w:val="24"/>
        </w:rPr>
      </w:pPr>
    </w:p>
    <w:p w14:paraId="12D32931">
      <w:pPr>
        <w:keepNext w:val="0"/>
        <w:keepLines w:val="0"/>
        <w:pageBreakBefore w:val="0"/>
        <w:widowControl w:val="0"/>
        <w:kinsoku/>
        <w:wordWrap/>
        <w:overflowPunct/>
        <w:topLinePunct w:val="0"/>
        <w:autoSpaceDE/>
        <w:autoSpaceDN/>
        <w:bidi w:val="0"/>
        <w:adjustRightInd/>
        <w:snapToGrid/>
        <w:spacing w:line="360" w:lineRule="auto"/>
        <w:ind w:firstLine="561"/>
        <w:textAlignment w:val="auto"/>
        <w:rPr>
          <w:rFonts w:hint="eastAsia" w:eastAsia="黑体"/>
          <w:b/>
          <w:bCs w:val="0"/>
          <w:color w:val="auto"/>
          <w:sz w:val="28"/>
          <w:szCs w:val="28"/>
        </w:rPr>
      </w:pPr>
      <w:r>
        <w:rPr>
          <w:rFonts w:hint="eastAsia" w:eastAsia="黑体"/>
          <w:b/>
          <w:bCs w:val="0"/>
          <w:color w:val="auto"/>
          <w:sz w:val="28"/>
          <w:szCs w:val="28"/>
        </w:rPr>
        <w:t>十二、学分及课程设置</w:t>
      </w:r>
    </w:p>
    <w:p w14:paraId="49DFF093">
      <w:pPr>
        <w:spacing w:line="360" w:lineRule="auto"/>
        <w:ind w:firstLine="480" w:firstLineChars="200"/>
        <w:rPr>
          <w:rFonts w:eastAsiaTheme="minorEastAsia"/>
          <w:color w:val="auto"/>
          <w:sz w:val="24"/>
        </w:rPr>
      </w:pPr>
      <w:r>
        <w:rPr>
          <w:rFonts w:eastAsiaTheme="minorEastAsia"/>
          <w:color w:val="auto"/>
          <w:sz w:val="24"/>
        </w:rPr>
        <w:t>本专业最低毕业学分为</w:t>
      </w:r>
      <w:r>
        <w:rPr>
          <w:rFonts w:hint="eastAsia" w:eastAsiaTheme="minorEastAsia"/>
          <w:color w:val="auto"/>
          <w:sz w:val="24"/>
        </w:rPr>
        <w:t>1</w:t>
      </w:r>
      <w:r>
        <w:rPr>
          <w:rFonts w:hint="eastAsia" w:eastAsiaTheme="minorEastAsia"/>
          <w:color w:val="auto"/>
          <w:sz w:val="24"/>
          <w:lang w:val="en-US" w:eastAsia="zh-CN"/>
        </w:rPr>
        <w:t>9</w:t>
      </w:r>
      <w:r>
        <w:rPr>
          <w:rFonts w:eastAsiaTheme="minorEastAsia"/>
          <w:color w:val="auto"/>
          <w:sz w:val="24"/>
        </w:rPr>
        <w:t>分，其中学位课</w:t>
      </w:r>
      <w:r>
        <w:rPr>
          <w:rFonts w:hint="eastAsia" w:eastAsiaTheme="minorEastAsia"/>
          <w:color w:val="auto"/>
          <w:sz w:val="24"/>
          <w:lang w:val="en-US" w:eastAsia="zh-CN"/>
        </w:rPr>
        <w:t>13</w:t>
      </w:r>
      <w:r>
        <w:rPr>
          <w:rFonts w:eastAsiaTheme="minorEastAsia"/>
          <w:color w:val="auto"/>
          <w:sz w:val="24"/>
        </w:rPr>
        <w:t>学分，非学位课</w:t>
      </w:r>
      <w:r>
        <w:rPr>
          <w:rFonts w:hint="eastAsia" w:eastAsiaTheme="minorEastAsia"/>
          <w:color w:val="auto"/>
          <w:sz w:val="24"/>
          <w:lang w:val="en-US" w:eastAsia="zh-CN"/>
        </w:rPr>
        <w:t>5</w:t>
      </w:r>
      <w:r>
        <w:rPr>
          <w:rFonts w:eastAsiaTheme="minorEastAsia"/>
          <w:color w:val="auto"/>
          <w:sz w:val="24"/>
        </w:rPr>
        <w:t>学分，必修环节</w:t>
      </w:r>
      <w:r>
        <w:rPr>
          <w:rFonts w:hint="eastAsia" w:eastAsiaTheme="minorEastAsia"/>
          <w:color w:val="auto"/>
          <w:sz w:val="24"/>
          <w:lang w:val="en-US" w:eastAsia="zh-CN"/>
        </w:rPr>
        <w:t>1</w:t>
      </w:r>
      <w:r>
        <w:rPr>
          <w:rFonts w:hint="eastAsia" w:eastAsiaTheme="minorEastAsia"/>
          <w:color w:val="auto"/>
          <w:sz w:val="24"/>
        </w:rPr>
        <w:t>学</w:t>
      </w:r>
      <w:r>
        <w:rPr>
          <w:rFonts w:eastAsiaTheme="minorEastAsia"/>
          <w:color w:val="auto"/>
          <w:sz w:val="24"/>
        </w:rPr>
        <w:t>分。</w:t>
      </w:r>
    </w:p>
    <w:p w14:paraId="2F1D24F3">
      <w:pPr>
        <w:spacing w:line="360" w:lineRule="auto"/>
        <w:rPr>
          <w:color w:val="auto"/>
          <w:sz w:val="24"/>
        </w:rPr>
      </w:pPr>
      <w:r>
        <w:rPr>
          <w:rFonts w:eastAsiaTheme="minorEastAsia"/>
          <w:color w:val="auto"/>
          <w:sz w:val="24"/>
        </w:rPr>
        <w:t xml:space="preserve">    课程考试不设补考环节，</w:t>
      </w:r>
      <w:r>
        <w:rPr>
          <w:color w:val="auto"/>
          <w:sz w:val="24"/>
        </w:rPr>
        <w:t>考试成绩低于60分的需重修。</w:t>
      </w:r>
    </w:p>
    <w:p w14:paraId="0C1F4730">
      <w:pPr>
        <w:spacing w:line="360" w:lineRule="auto"/>
        <w:ind w:firstLine="480"/>
        <w:rPr>
          <w:rFonts w:eastAsiaTheme="minorEastAsia"/>
          <w:i/>
          <w:color w:val="FF0000"/>
          <w:sz w:val="24"/>
        </w:rPr>
      </w:pPr>
    </w:p>
    <w:p w14:paraId="550951E9">
      <w:pPr>
        <w:widowControl/>
        <w:spacing w:line="360" w:lineRule="auto"/>
        <w:jc w:val="left"/>
        <w:rPr>
          <w:rFonts w:eastAsiaTheme="minorEastAsia"/>
          <w:b/>
          <w:bCs/>
          <w:color w:val="FF0000"/>
          <w:sz w:val="24"/>
        </w:rPr>
      </w:pPr>
      <w:r>
        <w:rPr>
          <w:rFonts w:eastAsiaTheme="minorEastAsia"/>
          <w:b/>
          <w:bCs/>
          <w:color w:val="FF0000"/>
          <w:sz w:val="24"/>
        </w:rPr>
        <w:br w:type="page"/>
      </w:r>
    </w:p>
    <w:p w14:paraId="2B212FF3">
      <w:pPr>
        <w:spacing w:after="120" w:afterLines="50" w:line="360" w:lineRule="auto"/>
        <w:ind w:firstLine="482" w:firstLineChars="200"/>
        <w:jc w:val="center"/>
        <w:rPr>
          <w:rFonts w:eastAsiaTheme="minorEastAsia"/>
          <w:b/>
          <w:bCs/>
          <w:sz w:val="24"/>
        </w:rPr>
      </w:pPr>
      <w:r>
        <w:rPr>
          <w:rFonts w:hint="eastAsia" w:eastAsiaTheme="minorEastAsia"/>
          <w:b/>
          <w:bCs/>
          <w:color w:val="auto"/>
          <w:sz w:val="24"/>
        </w:rPr>
        <w:t>生物学</w:t>
      </w:r>
      <w:r>
        <w:rPr>
          <w:rFonts w:eastAsiaTheme="minorEastAsia"/>
          <w:b/>
          <w:bCs/>
          <w:color w:val="auto"/>
          <w:sz w:val="24"/>
        </w:rPr>
        <w:t>专业学术</w:t>
      </w:r>
      <w:r>
        <w:rPr>
          <w:rFonts w:eastAsiaTheme="minorEastAsia"/>
          <w:b/>
          <w:bCs/>
          <w:sz w:val="24"/>
        </w:rPr>
        <w:t>学位博士研究生课程及培养环节设置一览表</w:t>
      </w:r>
    </w:p>
    <w:tbl>
      <w:tblPr>
        <w:tblStyle w:val="13"/>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486"/>
        <w:gridCol w:w="1555"/>
        <w:gridCol w:w="2850"/>
        <w:gridCol w:w="1503"/>
        <w:gridCol w:w="709"/>
        <w:gridCol w:w="709"/>
        <w:gridCol w:w="1045"/>
      </w:tblGrid>
      <w:tr w14:paraId="716BF9D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2041" w:type="dxa"/>
            <w:gridSpan w:val="2"/>
            <w:vAlign w:val="center"/>
          </w:tcPr>
          <w:p w14:paraId="33393FAA">
            <w:pPr>
              <w:spacing w:line="360" w:lineRule="auto"/>
              <w:jc w:val="center"/>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课程类别</w:t>
            </w:r>
          </w:p>
        </w:tc>
        <w:tc>
          <w:tcPr>
            <w:tcW w:w="2850" w:type="dxa"/>
            <w:vAlign w:val="center"/>
          </w:tcPr>
          <w:p w14:paraId="364C340D">
            <w:pPr>
              <w:spacing w:line="360" w:lineRule="auto"/>
              <w:jc w:val="center"/>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课程说明</w:t>
            </w:r>
          </w:p>
        </w:tc>
        <w:tc>
          <w:tcPr>
            <w:tcW w:w="1503" w:type="dxa"/>
            <w:vAlign w:val="center"/>
          </w:tcPr>
          <w:p w14:paraId="2475A1A7">
            <w:pPr>
              <w:spacing w:line="360" w:lineRule="auto"/>
              <w:jc w:val="center"/>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课程编号</w:t>
            </w:r>
          </w:p>
        </w:tc>
        <w:tc>
          <w:tcPr>
            <w:tcW w:w="709" w:type="dxa"/>
            <w:vAlign w:val="center"/>
          </w:tcPr>
          <w:p w14:paraId="4FC74FB8">
            <w:pPr>
              <w:spacing w:line="360" w:lineRule="auto"/>
              <w:jc w:val="center"/>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学分</w:t>
            </w:r>
          </w:p>
        </w:tc>
        <w:tc>
          <w:tcPr>
            <w:tcW w:w="709" w:type="dxa"/>
            <w:vAlign w:val="center"/>
          </w:tcPr>
          <w:p w14:paraId="2C4A2DB2">
            <w:pPr>
              <w:spacing w:line="360" w:lineRule="auto"/>
              <w:jc w:val="center"/>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学期</w:t>
            </w:r>
          </w:p>
        </w:tc>
        <w:tc>
          <w:tcPr>
            <w:tcW w:w="1045" w:type="dxa"/>
            <w:vAlign w:val="center"/>
          </w:tcPr>
          <w:p w14:paraId="34C7D610">
            <w:pPr>
              <w:spacing w:line="360" w:lineRule="auto"/>
              <w:jc w:val="center"/>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备注</w:t>
            </w:r>
          </w:p>
        </w:tc>
      </w:tr>
      <w:tr w14:paraId="272747E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486" w:type="dxa"/>
            <w:vMerge w:val="restart"/>
            <w:vAlign w:val="center"/>
          </w:tcPr>
          <w:p w14:paraId="565C27EF">
            <w:pPr>
              <w:spacing w:line="360" w:lineRule="auto"/>
              <w:jc w:val="both"/>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学位课</w:t>
            </w:r>
          </w:p>
        </w:tc>
        <w:tc>
          <w:tcPr>
            <w:tcW w:w="1555" w:type="dxa"/>
            <w:vMerge w:val="restart"/>
            <w:vAlign w:val="center"/>
          </w:tcPr>
          <w:p w14:paraId="2874E7A6">
            <w:pPr>
              <w:spacing w:line="360" w:lineRule="auto"/>
              <w:jc w:val="both"/>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公共必修课</w:t>
            </w:r>
          </w:p>
          <w:p w14:paraId="27E78D65">
            <w:pPr>
              <w:spacing w:line="360" w:lineRule="auto"/>
              <w:jc w:val="both"/>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w:t>
            </w:r>
            <w:r>
              <w:rPr>
                <w:rFonts w:hint="eastAsia"/>
                <w:b/>
                <w:color w:val="000000" w:themeColor="text1"/>
                <w:sz w:val="21"/>
                <w:szCs w:val="21"/>
                <w14:textFill>
                  <w14:solidFill>
                    <w14:schemeClr w14:val="tx1"/>
                  </w14:solidFill>
                </w14:textFill>
              </w:rPr>
              <w:t>4</w:t>
            </w:r>
            <w:r>
              <w:rPr>
                <w:b/>
                <w:color w:val="000000" w:themeColor="text1"/>
                <w:sz w:val="21"/>
                <w:szCs w:val="21"/>
                <w14:textFill>
                  <w14:solidFill>
                    <w14:schemeClr w14:val="tx1"/>
                  </w14:solidFill>
                </w14:textFill>
              </w:rPr>
              <w:t>学分）</w:t>
            </w:r>
          </w:p>
        </w:tc>
        <w:tc>
          <w:tcPr>
            <w:tcW w:w="2850" w:type="dxa"/>
            <w:vAlign w:val="center"/>
          </w:tcPr>
          <w:p w14:paraId="7928171B">
            <w:pPr>
              <w:spacing w:line="360" w:lineRule="auto"/>
              <w:jc w:val="both"/>
              <w:rPr>
                <w:rFonts w:hint="default" w:ascii="Times New Roman" w:hAnsi="Times New Roman" w:eastAsia="宋体" w:cs="Times New Roman"/>
                <w:color w:val="000000" w:themeColor="text1"/>
                <w:sz w:val="18"/>
                <w:szCs w:val="18"/>
                <w14:textFill>
                  <w14:solidFill>
                    <w14:schemeClr w14:val="tx1"/>
                  </w14:solidFill>
                </w14:textFill>
              </w:rPr>
            </w:pPr>
            <w:r>
              <w:rPr>
                <w:rFonts w:hint="default" w:ascii="Times New Roman" w:hAnsi="Times New Roman" w:eastAsia="宋体" w:cs="Times New Roman"/>
                <w:color w:val="000000" w:themeColor="text1"/>
                <w:sz w:val="18"/>
                <w:szCs w:val="18"/>
                <w14:textFill>
                  <w14:solidFill>
                    <w14:schemeClr w14:val="tx1"/>
                  </w14:solidFill>
                </w14:textFill>
              </w:rPr>
              <w:t>中国马克思主义与当代</w:t>
            </w:r>
          </w:p>
        </w:tc>
        <w:tc>
          <w:tcPr>
            <w:tcW w:w="1503" w:type="dxa"/>
            <w:vAlign w:val="center"/>
          </w:tcPr>
          <w:p w14:paraId="120B6896">
            <w:pPr>
              <w:spacing w:line="360" w:lineRule="auto"/>
              <w:jc w:val="center"/>
              <w:rPr>
                <w:rFonts w:hint="default" w:ascii="Times New Roman" w:hAnsi="Times New Roman" w:eastAsia="宋体" w:cs="Times New Roman"/>
                <w:color w:val="000000" w:themeColor="text1"/>
                <w:sz w:val="18"/>
                <w:szCs w:val="18"/>
                <w14:textFill>
                  <w14:solidFill>
                    <w14:schemeClr w14:val="tx1"/>
                  </w14:solidFill>
                </w14:textFill>
              </w:rPr>
            </w:pPr>
            <w:r>
              <w:rPr>
                <w:rFonts w:hint="default" w:ascii="Times New Roman" w:hAnsi="Times New Roman" w:eastAsia="宋体" w:cs="Times New Roman"/>
                <w:color w:val="000000" w:themeColor="text1"/>
                <w:sz w:val="18"/>
                <w:szCs w:val="18"/>
                <w14:textFill>
                  <w14:solidFill>
                    <w14:schemeClr w14:val="tx1"/>
                  </w14:solidFill>
                </w14:textFill>
              </w:rPr>
              <w:t>TB0000001</w:t>
            </w:r>
          </w:p>
        </w:tc>
        <w:tc>
          <w:tcPr>
            <w:tcW w:w="709" w:type="dxa"/>
            <w:vAlign w:val="center"/>
          </w:tcPr>
          <w:p w14:paraId="5AB80D0B">
            <w:pPr>
              <w:spacing w:line="360" w:lineRule="auto"/>
              <w:jc w:val="center"/>
              <w:rPr>
                <w:rFonts w:hint="default" w:ascii="Times New Roman" w:hAnsi="Times New Roman" w:eastAsia="宋体" w:cs="Times New Roman"/>
                <w:color w:val="000000" w:themeColor="text1"/>
                <w:sz w:val="18"/>
                <w:szCs w:val="18"/>
                <w14:textFill>
                  <w14:solidFill>
                    <w14:schemeClr w14:val="tx1"/>
                  </w14:solidFill>
                </w14:textFill>
              </w:rPr>
            </w:pPr>
            <w:r>
              <w:rPr>
                <w:rFonts w:hint="default" w:ascii="Times New Roman" w:hAnsi="Times New Roman" w:eastAsia="宋体" w:cs="Times New Roman"/>
                <w:color w:val="000000" w:themeColor="text1"/>
                <w:sz w:val="18"/>
                <w:szCs w:val="18"/>
                <w14:textFill>
                  <w14:solidFill>
                    <w14:schemeClr w14:val="tx1"/>
                  </w14:solidFill>
                </w14:textFill>
              </w:rPr>
              <w:t>2</w:t>
            </w:r>
          </w:p>
        </w:tc>
        <w:tc>
          <w:tcPr>
            <w:tcW w:w="709" w:type="dxa"/>
            <w:vAlign w:val="center"/>
          </w:tcPr>
          <w:p w14:paraId="61D954EE">
            <w:pPr>
              <w:spacing w:line="360" w:lineRule="auto"/>
              <w:jc w:val="center"/>
              <w:rPr>
                <w:rFonts w:hint="default" w:ascii="Times New Roman" w:hAnsi="Times New Roman" w:eastAsia="宋体" w:cs="Times New Roman"/>
                <w:color w:val="000000" w:themeColor="text1"/>
                <w:sz w:val="18"/>
                <w:szCs w:val="18"/>
                <w14:textFill>
                  <w14:solidFill>
                    <w14:schemeClr w14:val="tx1"/>
                  </w14:solidFill>
                </w14:textFill>
              </w:rPr>
            </w:pPr>
            <w:r>
              <w:rPr>
                <w:rFonts w:hint="default" w:ascii="Times New Roman" w:hAnsi="Times New Roman" w:eastAsia="宋体" w:cs="Times New Roman"/>
                <w:color w:val="000000" w:themeColor="text1"/>
                <w:sz w:val="18"/>
                <w:szCs w:val="18"/>
                <w14:textFill>
                  <w14:solidFill>
                    <w14:schemeClr w14:val="tx1"/>
                  </w14:solidFill>
                </w14:textFill>
              </w:rPr>
              <w:t>1</w:t>
            </w:r>
          </w:p>
        </w:tc>
        <w:tc>
          <w:tcPr>
            <w:tcW w:w="1045" w:type="dxa"/>
            <w:vAlign w:val="center"/>
          </w:tcPr>
          <w:p w14:paraId="699C2AEA">
            <w:pPr>
              <w:spacing w:line="360" w:lineRule="auto"/>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54F61DE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486" w:type="dxa"/>
            <w:vMerge w:val="continue"/>
            <w:vAlign w:val="center"/>
          </w:tcPr>
          <w:p w14:paraId="28FE03D2">
            <w:pPr>
              <w:spacing w:line="360" w:lineRule="auto"/>
              <w:jc w:val="both"/>
              <w:rPr>
                <w:b/>
                <w:color w:val="000000" w:themeColor="text1"/>
                <w:sz w:val="21"/>
                <w:szCs w:val="21"/>
                <w14:textFill>
                  <w14:solidFill>
                    <w14:schemeClr w14:val="tx1"/>
                  </w14:solidFill>
                </w14:textFill>
              </w:rPr>
            </w:pPr>
          </w:p>
        </w:tc>
        <w:tc>
          <w:tcPr>
            <w:tcW w:w="1555" w:type="dxa"/>
            <w:vMerge w:val="continue"/>
            <w:vAlign w:val="center"/>
          </w:tcPr>
          <w:p w14:paraId="33E54AC8">
            <w:pPr>
              <w:spacing w:line="360" w:lineRule="auto"/>
              <w:jc w:val="both"/>
              <w:rPr>
                <w:b/>
                <w:color w:val="000000" w:themeColor="text1"/>
                <w:sz w:val="21"/>
                <w:szCs w:val="21"/>
                <w14:textFill>
                  <w14:solidFill>
                    <w14:schemeClr w14:val="tx1"/>
                  </w14:solidFill>
                </w14:textFill>
              </w:rPr>
            </w:pPr>
          </w:p>
        </w:tc>
        <w:tc>
          <w:tcPr>
            <w:tcW w:w="2850" w:type="dxa"/>
            <w:vAlign w:val="center"/>
          </w:tcPr>
          <w:p w14:paraId="7E72BD09">
            <w:pPr>
              <w:spacing w:line="360" w:lineRule="auto"/>
              <w:jc w:val="both"/>
              <w:rPr>
                <w:rFonts w:hint="default" w:ascii="Times New Roman" w:hAnsi="Times New Roman" w:eastAsia="宋体" w:cs="Times New Roman"/>
                <w:color w:val="000000" w:themeColor="text1"/>
                <w:sz w:val="18"/>
                <w:szCs w:val="18"/>
                <w14:textFill>
                  <w14:solidFill>
                    <w14:schemeClr w14:val="tx1"/>
                  </w14:solidFill>
                </w14:textFill>
              </w:rPr>
            </w:pPr>
            <w:r>
              <w:rPr>
                <w:rFonts w:hint="default" w:ascii="Times New Roman" w:hAnsi="Times New Roman" w:eastAsia="宋体" w:cs="Times New Roman"/>
                <w:color w:val="000000" w:themeColor="text1"/>
                <w:sz w:val="18"/>
                <w:szCs w:val="18"/>
                <w14:textFill>
                  <w14:solidFill>
                    <w14:schemeClr w14:val="tx1"/>
                  </w14:solidFill>
                </w14:textFill>
              </w:rPr>
              <w:t>学术英语阅读与写作</w:t>
            </w:r>
          </w:p>
        </w:tc>
        <w:tc>
          <w:tcPr>
            <w:tcW w:w="1503" w:type="dxa"/>
            <w:vAlign w:val="center"/>
          </w:tcPr>
          <w:p w14:paraId="12CAEF12">
            <w:pPr>
              <w:spacing w:line="360" w:lineRule="auto"/>
              <w:jc w:val="center"/>
              <w:rPr>
                <w:rFonts w:hint="default" w:ascii="Times New Roman" w:hAnsi="Times New Roman" w:eastAsia="宋体" w:cs="Times New Roman"/>
                <w:color w:val="000000" w:themeColor="text1"/>
                <w:sz w:val="18"/>
                <w:szCs w:val="18"/>
                <w14:textFill>
                  <w14:solidFill>
                    <w14:schemeClr w14:val="tx1"/>
                  </w14:solidFill>
                </w14:textFill>
              </w:rPr>
            </w:pPr>
            <w:r>
              <w:rPr>
                <w:rFonts w:hint="default" w:ascii="Times New Roman" w:hAnsi="Times New Roman" w:eastAsia="宋体" w:cs="Times New Roman"/>
                <w:color w:val="000000" w:themeColor="text1"/>
                <w:sz w:val="18"/>
                <w:szCs w:val="18"/>
                <w14:textFill>
                  <w14:solidFill>
                    <w14:schemeClr w14:val="tx1"/>
                  </w14:solidFill>
                </w14:textFill>
              </w:rPr>
              <w:t>TB0000004</w:t>
            </w:r>
          </w:p>
        </w:tc>
        <w:tc>
          <w:tcPr>
            <w:tcW w:w="709" w:type="dxa"/>
            <w:vAlign w:val="center"/>
          </w:tcPr>
          <w:p w14:paraId="0E422F21">
            <w:pPr>
              <w:spacing w:line="360" w:lineRule="auto"/>
              <w:jc w:val="center"/>
              <w:rPr>
                <w:rFonts w:hint="default" w:ascii="Times New Roman" w:hAnsi="Times New Roman" w:eastAsia="宋体" w:cs="Times New Roman"/>
                <w:color w:val="000000" w:themeColor="text1"/>
                <w:sz w:val="18"/>
                <w:szCs w:val="18"/>
                <w14:textFill>
                  <w14:solidFill>
                    <w14:schemeClr w14:val="tx1"/>
                  </w14:solidFill>
                </w14:textFill>
              </w:rPr>
            </w:pPr>
            <w:r>
              <w:rPr>
                <w:rFonts w:hint="default" w:ascii="Times New Roman" w:hAnsi="Times New Roman" w:eastAsia="宋体" w:cs="Times New Roman"/>
                <w:color w:val="000000" w:themeColor="text1"/>
                <w:sz w:val="18"/>
                <w:szCs w:val="18"/>
                <w14:textFill>
                  <w14:solidFill>
                    <w14:schemeClr w14:val="tx1"/>
                  </w14:solidFill>
                </w14:textFill>
              </w:rPr>
              <w:t>2</w:t>
            </w:r>
          </w:p>
        </w:tc>
        <w:tc>
          <w:tcPr>
            <w:tcW w:w="709" w:type="dxa"/>
            <w:vAlign w:val="center"/>
          </w:tcPr>
          <w:p w14:paraId="1C16B133">
            <w:pPr>
              <w:spacing w:line="360" w:lineRule="auto"/>
              <w:jc w:val="center"/>
              <w:rPr>
                <w:rFonts w:hint="default" w:ascii="Times New Roman" w:hAnsi="Times New Roman" w:eastAsia="宋体" w:cs="Times New Roman"/>
                <w:color w:val="000000" w:themeColor="text1"/>
                <w:sz w:val="18"/>
                <w:szCs w:val="18"/>
                <w14:textFill>
                  <w14:solidFill>
                    <w14:schemeClr w14:val="tx1"/>
                  </w14:solidFill>
                </w14:textFill>
              </w:rPr>
            </w:pPr>
            <w:r>
              <w:rPr>
                <w:rFonts w:hint="default" w:ascii="Times New Roman" w:hAnsi="Times New Roman" w:eastAsia="宋体" w:cs="Times New Roman"/>
                <w:color w:val="000000" w:themeColor="text1"/>
                <w:sz w:val="18"/>
                <w:szCs w:val="18"/>
                <w14:textFill>
                  <w14:solidFill>
                    <w14:schemeClr w14:val="tx1"/>
                  </w14:solidFill>
                </w14:textFill>
              </w:rPr>
              <w:t>1</w:t>
            </w:r>
          </w:p>
        </w:tc>
        <w:tc>
          <w:tcPr>
            <w:tcW w:w="1045" w:type="dxa"/>
            <w:vAlign w:val="center"/>
          </w:tcPr>
          <w:p w14:paraId="2D98AB73">
            <w:pPr>
              <w:spacing w:line="360" w:lineRule="auto"/>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35B7843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486" w:type="dxa"/>
            <w:vMerge w:val="continue"/>
            <w:vAlign w:val="center"/>
          </w:tcPr>
          <w:p w14:paraId="00E66A43">
            <w:pPr>
              <w:spacing w:line="360" w:lineRule="auto"/>
              <w:jc w:val="both"/>
              <w:rPr>
                <w:b/>
                <w:color w:val="000000" w:themeColor="text1"/>
                <w:sz w:val="21"/>
                <w:szCs w:val="21"/>
                <w14:textFill>
                  <w14:solidFill>
                    <w14:schemeClr w14:val="tx1"/>
                  </w14:solidFill>
                </w14:textFill>
              </w:rPr>
            </w:pPr>
          </w:p>
        </w:tc>
        <w:tc>
          <w:tcPr>
            <w:tcW w:w="1555" w:type="dxa"/>
            <w:vMerge w:val="restart"/>
            <w:vAlign w:val="center"/>
          </w:tcPr>
          <w:p w14:paraId="36FEC540">
            <w:pPr>
              <w:spacing w:line="360" w:lineRule="auto"/>
              <w:jc w:val="both"/>
              <w:rPr>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学科基础课（</w:t>
            </w:r>
            <w:r>
              <w:rPr>
                <w:rFonts w:hint="eastAsia"/>
                <w:b/>
                <w:color w:val="000000" w:themeColor="text1"/>
                <w:sz w:val="21"/>
                <w:szCs w:val="21"/>
                <w:highlight w:val="none"/>
                <w14:textFill>
                  <w14:solidFill>
                    <w14:schemeClr w14:val="tx1"/>
                  </w14:solidFill>
                </w14:textFill>
              </w:rPr>
              <w:t>6</w:t>
            </w:r>
            <w:r>
              <w:rPr>
                <w:b/>
                <w:color w:val="000000" w:themeColor="text1"/>
                <w:sz w:val="21"/>
                <w:szCs w:val="21"/>
                <w:highlight w:val="none"/>
                <w14:textFill>
                  <w14:solidFill>
                    <w14:schemeClr w14:val="tx1"/>
                  </w14:solidFill>
                </w14:textFill>
              </w:rPr>
              <w:t>学分）</w:t>
            </w:r>
          </w:p>
        </w:tc>
        <w:tc>
          <w:tcPr>
            <w:tcW w:w="2850" w:type="dxa"/>
            <w:vAlign w:val="center"/>
          </w:tcPr>
          <w:p w14:paraId="66E1F862">
            <w:pPr>
              <w:spacing w:line="360" w:lineRule="auto"/>
              <w:jc w:val="both"/>
              <w:rPr>
                <w:rFonts w:hint="default" w:ascii="Times New Roman" w:hAnsi="Times New Roman" w:eastAsia="宋体" w:cs="Times New Roman"/>
                <w:color w:val="000000" w:themeColor="text1"/>
                <w:sz w:val="18"/>
                <w:szCs w:val="18"/>
                <w14:textFill>
                  <w14:solidFill>
                    <w14:schemeClr w14:val="tx1"/>
                  </w14:solidFill>
                </w14:textFill>
              </w:rPr>
            </w:pPr>
            <w:r>
              <w:rPr>
                <w:rFonts w:hint="default" w:ascii="Times New Roman" w:hAnsi="Times New Roman" w:eastAsia="宋体" w:cs="Times New Roman"/>
                <w:color w:val="000000" w:themeColor="text1"/>
                <w:sz w:val="18"/>
                <w:szCs w:val="18"/>
                <w14:textFill>
                  <w14:solidFill>
                    <w14:schemeClr w14:val="tx1"/>
                  </w14:solidFill>
                </w14:textFill>
              </w:rPr>
              <w:t>学术道德与论文写作</w:t>
            </w:r>
          </w:p>
        </w:tc>
        <w:tc>
          <w:tcPr>
            <w:tcW w:w="1503" w:type="dxa"/>
            <w:vAlign w:val="center"/>
          </w:tcPr>
          <w:p w14:paraId="0602BEBE">
            <w:pPr>
              <w:keepNext w:val="0"/>
              <w:keepLines w:val="0"/>
              <w:widowControl/>
              <w:suppressLineNumbers w:val="0"/>
              <w:jc w:val="center"/>
              <w:textAlignment w:val="center"/>
              <w:rPr>
                <w:rFonts w:hint="default" w:ascii="Times New Roman" w:hAnsi="Times New Roman" w:eastAsia="宋体" w:cs="Times New Roman"/>
                <w:i/>
                <w:color w:val="FF0000"/>
                <w:sz w:val="18"/>
                <w:szCs w:val="18"/>
              </w:rPr>
            </w:pPr>
            <w:r>
              <w:rPr>
                <w:rFonts w:hint="default" w:ascii="Times New Roman" w:hAnsi="Times New Roman" w:eastAsia="等线" w:cs="Times New Roman"/>
                <w:i w:val="0"/>
                <w:iCs w:val="0"/>
                <w:color w:val="000000"/>
                <w:kern w:val="0"/>
                <w:sz w:val="18"/>
                <w:szCs w:val="18"/>
                <w:u w:val="none"/>
                <w:lang w:val="en-US" w:eastAsia="zh-CN" w:bidi="ar"/>
              </w:rPr>
              <w:t>XB1200001</w:t>
            </w:r>
          </w:p>
        </w:tc>
        <w:tc>
          <w:tcPr>
            <w:tcW w:w="709" w:type="dxa"/>
            <w:vAlign w:val="center"/>
          </w:tcPr>
          <w:p w14:paraId="325C2B28">
            <w:pPr>
              <w:spacing w:line="360" w:lineRule="auto"/>
              <w:jc w:val="center"/>
              <w:rPr>
                <w:rFonts w:hint="default" w:ascii="Times New Roman" w:hAnsi="Times New Roman" w:eastAsia="宋体" w:cs="Times New Roman"/>
                <w:color w:val="FF0000"/>
                <w:sz w:val="18"/>
                <w:szCs w:val="18"/>
              </w:rPr>
            </w:pPr>
            <w:r>
              <w:rPr>
                <w:rFonts w:hint="default" w:ascii="Times New Roman" w:hAnsi="Times New Roman" w:eastAsia="宋体" w:cs="Times New Roman"/>
                <w:sz w:val="18"/>
                <w:szCs w:val="18"/>
              </w:rPr>
              <w:t>3</w:t>
            </w:r>
          </w:p>
        </w:tc>
        <w:tc>
          <w:tcPr>
            <w:tcW w:w="709" w:type="dxa"/>
            <w:vAlign w:val="center"/>
          </w:tcPr>
          <w:p w14:paraId="14F076D9">
            <w:pPr>
              <w:spacing w:line="360" w:lineRule="auto"/>
              <w:jc w:val="center"/>
              <w:rPr>
                <w:rFonts w:hint="default" w:ascii="Times New Roman" w:hAnsi="Times New Roman" w:eastAsia="宋体" w:cs="Times New Roman"/>
                <w:color w:val="FF0000"/>
                <w:sz w:val="18"/>
                <w:szCs w:val="18"/>
              </w:rPr>
            </w:pPr>
            <w:r>
              <w:rPr>
                <w:rFonts w:hint="default" w:ascii="Times New Roman" w:hAnsi="Times New Roman" w:eastAsia="宋体" w:cs="Times New Roman"/>
                <w:sz w:val="18"/>
                <w:szCs w:val="18"/>
              </w:rPr>
              <w:t>1</w:t>
            </w:r>
          </w:p>
        </w:tc>
        <w:tc>
          <w:tcPr>
            <w:tcW w:w="1045" w:type="dxa"/>
          </w:tcPr>
          <w:p w14:paraId="680C2A16">
            <w:pPr>
              <w:spacing w:line="360" w:lineRule="auto"/>
              <w:jc w:val="center"/>
              <w:rPr>
                <w:i/>
                <w:color w:val="FF0000"/>
                <w:sz w:val="18"/>
                <w:szCs w:val="18"/>
              </w:rPr>
            </w:pPr>
            <w:r>
              <w:rPr>
                <w:spacing w:val="-5"/>
                <w:sz w:val="18"/>
                <w:szCs w:val="18"/>
              </w:rPr>
              <w:t>考查</w:t>
            </w:r>
          </w:p>
        </w:tc>
      </w:tr>
      <w:tr w14:paraId="6A45F52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486" w:type="dxa"/>
            <w:vMerge w:val="continue"/>
            <w:vAlign w:val="center"/>
          </w:tcPr>
          <w:p w14:paraId="412D3296">
            <w:pPr>
              <w:spacing w:line="360" w:lineRule="auto"/>
              <w:jc w:val="both"/>
              <w:rPr>
                <w:b/>
                <w:color w:val="000000" w:themeColor="text1"/>
                <w:sz w:val="21"/>
                <w:szCs w:val="21"/>
                <w14:textFill>
                  <w14:solidFill>
                    <w14:schemeClr w14:val="tx1"/>
                  </w14:solidFill>
                </w14:textFill>
              </w:rPr>
            </w:pPr>
          </w:p>
        </w:tc>
        <w:tc>
          <w:tcPr>
            <w:tcW w:w="1555" w:type="dxa"/>
            <w:vMerge w:val="continue"/>
            <w:vAlign w:val="center"/>
          </w:tcPr>
          <w:p w14:paraId="7DFA6AD9">
            <w:pPr>
              <w:spacing w:line="360" w:lineRule="auto"/>
              <w:jc w:val="both"/>
              <w:rPr>
                <w:b/>
                <w:color w:val="000000" w:themeColor="text1"/>
                <w:sz w:val="21"/>
                <w:szCs w:val="21"/>
                <w14:textFill>
                  <w14:solidFill>
                    <w14:schemeClr w14:val="tx1"/>
                  </w14:solidFill>
                </w14:textFill>
              </w:rPr>
            </w:pPr>
          </w:p>
        </w:tc>
        <w:tc>
          <w:tcPr>
            <w:tcW w:w="2850" w:type="dxa"/>
            <w:vAlign w:val="center"/>
          </w:tcPr>
          <w:p w14:paraId="0AE1F62E">
            <w:pPr>
              <w:spacing w:line="360" w:lineRule="auto"/>
              <w:jc w:val="both"/>
              <w:rPr>
                <w:rFonts w:hint="default" w:ascii="Times New Roman" w:hAnsi="Times New Roman" w:eastAsia="宋体" w:cs="Times New Roman"/>
                <w:sz w:val="18"/>
                <w:szCs w:val="18"/>
              </w:rPr>
            </w:pPr>
            <w:r>
              <w:rPr>
                <w:rFonts w:hint="default" w:ascii="Times New Roman" w:hAnsi="Times New Roman" w:eastAsia="宋体" w:cs="Times New Roman"/>
                <w:spacing w:val="-1"/>
                <w:sz w:val="18"/>
                <w:szCs w:val="18"/>
              </w:rPr>
              <w:t>生物信息、生物统计与实验设计</w:t>
            </w:r>
          </w:p>
        </w:tc>
        <w:tc>
          <w:tcPr>
            <w:tcW w:w="1503" w:type="dxa"/>
            <w:vAlign w:val="center"/>
          </w:tcPr>
          <w:p w14:paraId="19ADF331">
            <w:pPr>
              <w:keepNext w:val="0"/>
              <w:keepLines w:val="0"/>
              <w:widowControl/>
              <w:suppressLineNumbers w:val="0"/>
              <w:jc w:val="center"/>
              <w:textAlignment w:val="center"/>
              <w:rPr>
                <w:rFonts w:hint="default" w:ascii="Times New Roman" w:hAnsi="Times New Roman" w:eastAsia="宋体" w:cs="Times New Roman"/>
                <w:color w:val="FF0000"/>
                <w:sz w:val="18"/>
                <w:szCs w:val="18"/>
              </w:rPr>
            </w:pPr>
            <w:r>
              <w:rPr>
                <w:rFonts w:hint="default" w:ascii="Times New Roman" w:hAnsi="Times New Roman" w:eastAsia="等线" w:cs="Times New Roman"/>
                <w:i w:val="0"/>
                <w:iCs w:val="0"/>
                <w:color w:val="000000"/>
                <w:kern w:val="0"/>
                <w:sz w:val="18"/>
                <w:szCs w:val="18"/>
                <w:u w:val="none"/>
                <w:lang w:val="en-US" w:eastAsia="zh-CN" w:bidi="ar"/>
              </w:rPr>
              <w:t>XB1200002</w:t>
            </w:r>
          </w:p>
        </w:tc>
        <w:tc>
          <w:tcPr>
            <w:tcW w:w="709" w:type="dxa"/>
            <w:vAlign w:val="center"/>
          </w:tcPr>
          <w:p w14:paraId="41576648">
            <w:pPr>
              <w:spacing w:line="360" w:lineRule="auto"/>
              <w:jc w:val="center"/>
              <w:rPr>
                <w:rFonts w:hint="default" w:ascii="Times New Roman" w:hAnsi="Times New Roman" w:eastAsia="宋体" w:cs="Times New Roman"/>
                <w:color w:val="FF0000"/>
                <w:sz w:val="18"/>
                <w:szCs w:val="18"/>
              </w:rPr>
            </w:pPr>
            <w:r>
              <w:rPr>
                <w:rFonts w:hint="default" w:ascii="Times New Roman" w:hAnsi="Times New Roman" w:eastAsia="宋体" w:cs="Times New Roman"/>
                <w:sz w:val="18"/>
                <w:szCs w:val="18"/>
              </w:rPr>
              <w:t>3</w:t>
            </w:r>
          </w:p>
        </w:tc>
        <w:tc>
          <w:tcPr>
            <w:tcW w:w="709" w:type="dxa"/>
            <w:vAlign w:val="center"/>
          </w:tcPr>
          <w:p w14:paraId="50FBBCEF">
            <w:pPr>
              <w:spacing w:line="360" w:lineRule="auto"/>
              <w:jc w:val="center"/>
              <w:rPr>
                <w:rFonts w:hint="default" w:ascii="Times New Roman" w:hAnsi="Times New Roman" w:eastAsia="宋体" w:cs="Times New Roman"/>
                <w:color w:val="FF0000"/>
                <w:sz w:val="18"/>
                <w:szCs w:val="18"/>
              </w:rPr>
            </w:pPr>
            <w:r>
              <w:rPr>
                <w:rFonts w:hint="default" w:ascii="Times New Roman" w:hAnsi="Times New Roman" w:eastAsia="宋体" w:cs="Times New Roman"/>
                <w:sz w:val="18"/>
                <w:szCs w:val="18"/>
              </w:rPr>
              <w:t>1</w:t>
            </w:r>
          </w:p>
        </w:tc>
        <w:tc>
          <w:tcPr>
            <w:tcW w:w="1045" w:type="dxa"/>
            <w:vAlign w:val="center"/>
          </w:tcPr>
          <w:p w14:paraId="648C026D">
            <w:pPr>
              <w:spacing w:line="360" w:lineRule="auto"/>
              <w:jc w:val="center"/>
              <w:rPr>
                <w:color w:val="FF0000"/>
                <w:sz w:val="18"/>
                <w:szCs w:val="18"/>
              </w:rPr>
            </w:pPr>
            <w:r>
              <w:rPr>
                <w:rFonts w:hint="eastAsia"/>
                <w:color w:val="000000" w:themeColor="text1"/>
                <w:sz w:val="18"/>
                <w:szCs w:val="18"/>
                <w14:textFill>
                  <w14:solidFill>
                    <w14:schemeClr w14:val="tx1"/>
                  </w14:solidFill>
                </w14:textFill>
              </w:rPr>
              <w:t>考查</w:t>
            </w:r>
          </w:p>
        </w:tc>
      </w:tr>
      <w:tr w14:paraId="01350AF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486" w:type="dxa"/>
            <w:vMerge w:val="continue"/>
            <w:vAlign w:val="center"/>
          </w:tcPr>
          <w:p w14:paraId="18D9AB30">
            <w:pPr>
              <w:spacing w:line="360" w:lineRule="auto"/>
              <w:jc w:val="both"/>
              <w:rPr>
                <w:b/>
                <w:color w:val="000000" w:themeColor="text1"/>
                <w:sz w:val="21"/>
                <w:szCs w:val="21"/>
                <w14:textFill>
                  <w14:solidFill>
                    <w14:schemeClr w14:val="tx1"/>
                  </w14:solidFill>
                </w14:textFill>
              </w:rPr>
            </w:pPr>
          </w:p>
        </w:tc>
        <w:tc>
          <w:tcPr>
            <w:tcW w:w="1555" w:type="dxa"/>
            <w:vMerge w:val="restart"/>
            <w:vAlign w:val="center"/>
          </w:tcPr>
          <w:p w14:paraId="31BB2A6C">
            <w:pPr>
              <w:spacing w:line="360" w:lineRule="auto"/>
              <w:jc w:val="both"/>
              <w:rPr>
                <w:b/>
                <w:color w:val="auto"/>
                <w:sz w:val="21"/>
                <w:szCs w:val="21"/>
                <w:highlight w:val="none"/>
              </w:rPr>
            </w:pPr>
            <w:r>
              <w:rPr>
                <w:b/>
                <w:color w:val="auto"/>
                <w:sz w:val="21"/>
                <w:szCs w:val="21"/>
                <w:highlight w:val="none"/>
              </w:rPr>
              <w:t>专业必修课（</w:t>
            </w:r>
            <w:r>
              <w:rPr>
                <w:rFonts w:hint="eastAsia"/>
                <w:b/>
                <w:color w:val="auto"/>
                <w:sz w:val="21"/>
                <w:szCs w:val="21"/>
                <w:highlight w:val="none"/>
                <w:lang w:val="en-US" w:eastAsia="zh-CN"/>
              </w:rPr>
              <w:t>3</w:t>
            </w:r>
            <w:r>
              <w:rPr>
                <w:b/>
                <w:color w:val="auto"/>
                <w:sz w:val="21"/>
                <w:szCs w:val="21"/>
                <w:highlight w:val="none"/>
              </w:rPr>
              <w:t>学分）</w:t>
            </w:r>
          </w:p>
        </w:tc>
        <w:tc>
          <w:tcPr>
            <w:tcW w:w="2850" w:type="dxa"/>
            <w:vAlign w:val="center"/>
          </w:tcPr>
          <w:p w14:paraId="745730B2">
            <w:pPr>
              <w:spacing w:line="360" w:lineRule="auto"/>
              <w:jc w:val="both"/>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pacing w:val="-2"/>
                <w:sz w:val="18"/>
                <w:szCs w:val="18"/>
              </w:rPr>
              <w:t>生命科学前沿研究</w:t>
            </w:r>
          </w:p>
        </w:tc>
        <w:tc>
          <w:tcPr>
            <w:tcW w:w="1503" w:type="dxa"/>
            <w:vAlign w:val="center"/>
          </w:tcPr>
          <w:p w14:paraId="4FF41719">
            <w:pPr>
              <w:keepNext w:val="0"/>
              <w:keepLines w:val="0"/>
              <w:widowControl/>
              <w:suppressLineNumbers w:val="0"/>
              <w:jc w:val="center"/>
              <w:textAlignment w:val="center"/>
              <w:rPr>
                <w:rFonts w:hint="default" w:ascii="Times New Roman" w:hAnsi="Times New Roman" w:eastAsia="宋体" w:cs="Times New Roman"/>
                <w:color w:val="auto"/>
                <w:sz w:val="18"/>
                <w:szCs w:val="18"/>
              </w:rPr>
            </w:pPr>
            <w:r>
              <w:rPr>
                <w:rFonts w:hint="default" w:ascii="Times New Roman" w:hAnsi="Times New Roman" w:eastAsia="等线" w:cs="Times New Roman"/>
                <w:i w:val="0"/>
                <w:iCs w:val="0"/>
                <w:color w:val="auto"/>
                <w:kern w:val="0"/>
                <w:sz w:val="18"/>
                <w:szCs w:val="18"/>
                <w:u w:val="none"/>
                <w:lang w:val="en-US" w:eastAsia="zh-CN" w:bidi="ar"/>
              </w:rPr>
              <w:t>XB1200003</w:t>
            </w:r>
          </w:p>
        </w:tc>
        <w:tc>
          <w:tcPr>
            <w:tcW w:w="709" w:type="dxa"/>
            <w:vAlign w:val="center"/>
          </w:tcPr>
          <w:p w14:paraId="6226EC6D">
            <w:pPr>
              <w:spacing w:line="360" w:lineRule="auto"/>
              <w:jc w:val="center"/>
              <w:rPr>
                <w:rFonts w:hint="eastAsia" w:ascii="Times New Roman" w:hAnsi="Times New Roman" w:eastAsia="宋体" w:cs="Times New Roman"/>
                <w:color w:val="auto"/>
                <w:sz w:val="18"/>
                <w:szCs w:val="18"/>
                <w:lang w:eastAsia="zh-CN"/>
              </w:rPr>
            </w:pPr>
            <w:r>
              <w:rPr>
                <w:rFonts w:hint="eastAsia" w:cs="Times New Roman"/>
                <w:color w:val="auto"/>
                <w:sz w:val="18"/>
                <w:szCs w:val="18"/>
                <w:lang w:val="en-US" w:eastAsia="zh-CN"/>
              </w:rPr>
              <w:t>2</w:t>
            </w:r>
          </w:p>
        </w:tc>
        <w:tc>
          <w:tcPr>
            <w:tcW w:w="709" w:type="dxa"/>
            <w:vAlign w:val="center"/>
          </w:tcPr>
          <w:p w14:paraId="0A490358">
            <w:pPr>
              <w:spacing w:line="360" w:lineRule="auto"/>
              <w:jc w:val="center"/>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1</w:t>
            </w:r>
          </w:p>
        </w:tc>
        <w:tc>
          <w:tcPr>
            <w:tcW w:w="1045" w:type="dxa"/>
            <w:vAlign w:val="top"/>
          </w:tcPr>
          <w:p w14:paraId="2E11F01B">
            <w:pPr>
              <w:spacing w:line="360" w:lineRule="auto"/>
              <w:jc w:val="center"/>
              <w:rPr>
                <w:rFonts w:hint="eastAsia" w:eastAsia="宋体"/>
                <w:color w:val="auto"/>
                <w:sz w:val="18"/>
                <w:szCs w:val="18"/>
                <w:lang w:eastAsia="zh-CN"/>
              </w:rPr>
            </w:pPr>
            <w:r>
              <w:rPr>
                <w:rFonts w:hint="eastAsia"/>
                <w:spacing w:val="-5"/>
                <w:sz w:val="18"/>
                <w:szCs w:val="18"/>
                <w:lang w:val="en-US" w:eastAsia="zh-CN"/>
              </w:rPr>
              <w:t>考试</w:t>
            </w:r>
          </w:p>
        </w:tc>
      </w:tr>
      <w:tr w14:paraId="0D07545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486" w:type="dxa"/>
            <w:vMerge w:val="continue"/>
            <w:vAlign w:val="center"/>
          </w:tcPr>
          <w:p w14:paraId="6AF14578">
            <w:pPr>
              <w:spacing w:line="360" w:lineRule="auto"/>
              <w:jc w:val="both"/>
              <w:rPr>
                <w:b/>
                <w:color w:val="000000" w:themeColor="text1"/>
                <w:sz w:val="21"/>
                <w:szCs w:val="21"/>
                <w14:textFill>
                  <w14:solidFill>
                    <w14:schemeClr w14:val="tx1"/>
                  </w14:solidFill>
                </w14:textFill>
              </w:rPr>
            </w:pPr>
          </w:p>
        </w:tc>
        <w:tc>
          <w:tcPr>
            <w:tcW w:w="1555" w:type="dxa"/>
            <w:vMerge w:val="continue"/>
            <w:vAlign w:val="center"/>
          </w:tcPr>
          <w:p w14:paraId="4502F3D9">
            <w:pPr>
              <w:spacing w:line="360" w:lineRule="auto"/>
              <w:jc w:val="both"/>
              <w:rPr>
                <w:b/>
                <w:color w:val="auto"/>
                <w:sz w:val="21"/>
                <w:szCs w:val="21"/>
              </w:rPr>
            </w:pPr>
          </w:p>
        </w:tc>
        <w:tc>
          <w:tcPr>
            <w:tcW w:w="2850" w:type="dxa"/>
            <w:vAlign w:val="center"/>
          </w:tcPr>
          <w:p w14:paraId="1D519663">
            <w:pPr>
              <w:spacing w:line="360" w:lineRule="auto"/>
              <w:jc w:val="both"/>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pacing w:val="-2"/>
                <w:sz w:val="18"/>
                <w:szCs w:val="18"/>
              </w:rPr>
              <w:t>生命科学高端论坛</w:t>
            </w:r>
          </w:p>
        </w:tc>
        <w:tc>
          <w:tcPr>
            <w:tcW w:w="1503" w:type="dxa"/>
            <w:vAlign w:val="center"/>
          </w:tcPr>
          <w:p w14:paraId="5E03238A">
            <w:pPr>
              <w:keepNext w:val="0"/>
              <w:keepLines w:val="0"/>
              <w:widowControl/>
              <w:suppressLineNumbers w:val="0"/>
              <w:jc w:val="center"/>
              <w:textAlignment w:val="center"/>
              <w:rPr>
                <w:rFonts w:hint="default" w:ascii="Times New Roman" w:hAnsi="Times New Roman" w:eastAsia="宋体" w:cs="Times New Roman"/>
                <w:color w:val="auto"/>
                <w:sz w:val="18"/>
                <w:szCs w:val="18"/>
              </w:rPr>
            </w:pPr>
            <w:r>
              <w:rPr>
                <w:rFonts w:hint="default" w:ascii="Times New Roman" w:hAnsi="Times New Roman" w:eastAsia="等线" w:cs="Times New Roman"/>
                <w:i w:val="0"/>
                <w:iCs w:val="0"/>
                <w:color w:val="auto"/>
                <w:kern w:val="0"/>
                <w:sz w:val="18"/>
                <w:szCs w:val="18"/>
                <w:u w:val="none"/>
                <w:lang w:val="en-US" w:eastAsia="zh-CN" w:bidi="ar"/>
              </w:rPr>
              <w:t>XB1200004</w:t>
            </w:r>
          </w:p>
        </w:tc>
        <w:tc>
          <w:tcPr>
            <w:tcW w:w="709" w:type="dxa"/>
            <w:vAlign w:val="center"/>
          </w:tcPr>
          <w:p w14:paraId="39773B3A">
            <w:pPr>
              <w:spacing w:line="360" w:lineRule="auto"/>
              <w:jc w:val="center"/>
              <w:rPr>
                <w:rFonts w:hint="eastAsia" w:ascii="Times New Roman" w:hAnsi="Times New Roman" w:eastAsia="宋体" w:cs="Times New Roman"/>
                <w:color w:val="auto"/>
                <w:sz w:val="18"/>
                <w:szCs w:val="18"/>
                <w:lang w:eastAsia="zh-CN"/>
              </w:rPr>
            </w:pPr>
            <w:r>
              <w:rPr>
                <w:rFonts w:hint="eastAsia" w:cs="Times New Roman"/>
                <w:color w:val="auto"/>
                <w:sz w:val="18"/>
                <w:szCs w:val="18"/>
                <w:lang w:val="en-US" w:eastAsia="zh-CN"/>
              </w:rPr>
              <w:t>1</w:t>
            </w:r>
          </w:p>
        </w:tc>
        <w:tc>
          <w:tcPr>
            <w:tcW w:w="709" w:type="dxa"/>
            <w:vAlign w:val="center"/>
          </w:tcPr>
          <w:p w14:paraId="2E27EE99">
            <w:pPr>
              <w:spacing w:line="360" w:lineRule="auto"/>
              <w:jc w:val="center"/>
              <w:rPr>
                <w:rFonts w:hint="default" w:ascii="Times New Roman" w:hAnsi="Times New Roman" w:eastAsia="宋体" w:cs="Times New Roman"/>
                <w:color w:val="auto"/>
                <w:sz w:val="18"/>
                <w:szCs w:val="18"/>
              </w:rPr>
            </w:pPr>
            <w:r>
              <w:rPr>
                <w:rFonts w:hint="default" w:ascii="Times New Roman" w:hAnsi="Times New Roman" w:eastAsia="宋体" w:cs="Times New Roman"/>
                <w:color w:val="auto"/>
                <w:sz w:val="18"/>
                <w:szCs w:val="18"/>
              </w:rPr>
              <w:t>2</w:t>
            </w:r>
          </w:p>
        </w:tc>
        <w:tc>
          <w:tcPr>
            <w:tcW w:w="1045" w:type="dxa"/>
          </w:tcPr>
          <w:p w14:paraId="4CF924D8">
            <w:pPr>
              <w:spacing w:line="360" w:lineRule="auto"/>
              <w:jc w:val="center"/>
              <w:rPr>
                <w:color w:val="auto"/>
                <w:sz w:val="18"/>
                <w:szCs w:val="18"/>
              </w:rPr>
            </w:pPr>
            <w:r>
              <w:rPr>
                <w:color w:val="auto"/>
                <w:spacing w:val="-5"/>
                <w:sz w:val="18"/>
                <w:szCs w:val="18"/>
              </w:rPr>
              <w:t>考查</w:t>
            </w:r>
          </w:p>
        </w:tc>
      </w:tr>
      <w:tr w14:paraId="7680F61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486" w:type="dxa"/>
            <w:vMerge w:val="restart"/>
            <w:vAlign w:val="center"/>
          </w:tcPr>
          <w:p w14:paraId="6D3AD688">
            <w:pPr>
              <w:spacing w:line="360" w:lineRule="auto"/>
              <w:jc w:val="both"/>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非学位课</w:t>
            </w:r>
          </w:p>
        </w:tc>
        <w:tc>
          <w:tcPr>
            <w:tcW w:w="1555" w:type="dxa"/>
            <w:vMerge w:val="restart"/>
            <w:vAlign w:val="center"/>
          </w:tcPr>
          <w:p w14:paraId="05450C35">
            <w:pPr>
              <w:spacing w:line="360" w:lineRule="auto"/>
              <w:jc w:val="both"/>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公共通识课</w:t>
            </w:r>
          </w:p>
          <w:p w14:paraId="44F1F6D7">
            <w:pPr>
              <w:spacing w:line="360" w:lineRule="auto"/>
              <w:jc w:val="both"/>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（2学分）</w:t>
            </w:r>
          </w:p>
        </w:tc>
        <w:tc>
          <w:tcPr>
            <w:tcW w:w="2850" w:type="dxa"/>
            <w:vAlign w:val="center"/>
          </w:tcPr>
          <w:p w14:paraId="119768AE">
            <w:pPr>
              <w:spacing w:line="360" w:lineRule="auto"/>
              <w:jc w:val="both"/>
              <w:rPr>
                <w:rFonts w:hint="default" w:ascii="Times New Roman" w:hAnsi="Times New Roman" w:eastAsia="宋体" w:cs="Times New Roman"/>
                <w:color w:val="000000" w:themeColor="text1"/>
                <w:sz w:val="18"/>
                <w:szCs w:val="18"/>
                <w14:textFill>
                  <w14:solidFill>
                    <w14:schemeClr w14:val="tx1"/>
                  </w14:solidFill>
                </w14:textFill>
              </w:rPr>
            </w:pPr>
            <w:r>
              <w:rPr>
                <w:rFonts w:hint="default" w:ascii="Times New Roman" w:hAnsi="Times New Roman" w:eastAsia="宋体" w:cs="Times New Roman"/>
                <w:color w:val="000000" w:themeColor="text1"/>
                <w:sz w:val="18"/>
                <w:szCs w:val="18"/>
                <w14:textFill>
                  <w14:solidFill>
                    <w14:schemeClr w14:val="tx1"/>
                  </w14:solidFill>
                </w14:textFill>
              </w:rPr>
              <w:t>《习近平谈治国理政》研读</w:t>
            </w:r>
          </w:p>
        </w:tc>
        <w:tc>
          <w:tcPr>
            <w:tcW w:w="1503" w:type="dxa"/>
            <w:vAlign w:val="center"/>
          </w:tcPr>
          <w:p w14:paraId="78979521">
            <w:pPr>
              <w:spacing w:line="360" w:lineRule="auto"/>
              <w:jc w:val="center"/>
              <w:rPr>
                <w:rFonts w:hint="default" w:ascii="Times New Roman" w:hAnsi="Times New Roman" w:eastAsia="宋体" w:cs="Times New Roman"/>
                <w:color w:val="000000" w:themeColor="text1"/>
                <w:sz w:val="18"/>
                <w:szCs w:val="18"/>
                <w14:textFill>
                  <w14:solidFill>
                    <w14:schemeClr w14:val="tx1"/>
                  </w14:solidFill>
                </w14:textFill>
              </w:rPr>
            </w:pPr>
            <w:r>
              <w:rPr>
                <w:rFonts w:hint="default" w:ascii="Times New Roman" w:hAnsi="Times New Roman" w:eastAsia="宋体" w:cs="Times New Roman"/>
                <w:color w:val="000000" w:themeColor="text1"/>
                <w:sz w:val="18"/>
                <w:szCs w:val="18"/>
                <w14:textFill>
                  <w14:solidFill>
                    <w14:schemeClr w14:val="tx1"/>
                  </w14:solidFill>
                </w14:textFill>
              </w:rPr>
              <w:t>TT0000101</w:t>
            </w:r>
          </w:p>
        </w:tc>
        <w:tc>
          <w:tcPr>
            <w:tcW w:w="709" w:type="dxa"/>
            <w:vAlign w:val="center"/>
          </w:tcPr>
          <w:p w14:paraId="6A40FC7C">
            <w:pPr>
              <w:spacing w:line="360" w:lineRule="auto"/>
              <w:jc w:val="center"/>
              <w:rPr>
                <w:rFonts w:hint="default" w:ascii="Times New Roman" w:hAnsi="Times New Roman" w:eastAsia="宋体" w:cs="Times New Roman"/>
                <w:color w:val="000000" w:themeColor="text1"/>
                <w:sz w:val="18"/>
                <w:szCs w:val="18"/>
                <w14:textFill>
                  <w14:solidFill>
                    <w14:schemeClr w14:val="tx1"/>
                  </w14:solidFill>
                </w14:textFill>
              </w:rPr>
            </w:pPr>
            <w:r>
              <w:rPr>
                <w:rFonts w:hint="default" w:ascii="Times New Roman" w:hAnsi="Times New Roman" w:eastAsia="宋体" w:cs="Times New Roman"/>
                <w:color w:val="000000" w:themeColor="text1"/>
                <w:sz w:val="18"/>
                <w:szCs w:val="18"/>
                <w14:textFill>
                  <w14:solidFill>
                    <w14:schemeClr w14:val="tx1"/>
                  </w14:solidFill>
                </w14:textFill>
              </w:rPr>
              <w:t>1</w:t>
            </w:r>
          </w:p>
        </w:tc>
        <w:tc>
          <w:tcPr>
            <w:tcW w:w="709" w:type="dxa"/>
            <w:vAlign w:val="center"/>
          </w:tcPr>
          <w:p w14:paraId="5A2317A8">
            <w:pPr>
              <w:spacing w:line="360" w:lineRule="auto"/>
              <w:jc w:val="center"/>
              <w:rPr>
                <w:rFonts w:hint="default" w:ascii="Times New Roman" w:hAnsi="Times New Roman" w:eastAsia="宋体" w:cs="Times New Roman"/>
                <w:color w:val="000000" w:themeColor="text1"/>
                <w:sz w:val="18"/>
                <w:szCs w:val="18"/>
                <w14:textFill>
                  <w14:solidFill>
                    <w14:schemeClr w14:val="tx1"/>
                  </w14:solidFill>
                </w14:textFill>
              </w:rPr>
            </w:pPr>
            <w:r>
              <w:rPr>
                <w:rFonts w:hint="default" w:ascii="Times New Roman" w:hAnsi="Times New Roman" w:eastAsia="宋体" w:cs="Times New Roman"/>
                <w:color w:val="000000" w:themeColor="text1"/>
                <w:sz w:val="18"/>
                <w:szCs w:val="18"/>
                <w14:textFill>
                  <w14:solidFill>
                    <w14:schemeClr w14:val="tx1"/>
                  </w14:solidFill>
                </w14:textFill>
              </w:rPr>
              <w:t>1</w:t>
            </w:r>
          </w:p>
        </w:tc>
        <w:tc>
          <w:tcPr>
            <w:tcW w:w="1045" w:type="dxa"/>
            <w:vAlign w:val="center"/>
          </w:tcPr>
          <w:p w14:paraId="0F4F767B">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11F20D2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486" w:type="dxa"/>
            <w:vMerge w:val="continue"/>
            <w:vAlign w:val="center"/>
          </w:tcPr>
          <w:p w14:paraId="4C6EC7E5">
            <w:pPr>
              <w:spacing w:line="360" w:lineRule="auto"/>
              <w:jc w:val="both"/>
              <w:rPr>
                <w:b/>
                <w:color w:val="000000" w:themeColor="text1"/>
                <w:sz w:val="21"/>
                <w:szCs w:val="21"/>
                <w14:textFill>
                  <w14:solidFill>
                    <w14:schemeClr w14:val="tx1"/>
                  </w14:solidFill>
                </w14:textFill>
              </w:rPr>
            </w:pPr>
          </w:p>
        </w:tc>
        <w:tc>
          <w:tcPr>
            <w:tcW w:w="1555" w:type="dxa"/>
            <w:vMerge w:val="continue"/>
            <w:vAlign w:val="center"/>
          </w:tcPr>
          <w:p w14:paraId="50F784B7">
            <w:pPr>
              <w:spacing w:line="360" w:lineRule="auto"/>
              <w:jc w:val="both"/>
              <w:rPr>
                <w:b/>
                <w:color w:val="000000" w:themeColor="text1"/>
                <w:sz w:val="21"/>
                <w:szCs w:val="21"/>
                <w14:textFill>
                  <w14:solidFill>
                    <w14:schemeClr w14:val="tx1"/>
                  </w14:solidFill>
                </w14:textFill>
              </w:rPr>
            </w:pPr>
          </w:p>
        </w:tc>
        <w:tc>
          <w:tcPr>
            <w:tcW w:w="2850" w:type="dxa"/>
            <w:vAlign w:val="center"/>
          </w:tcPr>
          <w:p w14:paraId="42AB493B">
            <w:pPr>
              <w:spacing w:line="360" w:lineRule="auto"/>
              <w:jc w:val="both"/>
              <w:rPr>
                <w:rFonts w:hint="default" w:ascii="Times New Roman" w:hAnsi="Times New Roman" w:eastAsia="宋体" w:cs="Times New Roman"/>
                <w:color w:val="000000" w:themeColor="text1"/>
                <w:sz w:val="18"/>
                <w:szCs w:val="18"/>
                <w14:textFill>
                  <w14:solidFill>
                    <w14:schemeClr w14:val="tx1"/>
                  </w14:solidFill>
                </w14:textFill>
              </w:rPr>
            </w:pPr>
            <w:r>
              <w:rPr>
                <w:rFonts w:hint="default" w:ascii="Times New Roman" w:hAnsi="Times New Roman" w:eastAsia="宋体" w:cs="Times New Roman"/>
                <w:color w:val="000000" w:themeColor="text1"/>
                <w:sz w:val="18"/>
                <w:szCs w:val="18"/>
                <w14:textFill>
                  <w14:solidFill>
                    <w14:schemeClr w14:val="tx1"/>
                  </w14:solidFill>
                </w14:textFill>
              </w:rPr>
              <w:t>马克思恩格斯列宁经典著作选读</w:t>
            </w:r>
          </w:p>
        </w:tc>
        <w:tc>
          <w:tcPr>
            <w:tcW w:w="1503" w:type="dxa"/>
            <w:vAlign w:val="center"/>
          </w:tcPr>
          <w:p w14:paraId="402533BA">
            <w:pPr>
              <w:spacing w:line="360" w:lineRule="auto"/>
              <w:jc w:val="center"/>
              <w:rPr>
                <w:rFonts w:hint="default" w:ascii="Times New Roman" w:hAnsi="Times New Roman" w:eastAsia="宋体" w:cs="Times New Roman"/>
                <w:color w:val="000000" w:themeColor="text1"/>
                <w:sz w:val="18"/>
                <w:szCs w:val="18"/>
                <w14:textFill>
                  <w14:solidFill>
                    <w14:schemeClr w14:val="tx1"/>
                  </w14:solidFill>
                </w14:textFill>
              </w:rPr>
            </w:pPr>
            <w:r>
              <w:rPr>
                <w:rFonts w:hint="default" w:ascii="Times New Roman" w:hAnsi="Times New Roman" w:eastAsia="宋体" w:cs="Times New Roman"/>
                <w:color w:val="000000" w:themeColor="text1"/>
                <w:sz w:val="18"/>
                <w:szCs w:val="18"/>
                <w14:textFill>
                  <w14:solidFill>
                    <w14:schemeClr w14:val="tx1"/>
                  </w14:solidFill>
                </w14:textFill>
              </w:rPr>
              <w:t>TB0000103</w:t>
            </w:r>
          </w:p>
        </w:tc>
        <w:tc>
          <w:tcPr>
            <w:tcW w:w="709" w:type="dxa"/>
            <w:vAlign w:val="center"/>
          </w:tcPr>
          <w:p w14:paraId="6E3E317F">
            <w:pPr>
              <w:spacing w:line="360" w:lineRule="auto"/>
              <w:jc w:val="center"/>
              <w:rPr>
                <w:rFonts w:hint="default" w:ascii="Times New Roman" w:hAnsi="Times New Roman" w:eastAsia="宋体" w:cs="Times New Roman"/>
                <w:color w:val="000000" w:themeColor="text1"/>
                <w:sz w:val="18"/>
                <w:szCs w:val="18"/>
                <w14:textFill>
                  <w14:solidFill>
                    <w14:schemeClr w14:val="tx1"/>
                  </w14:solidFill>
                </w14:textFill>
              </w:rPr>
            </w:pPr>
            <w:r>
              <w:rPr>
                <w:rFonts w:hint="default" w:ascii="Times New Roman" w:hAnsi="Times New Roman" w:eastAsia="宋体" w:cs="Times New Roman"/>
                <w:color w:val="000000" w:themeColor="text1"/>
                <w:sz w:val="18"/>
                <w:szCs w:val="18"/>
                <w14:textFill>
                  <w14:solidFill>
                    <w14:schemeClr w14:val="tx1"/>
                  </w14:solidFill>
                </w14:textFill>
              </w:rPr>
              <w:t>1</w:t>
            </w:r>
          </w:p>
        </w:tc>
        <w:tc>
          <w:tcPr>
            <w:tcW w:w="709" w:type="dxa"/>
            <w:vAlign w:val="center"/>
          </w:tcPr>
          <w:p w14:paraId="62FDC78D">
            <w:pPr>
              <w:spacing w:line="360" w:lineRule="auto"/>
              <w:jc w:val="center"/>
              <w:rPr>
                <w:rFonts w:hint="default" w:ascii="Times New Roman" w:hAnsi="Times New Roman" w:eastAsia="宋体" w:cs="Times New Roman"/>
                <w:color w:val="000000" w:themeColor="text1"/>
                <w:sz w:val="18"/>
                <w:szCs w:val="18"/>
                <w14:textFill>
                  <w14:solidFill>
                    <w14:schemeClr w14:val="tx1"/>
                  </w14:solidFill>
                </w14:textFill>
              </w:rPr>
            </w:pPr>
            <w:r>
              <w:rPr>
                <w:rFonts w:hint="default" w:ascii="Times New Roman" w:hAnsi="Times New Roman" w:eastAsia="宋体" w:cs="Times New Roman"/>
                <w:color w:val="000000" w:themeColor="text1"/>
                <w:sz w:val="18"/>
                <w:szCs w:val="18"/>
                <w14:textFill>
                  <w14:solidFill>
                    <w14:schemeClr w14:val="tx1"/>
                  </w14:solidFill>
                </w14:textFill>
              </w:rPr>
              <w:t>1</w:t>
            </w:r>
          </w:p>
        </w:tc>
        <w:tc>
          <w:tcPr>
            <w:tcW w:w="1045" w:type="dxa"/>
            <w:vAlign w:val="center"/>
          </w:tcPr>
          <w:p w14:paraId="3CDD5426">
            <w:pPr>
              <w:spacing w:line="360" w:lineRule="auto"/>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0837909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486" w:type="dxa"/>
            <w:vMerge w:val="continue"/>
            <w:vAlign w:val="center"/>
          </w:tcPr>
          <w:p w14:paraId="0DF022E2">
            <w:pPr>
              <w:spacing w:line="360" w:lineRule="auto"/>
              <w:jc w:val="both"/>
              <w:rPr>
                <w:b/>
                <w:color w:val="000000" w:themeColor="text1"/>
                <w:sz w:val="21"/>
                <w:szCs w:val="21"/>
                <w14:textFill>
                  <w14:solidFill>
                    <w14:schemeClr w14:val="tx1"/>
                  </w14:solidFill>
                </w14:textFill>
              </w:rPr>
            </w:pPr>
          </w:p>
        </w:tc>
        <w:tc>
          <w:tcPr>
            <w:tcW w:w="1555" w:type="dxa"/>
            <w:vMerge w:val="restart"/>
            <w:vAlign w:val="center"/>
          </w:tcPr>
          <w:p w14:paraId="7CAE5220">
            <w:pPr>
              <w:spacing w:line="360" w:lineRule="auto"/>
              <w:jc w:val="both"/>
              <w:rPr>
                <w:b/>
                <w:w w:val="95"/>
                <w:sz w:val="21"/>
                <w:szCs w:val="21"/>
              </w:rPr>
            </w:pPr>
            <w:r>
              <w:rPr>
                <w:rFonts w:hint="eastAsia"/>
                <w:b/>
                <w:w w:val="95"/>
                <w:sz w:val="21"/>
                <w:szCs w:val="21"/>
              </w:rPr>
              <w:t>专业通识课与交叉学科课</w:t>
            </w:r>
          </w:p>
          <w:p w14:paraId="00491B23">
            <w:pPr>
              <w:spacing w:line="360" w:lineRule="auto"/>
              <w:jc w:val="both"/>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w:t>
            </w:r>
            <w:r>
              <w:rPr>
                <w:rFonts w:hint="eastAsia"/>
                <w:b/>
                <w:color w:val="000000" w:themeColor="text1"/>
                <w:sz w:val="21"/>
                <w:szCs w:val="21"/>
                <w14:textFill>
                  <w14:solidFill>
                    <w14:schemeClr w14:val="tx1"/>
                  </w14:solidFill>
                </w14:textFill>
              </w:rPr>
              <w:t>至少3</w:t>
            </w:r>
            <w:r>
              <w:rPr>
                <w:b/>
                <w:color w:val="000000" w:themeColor="text1"/>
                <w:sz w:val="21"/>
                <w:szCs w:val="21"/>
                <w14:textFill>
                  <w14:solidFill>
                    <w14:schemeClr w14:val="tx1"/>
                  </w14:solidFill>
                </w14:textFill>
              </w:rPr>
              <w:t>学分）</w:t>
            </w:r>
          </w:p>
        </w:tc>
        <w:tc>
          <w:tcPr>
            <w:tcW w:w="2850" w:type="dxa"/>
            <w:vAlign w:val="center"/>
          </w:tcPr>
          <w:p w14:paraId="0FA2B43B">
            <w:pPr>
              <w:spacing w:line="360" w:lineRule="auto"/>
              <w:jc w:val="both"/>
              <w:rPr>
                <w:rFonts w:hint="default" w:ascii="Times New Roman" w:hAnsi="Times New Roman" w:eastAsia="宋体" w:cs="Times New Roman"/>
                <w:i/>
                <w:color w:val="FF0000"/>
                <w:sz w:val="18"/>
                <w:szCs w:val="18"/>
              </w:rPr>
            </w:pPr>
            <w:r>
              <w:rPr>
                <w:rFonts w:hint="default" w:ascii="Times New Roman" w:hAnsi="Times New Roman" w:eastAsia="宋体" w:cs="Times New Roman"/>
                <w:spacing w:val="-2"/>
                <w:sz w:val="18"/>
                <w:szCs w:val="18"/>
              </w:rPr>
              <w:t>生物进化与分类原理</w:t>
            </w:r>
          </w:p>
        </w:tc>
        <w:tc>
          <w:tcPr>
            <w:tcW w:w="1503" w:type="dxa"/>
            <w:vAlign w:val="center"/>
          </w:tcPr>
          <w:p w14:paraId="6FE8FCD8">
            <w:pPr>
              <w:keepNext w:val="0"/>
              <w:keepLines w:val="0"/>
              <w:widowControl/>
              <w:suppressLineNumbers w:val="0"/>
              <w:jc w:val="center"/>
              <w:textAlignment w:val="center"/>
              <w:rPr>
                <w:rFonts w:hint="default" w:ascii="Times New Roman" w:hAnsi="Times New Roman" w:eastAsia="宋体" w:cs="Times New Roman"/>
                <w:color w:val="FF0000"/>
                <w:sz w:val="18"/>
                <w:szCs w:val="18"/>
              </w:rPr>
            </w:pPr>
            <w:r>
              <w:rPr>
                <w:rFonts w:hint="default" w:ascii="Times New Roman" w:hAnsi="Times New Roman" w:eastAsia="等线" w:cs="Times New Roman"/>
                <w:i w:val="0"/>
                <w:iCs w:val="0"/>
                <w:color w:val="000000"/>
                <w:kern w:val="0"/>
                <w:sz w:val="18"/>
                <w:szCs w:val="18"/>
                <w:u w:val="none"/>
                <w:lang w:val="en-US" w:eastAsia="zh-CN" w:bidi="ar"/>
              </w:rPr>
              <w:t>XB1200202</w:t>
            </w:r>
          </w:p>
        </w:tc>
        <w:tc>
          <w:tcPr>
            <w:tcW w:w="709" w:type="dxa"/>
            <w:vAlign w:val="center"/>
          </w:tcPr>
          <w:p w14:paraId="5838E8A1">
            <w:pPr>
              <w:spacing w:line="360" w:lineRule="auto"/>
              <w:jc w:val="center"/>
              <w:rPr>
                <w:rFonts w:hint="default" w:ascii="Times New Roman" w:hAnsi="Times New Roman" w:eastAsia="宋体" w:cs="Times New Roman"/>
                <w:color w:val="FF0000"/>
                <w:sz w:val="18"/>
                <w:szCs w:val="18"/>
              </w:rPr>
            </w:pPr>
            <w:r>
              <w:rPr>
                <w:rFonts w:hint="default" w:ascii="Times New Roman" w:hAnsi="Times New Roman" w:eastAsia="宋体" w:cs="Times New Roman"/>
                <w:sz w:val="18"/>
                <w:szCs w:val="18"/>
              </w:rPr>
              <w:t>3</w:t>
            </w:r>
          </w:p>
        </w:tc>
        <w:tc>
          <w:tcPr>
            <w:tcW w:w="709" w:type="dxa"/>
            <w:vAlign w:val="center"/>
          </w:tcPr>
          <w:p w14:paraId="1A4145C7">
            <w:pPr>
              <w:spacing w:line="360" w:lineRule="auto"/>
              <w:jc w:val="center"/>
              <w:rPr>
                <w:rFonts w:hint="default" w:ascii="Times New Roman" w:hAnsi="Times New Roman" w:eastAsia="宋体" w:cs="Times New Roman"/>
                <w:color w:val="FF0000"/>
                <w:sz w:val="18"/>
                <w:szCs w:val="18"/>
              </w:rPr>
            </w:pPr>
            <w:r>
              <w:rPr>
                <w:rFonts w:hint="default" w:ascii="Times New Roman" w:hAnsi="Times New Roman" w:eastAsia="宋体" w:cs="Times New Roman"/>
                <w:sz w:val="18"/>
                <w:szCs w:val="18"/>
              </w:rPr>
              <w:t>1</w:t>
            </w:r>
          </w:p>
        </w:tc>
        <w:tc>
          <w:tcPr>
            <w:tcW w:w="1045" w:type="dxa"/>
            <w:vMerge w:val="restart"/>
            <w:vAlign w:val="center"/>
          </w:tcPr>
          <w:p w14:paraId="125CABCD">
            <w:pPr>
              <w:adjustRightInd w:val="0"/>
              <w:snapToGrid w:val="0"/>
              <w:spacing w:line="360" w:lineRule="auto"/>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考查，每个</w:t>
            </w:r>
            <w:r>
              <w:rPr>
                <w:color w:val="000000" w:themeColor="text1"/>
                <w:sz w:val="18"/>
                <w:szCs w:val="18"/>
                <w14:textFill>
                  <w14:solidFill>
                    <w14:schemeClr w14:val="tx1"/>
                  </w14:solidFill>
                </w14:textFill>
              </w:rPr>
              <w:t>方向研究生至少选修</w:t>
            </w:r>
            <w:r>
              <w:rPr>
                <w:rFonts w:hint="eastAsia"/>
                <w:color w:val="000000" w:themeColor="text1"/>
                <w:sz w:val="18"/>
                <w:szCs w:val="18"/>
                <w14:textFill>
                  <w14:solidFill>
                    <w14:schemeClr w14:val="tx1"/>
                  </w14:solidFill>
                </w14:textFill>
              </w:rPr>
              <w:t>3</w:t>
            </w:r>
            <w:r>
              <w:rPr>
                <w:color w:val="000000" w:themeColor="text1"/>
                <w:sz w:val="18"/>
                <w:szCs w:val="18"/>
                <w14:textFill>
                  <w14:solidFill>
                    <w14:schemeClr w14:val="tx1"/>
                  </w14:solidFill>
                </w14:textFill>
              </w:rPr>
              <w:t>学分</w:t>
            </w:r>
          </w:p>
        </w:tc>
      </w:tr>
      <w:tr w14:paraId="7FF9916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486" w:type="dxa"/>
            <w:vMerge w:val="continue"/>
            <w:vAlign w:val="center"/>
          </w:tcPr>
          <w:p w14:paraId="1F0931B2">
            <w:pPr>
              <w:spacing w:line="360" w:lineRule="auto"/>
              <w:jc w:val="both"/>
              <w:rPr>
                <w:b/>
                <w:color w:val="000000" w:themeColor="text1"/>
                <w:sz w:val="21"/>
                <w:szCs w:val="21"/>
                <w14:textFill>
                  <w14:solidFill>
                    <w14:schemeClr w14:val="tx1"/>
                  </w14:solidFill>
                </w14:textFill>
              </w:rPr>
            </w:pPr>
          </w:p>
        </w:tc>
        <w:tc>
          <w:tcPr>
            <w:tcW w:w="1555" w:type="dxa"/>
            <w:vMerge w:val="continue"/>
            <w:vAlign w:val="center"/>
          </w:tcPr>
          <w:p w14:paraId="21493F73">
            <w:pPr>
              <w:spacing w:line="360" w:lineRule="auto"/>
              <w:jc w:val="both"/>
              <w:rPr>
                <w:b/>
                <w:color w:val="FF0000"/>
                <w:sz w:val="21"/>
                <w:szCs w:val="21"/>
              </w:rPr>
            </w:pPr>
          </w:p>
        </w:tc>
        <w:tc>
          <w:tcPr>
            <w:tcW w:w="2850" w:type="dxa"/>
            <w:vAlign w:val="center"/>
          </w:tcPr>
          <w:p w14:paraId="1213E9EF">
            <w:pPr>
              <w:spacing w:line="360" w:lineRule="auto"/>
              <w:jc w:val="both"/>
              <w:rPr>
                <w:rFonts w:hint="default" w:ascii="Times New Roman" w:hAnsi="Times New Roman" w:eastAsia="宋体" w:cs="Times New Roman"/>
                <w:i/>
                <w:color w:val="FF0000"/>
                <w:sz w:val="18"/>
                <w:szCs w:val="18"/>
              </w:rPr>
            </w:pPr>
            <w:r>
              <w:rPr>
                <w:rFonts w:hint="default" w:ascii="Times New Roman" w:hAnsi="Times New Roman" w:eastAsia="宋体" w:cs="Times New Roman"/>
                <w:spacing w:val="-2"/>
                <w:sz w:val="18"/>
                <w:szCs w:val="18"/>
              </w:rPr>
              <w:t>植物生态学</w:t>
            </w:r>
          </w:p>
        </w:tc>
        <w:tc>
          <w:tcPr>
            <w:tcW w:w="1503" w:type="dxa"/>
            <w:vAlign w:val="center"/>
          </w:tcPr>
          <w:p w14:paraId="2102306C">
            <w:pPr>
              <w:keepNext w:val="0"/>
              <w:keepLines w:val="0"/>
              <w:widowControl/>
              <w:suppressLineNumbers w:val="0"/>
              <w:jc w:val="center"/>
              <w:textAlignment w:val="center"/>
              <w:rPr>
                <w:rFonts w:hint="default" w:ascii="Times New Roman" w:hAnsi="Times New Roman" w:eastAsia="宋体" w:cs="Times New Roman"/>
                <w:color w:val="FF0000"/>
                <w:sz w:val="18"/>
                <w:szCs w:val="18"/>
              </w:rPr>
            </w:pPr>
            <w:r>
              <w:rPr>
                <w:rFonts w:hint="default" w:ascii="Times New Roman" w:hAnsi="Times New Roman" w:eastAsia="等线" w:cs="Times New Roman"/>
                <w:i w:val="0"/>
                <w:iCs w:val="0"/>
                <w:color w:val="000000"/>
                <w:kern w:val="0"/>
                <w:sz w:val="18"/>
                <w:szCs w:val="18"/>
                <w:u w:val="none"/>
                <w:lang w:val="en-US" w:eastAsia="zh-CN" w:bidi="ar"/>
              </w:rPr>
              <w:t>XB1200204</w:t>
            </w:r>
          </w:p>
        </w:tc>
        <w:tc>
          <w:tcPr>
            <w:tcW w:w="709" w:type="dxa"/>
            <w:vAlign w:val="center"/>
          </w:tcPr>
          <w:p w14:paraId="6C08545B">
            <w:pPr>
              <w:spacing w:line="360" w:lineRule="auto"/>
              <w:jc w:val="center"/>
              <w:rPr>
                <w:rFonts w:hint="default" w:ascii="Times New Roman" w:hAnsi="Times New Roman" w:eastAsia="宋体" w:cs="Times New Roman"/>
                <w:color w:val="FF0000"/>
                <w:sz w:val="18"/>
                <w:szCs w:val="18"/>
              </w:rPr>
            </w:pPr>
            <w:r>
              <w:rPr>
                <w:rFonts w:hint="default" w:ascii="Times New Roman" w:hAnsi="Times New Roman" w:eastAsia="宋体" w:cs="Times New Roman"/>
                <w:sz w:val="18"/>
                <w:szCs w:val="18"/>
              </w:rPr>
              <w:t>3</w:t>
            </w:r>
          </w:p>
        </w:tc>
        <w:tc>
          <w:tcPr>
            <w:tcW w:w="709" w:type="dxa"/>
            <w:vAlign w:val="center"/>
          </w:tcPr>
          <w:p w14:paraId="16991EF2">
            <w:pPr>
              <w:spacing w:line="360" w:lineRule="auto"/>
              <w:jc w:val="center"/>
              <w:rPr>
                <w:rFonts w:hint="default" w:ascii="Times New Roman" w:hAnsi="Times New Roman" w:eastAsia="宋体" w:cs="Times New Roman"/>
                <w:color w:val="FF0000"/>
                <w:sz w:val="18"/>
                <w:szCs w:val="18"/>
              </w:rPr>
            </w:pPr>
            <w:r>
              <w:rPr>
                <w:rFonts w:hint="default" w:ascii="Times New Roman" w:hAnsi="Times New Roman" w:eastAsia="宋体" w:cs="Times New Roman"/>
                <w:sz w:val="18"/>
                <w:szCs w:val="18"/>
              </w:rPr>
              <w:t>1</w:t>
            </w:r>
          </w:p>
        </w:tc>
        <w:tc>
          <w:tcPr>
            <w:tcW w:w="1045" w:type="dxa"/>
            <w:vMerge w:val="continue"/>
            <w:vAlign w:val="center"/>
          </w:tcPr>
          <w:p w14:paraId="6F85ED9D">
            <w:pPr>
              <w:spacing w:line="360" w:lineRule="auto"/>
              <w:jc w:val="center"/>
              <w:rPr>
                <w:color w:val="000000" w:themeColor="text1"/>
                <w:sz w:val="18"/>
                <w:szCs w:val="18"/>
                <w14:textFill>
                  <w14:solidFill>
                    <w14:schemeClr w14:val="tx1"/>
                  </w14:solidFill>
                </w14:textFill>
              </w:rPr>
            </w:pPr>
          </w:p>
        </w:tc>
      </w:tr>
      <w:tr w14:paraId="0FBBB3E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486" w:type="dxa"/>
            <w:vMerge w:val="continue"/>
            <w:vAlign w:val="center"/>
          </w:tcPr>
          <w:p w14:paraId="244BEF84">
            <w:pPr>
              <w:spacing w:line="360" w:lineRule="auto"/>
              <w:jc w:val="both"/>
              <w:rPr>
                <w:b/>
                <w:color w:val="000000" w:themeColor="text1"/>
                <w:sz w:val="21"/>
                <w:szCs w:val="21"/>
                <w14:textFill>
                  <w14:solidFill>
                    <w14:schemeClr w14:val="tx1"/>
                  </w14:solidFill>
                </w14:textFill>
              </w:rPr>
            </w:pPr>
          </w:p>
        </w:tc>
        <w:tc>
          <w:tcPr>
            <w:tcW w:w="1555" w:type="dxa"/>
            <w:vMerge w:val="continue"/>
            <w:vAlign w:val="center"/>
          </w:tcPr>
          <w:p w14:paraId="10305F5E">
            <w:pPr>
              <w:spacing w:line="360" w:lineRule="auto"/>
              <w:jc w:val="both"/>
              <w:rPr>
                <w:b/>
                <w:color w:val="FF0000"/>
                <w:sz w:val="21"/>
                <w:szCs w:val="21"/>
              </w:rPr>
            </w:pPr>
          </w:p>
        </w:tc>
        <w:tc>
          <w:tcPr>
            <w:tcW w:w="2850" w:type="dxa"/>
            <w:vAlign w:val="center"/>
          </w:tcPr>
          <w:p w14:paraId="2AC74668">
            <w:pPr>
              <w:spacing w:line="360" w:lineRule="auto"/>
              <w:jc w:val="both"/>
              <w:rPr>
                <w:rFonts w:hint="default" w:ascii="Times New Roman" w:hAnsi="Times New Roman" w:eastAsia="宋体" w:cs="Times New Roman"/>
                <w:i/>
                <w:color w:val="FF0000"/>
                <w:sz w:val="18"/>
                <w:szCs w:val="18"/>
              </w:rPr>
            </w:pPr>
            <w:r>
              <w:rPr>
                <w:rFonts w:hint="default" w:ascii="Times New Roman" w:hAnsi="Times New Roman" w:eastAsia="宋体" w:cs="Times New Roman"/>
                <w:spacing w:val="-2"/>
                <w:sz w:val="18"/>
                <w:szCs w:val="18"/>
              </w:rPr>
              <w:t>植物共生生物学</w:t>
            </w:r>
          </w:p>
        </w:tc>
        <w:tc>
          <w:tcPr>
            <w:tcW w:w="1503" w:type="dxa"/>
            <w:vAlign w:val="center"/>
          </w:tcPr>
          <w:p w14:paraId="39E4D288">
            <w:pPr>
              <w:keepNext w:val="0"/>
              <w:keepLines w:val="0"/>
              <w:widowControl/>
              <w:suppressLineNumbers w:val="0"/>
              <w:jc w:val="center"/>
              <w:textAlignment w:val="center"/>
              <w:rPr>
                <w:rFonts w:hint="default" w:ascii="Times New Roman" w:hAnsi="Times New Roman" w:eastAsia="宋体" w:cs="Times New Roman"/>
                <w:color w:val="FF0000"/>
                <w:sz w:val="18"/>
                <w:szCs w:val="18"/>
              </w:rPr>
            </w:pPr>
            <w:r>
              <w:rPr>
                <w:rFonts w:hint="default" w:ascii="Times New Roman" w:hAnsi="Times New Roman" w:eastAsia="等线" w:cs="Times New Roman"/>
                <w:i w:val="0"/>
                <w:iCs w:val="0"/>
                <w:color w:val="000000"/>
                <w:kern w:val="0"/>
                <w:sz w:val="18"/>
                <w:szCs w:val="18"/>
                <w:u w:val="none"/>
                <w:lang w:val="en-US" w:eastAsia="zh-CN" w:bidi="ar"/>
              </w:rPr>
              <w:t>XB1200205</w:t>
            </w:r>
          </w:p>
        </w:tc>
        <w:tc>
          <w:tcPr>
            <w:tcW w:w="709" w:type="dxa"/>
            <w:vAlign w:val="center"/>
          </w:tcPr>
          <w:p w14:paraId="1A6D8194">
            <w:pPr>
              <w:spacing w:line="360" w:lineRule="auto"/>
              <w:jc w:val="center"/>
              <w:rPr>
                <w:rFonts w:hint="default" w:ascii="Times New Roman" w:hAnsi="Times New Roman" w:eastAsia="宋体" w:cs="Times New Roman"/>
                <w:color w:val="FF0000"/>
                <w:sz w:val="18"/>
                <w:szCs w:val="18"/>
              </w:rPr>
            </w:pPr>
            <w:r>
              <w:rPr>
                <w:rFonts w:hint="default" w:ascii="Times New Roman" w:hAnsi="Times New Roman" w:eastAsia="宋体" w:cs="Times New Roman"/>
                <w:sz w:val="18"/>
                <w:szCs w:val="18"/>
              </w:rPr>
              <w:t>3</w:t>
            </w:r>
          </w:p>
        </w:tc>
        <w:tc>
          <w:tcPr>
            <w:tcW w:w="709" w:type="dxa"/>
            <w:vAlign w:val="center"/>
          </w:tcPr>
          <w:p w14:paraId="7610B9E4">
            <w:pPr>
              <w:spacing w:line="360" w:lineRule="auto"/>
              <w:jc w:val="center"/>
              <w:rPr>
                <w:rFonts w:hint="default" w:ascii="Times New Roman" w:hAnsi="Times New Roman" w:eastAsia="宋体" w:cs="Times New Roman"/>
                <w:color w:val="FF0000"/>
                <w:sz w:val="18"/>
                <w:szCs w:val="18"/>
              </w:rPr>
            </w:pPr>
            <w:r>
              <w:rPr>
                <w:rFonts w:hint="default" w:ascii="Times New Roman" w:hAnsi="Times New Roman" w:eastAsia="宋体" w:cs="Times New Roman"/>
                <w:sz w:val="18"/>
                <w:szCs w:val="18"/>
              </w:rPr>
              <w:t>1</w:t>
            </w:r>
          </w:p>
        </w:tc>
        <w:tc>
          <w:tcPr>
            <w:tcW w:w="1045" w:type="dxa"/>
            <w:vMerge w:val="continue"/>
            <w:vAlign w:val="center"/>
          </w:tcPr>
          <w:p w14:paraId="7AB869B1">
            <w:pPr>
              <w:spacing w:line="360" w:lineRule="auto"/>
              <w:jc w:val="center"/>
              <w:rPr>
                <w:color w:val="000000" w:themeColor="text1"/>
                <w:sz w:val="18"/>
                <w:szCs w:val="18"/>
                <w14:textFill>
                  <w14:solidFill>
                    <w14:schemeClr w14:val="tx1"/>
                  </w14:solidFill>
                </w14:textFill>
              </w:rPr>
            </w:pPr>
          </w:p>
        </w:tc>
      </w:tr>
      <w:tr w14:paraId="64F4863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486" w:type="dxa"/>
            <w:vMerge w:val="continue"/>
            <w:vAlign w:val="center"/>
          </w:tcPr>
          <w:p w14:paraId="2EF13720">
            <w:pPr>
              <w:spacing w:line="360" w:lineRule="auto"/>
              <w:jc w:val="both"/>
              <w:rPr>
                <w:b/>
                <w:color w:val="000000" w:themeColor="text1"/>
                <w:sz w:val="21"/>
                <w:szCs w:val="21"/>
                <w14:textFill>
                  <w14:solidFill>
                    <w14:schemeClr w14:val="tx1"/>
                  </w14:solidFill>
                </w14:textFill>
              </w:rPr>
            </w:pPr>
          </w:p>
        </w:tc>
        <w:tc>
          <w:tcPr>
            <w:tcW w:w="1555" w:type="dxa"/>
            <w:vMerge w:val="continue"/>
            <w:vAlign w:val="center"/>
          </w:tcPr>
          <w:p w14:paraId="76DCA5C8">
            <w:pPr>
              <w:spacing w:line="360" w:lineRule="auto"/>
              <w:jc w:val="both"/>
              <w:rPr>
                <w:b/>
                <w:color w:val="000000" w:themeColor="text1"/>
                <w:sz w:val="21"/>
                <w:szCs w:val="21"/>
                <w14:textFill>
                  <w14:solidFill>
                    <w14:schemeClr w14:val="tx1"/>
                  </w14:solidFill>
                </w14:textFill>
              </w:rPr>
            </w:pPr>
          </w:p>
        </w:tc>
        <w:tc>
          <w:tcPr>
            <w:tcW w:w="2850" w:type="dxa"/>
            <w:vAlign w:val="center"/>
          </w:tcPr>
          <w:p w14:paraId="09D0DDB9">
            <w:pPr>
              <w:adjustRightInd w:val="0"/>
              <w:snapToGrid w:val="0"/>
              <w:spacing w:line="360" w:lineRule="auto"/>
              <w:jc w:val="both"/>
              <w:rPr>
                <w:rFonts w:hint="default" w:ascii="Times New Roman" w:hAnsi="Times New Roman" w:eastAsia="宋体" w:cs="Times New Roman"/>
                <w:i/>
                <w:color w:val="FF0000"/>
                <w:sz w:val="18"/>
                <w:szCs w:val="18"/>
              </w:rPr>
            </w:pPr>
            <w:r>
              <w:rPr>
                <w:rFonts w:hint="default" w:ascii="Times New Roman" w:hAnsi="Times New Roman" w:eastAsia="宋体" w:cs="Times New Roman"/>
                <w:spacing w:val="-2"/>
                <w:sz w:val="18"/>
                <w:szCs w:val="18"/>
              </w:rPr>
              <w:t>入侵生物学</w:t>
            </w:r>
          </w:p>
        </w:tc>
        <w:tc>
          <w:tcPr>
            <w:tcW w:w="1503" w:type="dxa"/>
            <w:vAlign w:val="center"/>
          </w:tcPr>
          <w:p w14:paraId="2CD6C39F">
            <w:pPr>
              <w:keepNext w:val="0"/>
              <w:keepLines w:val="0"/>
              <w:widowControl/>
              <w:suppressLineNumbers w:val="0"/>
              <w:jc w:val="center"/>
              <w:textAlignment w:val="center"/>
              <w:rPr>
                <w:rFonts w:hint="default" w:ascii="Times New Roman" w:hAnsi="Times New Roman" w:eastAsia="宋体" w:cs="Times New Roman"/>
                <w:color w:val="FF0000"/>
                <w:sz w:val="18"/>
                <w:szCs w:val="18"/>
              </w:rPr>
            </w:pPr>
            <w:r>
              <w:rPr>
                <w:rFonts w:hint="default" w:ascii="Times New Roman" w:hAnsi="Times New Roman" w:eastAsia="等线" w:cs="Times New Roman"/>
                <w:i w:val="0"/>
                <w:iCs w:val="0"/>
                <w:color w:val="000000"/>
                <w:kern w:val="0"/>
                <w:sz w:val="18"/>
                <w:szCs w:val="18"/>
                <w:u w:val="none"/>
                <w:lang w:val="en-US" w:eastAsia="zh-CN" w:bidi="ar"/>
              </w:rPr>
              <w:t>XB1200206</w:t>
            </w:r>
          </w:p>
        </w:tc>
        <w:tc>
          <w:tcPr>
            <w:tcW w:w="709" w:type="dxa"/>
            <w:vAlign w:val="center"/>
          </w:tcPr>
          <w:p w14:paraId="461B7431">
            <w:pPr>
              <w:spacing w:line="360" w:lineRule="auto"/>
              <w:jc w:val="center"/>
              <w:rPr>
                <w:rFonts w:hint="default" w:ascii="Times New Roman" w:hAnsi="Times New Roman" w:eastAsia="宋体" w:cs="Times New Roman"/>
                <w:color w:val="FF0000"/>
                <w:sz w:val="18"/>
                <w:szCs w:val="18"/>
              </w:rPr>
            </w:pPr>
            <w:r>
              <w:rPr>
                <w:rFonts w:hint="default" w:ascii="Times New Roman" w:hAnsi="Times New Roman" w:eastAsia="宋体" w:cs="Times New Roman"/>
                <w:sz w:val="18"/>
                <w:szCs w:val="18"/>
              </w:rPr>
              <w:t>3</w:t>
            </w:r>
          </w:p>
        </w:tc>
        <w:tc>
          <w:tcPr>
            <w:tcW w:w="709" w:type="dxa"/>
            <w:vAlign w:val="center"/>
          </w:tcPr>
          <w:p w14:paraId="264555F1">
            <w:pPr>
              <w:spacing w:line="360" w:lineRule="auto"/>
              <w:jc w:val="center"/>
              <w:rPr>
                <w:rFonts w:hint="default" w:ascii="Times New Roman" w:hAnsi="Times New Roman" w:eastAsia="宋体" w:cs="Times New Roman"/>
                <w:color w:val="FF0000"/>
                <w:sz w:val="18"/>
                <w:szCs w:val="18"/>
              </w:rPr>
            </w:pPr>
            <w:r>
              <w:rPr>
                <w:rFonts w:hint="default" w:ascii="Times New Roman" w:hAnsi="Times New Roman" w:eastAsia="宋体" w:cs="Times New Roman"/>
                <w:sz w:val="18"/>
                <w:szCs w:val="18"/>
              </w:rPr>
              <w:t>1</w:t>
            </w:r>
          </w:p>
        </w:tc>
        <w:tc>
          <w:tcPr>
            <w:tcW w:w="1045" w:type="dxa"/>
            <w:vMerge w:val="continue"/>
            <w:vAlign w:val="center"/>
          </w:tcPr>
          <w:p w14:paraId="4CFEC5BB">
            <w:pPr>
              <w:spacing w:line="360" w:lineRule="auto"/>
              <w:jc w:val="center"/>
              <w:rPr>
                <w:color w:val="000000" w:themeColor="text1"/>
                <w:sz w:val="18"/>
                <w:szCs w:val="18"/>
                <w14:textFill>
                  <w14:solidFill>
                    <w14:schemeClr w14:val="tx1"/>
                  </w14:solidFill>
                </w14:textFill>
              </w:rPr>
            </w:pPr>
          </w:p>
        </w:tc>
      </w:tr>
      <w:tr w14:paraId="4E41022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486" w:type="dxa"/>
            <w:vMerge w:val="continue"/>
            <w:vAlign w:val="center"/>
          </w:tcPr>
          <w:p w14:paraId="01031ED4">
            <w:pPr>
              <w:spacing w:line="360" w:lineRule="auto"/>
              <w:jc w:val="both"/>
              <w:rPr>
                <w:b/>
                <w:color w:val="000000" w:themeColor="text1"/>
                <w:sz w:val="21"/>
                <w:szCs w:val="21"/>
                <w14:textFill>
                  <w14:solidFill>
                    <w14:schemeClr w14:val="tx1"/>
                  </w14:solidFill>
                </w14:textFill>
              </w:rPr>
            </w:pPr>
          </w:p>
        </w:tc>
        <w:tc>
          <w:tcPr>
            <w:tcW w:w="1555" w:type="dxa"/>
            <w:vMerge w:val="continue"/>
            <w:vAlign w:val="center"/>
          </w:tcPr>
          <w:p w14:paraId="6FC24BD5">
            <w:pPr>
              <w:spacing w:line="360" w:lineRule="auto"/>
              <w:jc w:val="both"/>
              <w:rPr>
                <w:b/>
                <w:color w:val="000000" w:themeColor="text1"/>
                <w:sz w:val="21"/>
                <w:szCs w:val="21"/>
                <w14:textFill>
                  <w14:solidFill>
                    <w14:schemeClr w14:val="tx1"/>
                  </w14:solidFill>
                </w14:textFill>
              </w:rPr>
            </w:pPr>
          </w:p>
        </w:tc>
        <w:tc>
          <w:tcPr>
            <w:tcW w:w="2850" w:type="dxa"/>
            <w:vAlign w:val="center"/>
          </w:tcPr>
          <w:p w14:paraId="0BE419A7">
            <w:pPr>
              <w:spacing w:line="360" w:lineRule="auto"/>
              <w:jc w:val="both"/>
              <w:rPr>
                <w:rFonts w:hint="default" w:ascii="Times New Roman" w:hAnsi="Times New Roman" w:eastAsia="宋体" w:cs="Times New Roman"/>
                <w:color w:val="000000" w:themeColor="text1"/>
                <w:sz w:val="18"/>
                <w:szCs w:val="18"/>
                <w14:textFill>
                  <w14:solidFill>
                    <w14:schemeClr w14:val="tx1"/>
                  </w14:solidFill>
                </w14:textFill>
              </w:rPr>
            </w:pPr>
            <w:r>
              <w:rPr>
                <w:rFonts w:hint="default" w:ascii="Times New Roman" w:hAnsi="Times New Roman" w:eastAsia="宋体" w:cs="Times New Roman"/>
                <w:spacing w:val="-2"/>
                <w:sz w:val="18"/>
                <w:szCs w:val="18"/>
              </w:rPr>
              <w:t>合成生物学</w:t>
            </w:r>
          </w:p>
        </w:tc>
        <w:tc>
          <w:tcPr>
            <w:tcW w:w="1503" w:type="dxa"/>
            <w:vAlign w:val="center"/>
          </w:tcPr>
          <w:p w14:paraId="48B8D0A4">
            <w:pPr>
              <w:keepNext w:val="0"/>
              <w:keepLines w:val="0"/>
              <w:widowControl/>
              <w:suppressLineNumbers w:val="0"/>
              <w:jc w:val="center"/>
              <w:textAlignment w:val="center"/>
              <w:rPr>
                <w:rFonts w:hint="default" w:ascii="Times New Roman" w:hAnsi="Times New Roman" w:eastAsia="宋体" w:cs="Times New Roman"/>
                <w:i/>
                <w:color w:val="FF0000"/>
                <w:sz w:val="18"/>
                <w:szCs w:val="18"/>
              </w:rPr>
            </w:pPr>
            <w:r>
              <w:rPr>
                <w:rFonts w:hint="default" w:ascii="Times New Roman" w:hAnsi="Times New Roman" w:eastAsia="等线" w:cs="Times New Roman"/>
                <w:i w:val="0"/>
                <w:iCs w:val="0"/>
                <w:color w:val="000000"/>
                <w:kern w:val="0"/>
                <w:sz w:val="18"/>
                <w:szCs w:val="18"/>
                <w:u w:val="none"/>
                <w:lang w:val="en-US" w:eastAsia="zh-CN" w:bidi="ar"/>
              </w:rPr>
              <w:t>XB1200207</w:t>
            </w:r>
          </w:p>
        </w:tc>
        <w:tc>
          <w:tcPr>
            <w:tcW w:w="709" w:type="dxa"/>
            <w:vAlign w:val="center"/>
          </w:tcPr>
          <w:p w14:paraId="75290D86">
            <w:pPr>
              <w:spacing w:line="360" w:lineRule="auto"/>
              <w:jc w:val="center"/>
              <w:rPr>
                <w:rFonts w:hint="default" w:ascii="Times New Roman" w:hAnsi="Times New Roman" w:eastAsia="宋体" w:cs="Times New Roman"/>
                <w:i/>
                <w:color w:val="FF0000"/>
                <w:sz w:val="18"/>
                <w:szCs w:val="18"/>
              </w:rPr>
            </w:pPr>
            <w:r>
              <w:rPr>
                <w:rFonts w:hint="default" w:ascii="Times New Roman" w:hAnsi="Times New Roman" w:eastAsia="宋体" w:cs="Times New Roman"/>
                <w:sz w:val="18"/>
                <w:szCs w:val="18"/>
              </w:rPr>
              <w:t>3</w:t>
            </w:r>
          </w:p>
        </w:tc>
        <w:tc>
          <w:tcPr>
            <w:tcW w:w="709" w:type="dxa"/>
            <w:vAlign w:val="center"/>
          </w:tcPr>
          <w:p w14:paraId="42F8C7BD">
            <w:pPr>
              <w:spacing w:line="360" w:lineRule="auto"/>
              <w:jc w:val="center"/>
              <w:rPr>
                <w:rFonts w:hint="default" w:ascii="Times New Roman" w:hAnsi="Times New Roman" w:eastAsia="宋体" w:cs="Times New Roman"/>
                <w:color w:val="000000" w:themeColor="text1"/>
                <w:sz w:val="18"/>
                <w:szCs w:val="18"/>
                <w14:textFill>
                  <w14:solidFill>
                    <w14:schemeClr w14:val="tx1"/>
                  </w14:solidFill>
                </w14:textFill>
              </w:rPr>
            </w:pPr>
            <w:r>
              <w:rPr>
                <w:rFonts w:hint="default" w:ascii="Times New Roman" w:hAnsi="Times New Roman" w:eastAsia="宋体" w:cs="Times New Roman"/>
                <w:sz w:val="18"/>
                <w:szCs w:val="18"/>
              </w:rPr>
              <w:t>1</w:t>
            </w:r>
          </w:p>
        </w:tc>
        <w:tc>
          <w:tcPr>
            <w:tcW w:w="1045" w:type="dxa"/>
            <w:vMerge w:val="continue"/>
            <w:vAlign w:val="center"/>
          </w:tcPr>
          <w:p w14:paraId="5D137374">
            <w:pPr>
              <w:spacing w:line="360" w:lineRule="auto"/>
              <w:jc w:val="center"/>
              <w:rPr>
                <w:i/>
                <w:color w:val="FF0000"/>
                <w:sz w:val="18"/>
                <w:szCs w:val="18"/>
              </w:rPr>
            </w:pPr>
          </w:p>
        </w:tc>
      </w:tr>
      <w:tr w14:paraId="0F29C25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486" w:type="dxa"/>
            <w:vMerge w:val="continue"/>
            <w:vAlign w:val="center"/>
          </w:tcPr>
          <w:p w14:paraId="2E387CE0">
            <w:pPr>
              <w:spacing w:line="360" w:lineRule="auto"/>
              <w:jc w:val="both"/>
              <w:rPr>
                <w:b/>
                <w:color w:val="000000" w:themeColor="text1"/>
                <w:sz w:val="21"/>
                <w:szCs w:val="21"/>
                <w14:textFill>
                  <w14:solidFill>
                    <w14:schemeClr w14:val="tx1"/>
                  </w14:solidFill>
                </w14:textFill>
              </w:rPr>
            </w:pPr>
          </w:p>
        </w:tc>
        <w:tc>
          <w:tcPr>
            <w:tcW w:w="1555" w:type="dxa"/>
            <w:vMerge w:val="continue"/>
            <w:vAlign w:val="center"/>
          </w:tcPr>
          <w:p w14:paraId="481B6A7A">
            <w:pPr>
              <w:spacing w:line="360" w:lineRule="auto"/>
              <w:jc w:val="both"/>
              <w:rPr>
                <w:b/>
                <w:w w:val="95"/>
                <w:sz w:val="21"/>
                <w:szCs w:val="21"/>
              </w:rPr>
            </w:pPr>
          </w:p>
        </w:tc>
        <w:tc>
          <w:tcPr>
            <w:tcW w:w="2850" w:type="dxa"/>
            <w:vAlign w:val="center"/>
          </w:tcPr>
          <w:p w14:paraId="5ED0A0A3">
            <w:pPr>
              <w:spacing w:line="360" w:lineRule="auto"/>
              <w:jc w:val="both"/>
              <w:rPr>
                <w:rFonts w:hint="default" w:ascii="Times New Roman" w:hAnsi="Times New Roman" w:eastAsia="宋体" w:cs="Times New Roman"/>
                <w:spacing w:val="-2"/>
                <w:sz w:val="18"/>
                <w:szCs w:val="18"/>
              </w:rPr>
            </w:pPr>
            <w:r>
              <w:rPr>
                <w:rFonts w:hint="default" w:ascii="Times New Roman" w:hAnsi="Times New Roman" w:eastAsia="宋体" w:cs="Times New Roman"/>
                <w:color w:val="000000"/>
                <w:sz w:val="18"/>
                <w:szCs w:val="18"/>
              </w:rPr>
              <w:t>分子遗传与表观遗传</w:t>
            </w:r>
          </w:p>
        </w:tc>
        <w:tc>
          <w:tcPr>
            <w:tcW w:w="1503" w:type="dxa"/>
            <w:vAlign w:val="center"/>
          </w:tcPr>
          <w:p w14:paraId="04AF70A6">
            <w:pPr>
              <w:keepNext w:val="0"/>
              <w:keepLines w:val="0"/>
              <w:widowControl/>
              <w:suppressLineNumbers w:val="0"/>
              <w:jc w:val="center"/>
              <w:textAlignment w:val="center"/>
              <w:rPr>
                <w:rFonts w:hint="default" w:ascii="Times New Roman" w:hAnsi="Times New Roman" w:eastAsia="宋体" w:cs="Times New Roman"/>
                <w:spacing w:val="-2"/>
                <w:sz w:val="18"/>
                <w:szCs w:val="18"/>
              </w:rPr>
            </w:pPr>
            <w:r>
              <w:rPr>
                <w:rFonts w:hint="default" w:ascii="Times New Roman" w:hAnsi="Times New Roman" w:eastAsia="等线" w:cs="Times New Roman"/>
                <w:i w:val="0"/>
                <w:iCs w:val="0"/>
                <w:color w:val="000000"/>
                <w:kern w:val="0"/>
                <w:sz w:val="18"/>
                <w:szCs w:val="18"/>
                <w:u w:val="none"/>
                <w:lang w:val="en-US" w:eastAsia="zh-CN" w:bidi="ar"/>
              </w:rPr>
              <w:t>XB1200208</w:t>
            </w:r>
          </w:p>
        </w:tc>
        <w:tc>
          <w:tcPr>
            <w:tcW w:w="709" w:type="dxa"/>
            <w:vAlign w:val="center"/>
          </w:tcPr>
          <w:p w14:paraId="59814534">
            <w:pPr>
              <w:spacing w:line="360" w:lineRule="auto"/>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3</w:t>
            </w:r>
          </w:p>
        </w:tc>
        <w:tc>
          <w:tcPr>
            <w:tcW w:w="709" w:type="dxa"/>
            <w:vAlign w:val="center"/>
          </w:tcPr>
          <w:p w14:paraId="4F48BEDF">
            <w:pPr>
              <w:spacing w:line="360" w:lineRule="auto"/>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1</w:t>
            </w:r>
          </w:p>
        </w:tc>
        <w:tc>
          <w:tcPr>
            <w:tcW w:w="1045" w:type="dxa"/>
            <w:vMerge w:val="continue"/>
            <w:vAlign w:val="center"/>
          </w:tcPr>
          <w:p w14:paraId="34CF48D4">
            <w:pPr>
              <w:spacing w:line="360" w:lineRule="auto"/>
              <w:jc w:val="center"/>
              <w:rPr>
                <w:color w:val="000000" w:themeColor="text1"/>
                <w:sz w:val="18"/>
                <w:szCs w:val="18"/>
                <w14:textFill>
                  <w14:solidFill>
                    <w14:schemeClr w14:val="tx1"/>
                  </w14:solidFill>
                </w14:textFill>
              </w:rPr>
            </w:pPr>
          </w:p>
        </w:tc>
      </w:tr>
      <w:tr w14:paraId="325036C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486" w:type="dxa"/>
            <w:vMerge w:val="continue"/>
            <w:vAlign w:val="center"/>
          </w:tcPr>
          <w:p w14:paraId="54E85C32">
            <w:pPr>
              <w:spacing w:line="360" w:lineRule="auto"/>
              <w:jc w:val="both"/>
              <w:rPr>
                <w:b/>
                <w:color w:val="000000" w:themeColor="text1"/>
                <w:sz w:val="21"/>
                <w:szCs w:val="21"/>
                <w14:textFill>
                  <w14:solidFill>
                    <w14:schemeClr w14:val="tx1"/>
                  </w14:solidFill>
                </w14:textFill>
              </w:rPr>
            </w:pPr>
          </w:p>
        </w:tc>
        <w:tc>
          <w:tcPr>
            <w:tcW w:w="1555" w:type="dxa"/>
            <w:vMerge w:val="continue"/>
            <w:vAlign w:val="center"/>
          </w:tcPr>
          <w:p w14:paraId="7125D502">
            <w:pPr>
              <w:spacing w:line="360" w:lineRule="auto"/>
              <w:jc w:val="both"/>
              <w:rPr>
                <w:b/>
                <w:w w:val="95"/>
                <w:sz w:val="21"/>
                <w:szCs w:val="21"/>
              </w:rPr>
            </w:pPr>
          </w:p>
        </w:tc>
        <w:tc>
          <w:tcPr>
            <w:tcW w:w="2850" w:type="dxa"/>
            <w:vAlign w:val="center"/>
          </w:tcPr>
          <w:p w14:paraId="5369AEAD">
            <w:pPr>
              <w:spacing w:line="360" w:lineRule="auto"/>
              <w:jc w:val="both"/>
              <w:rPr>
                <w:rFonts w:hint="default" w:ascii="Times New Roman" w:hAnsi="Times New Roman" w:eastAsia="宋体" w:cs="Times New Roman"/>
                <w:spacing w:val="-2"/>
                <w:sz w:val="18"/>
                <w:szCs w:val="18"/>
              </w:rPr>
            </w:pPr>
            <w:r>
              <w:rPr>
                <w:rFonts w:hint="default" w:ascii="Times New Roman" w:hAnsi="Times New Roman" w:eastAsia="宋体" w:cs="Times New Roman"/>
                <w:color w:val="000000"/>
                <w:sz w:val="18"/>
                <w:szCs w:val="18"/>
              </w:rPr>
              <w:t>现代分子生物学</w:t>
            </w:r>
          </w:p>
        </w:tc>
        <w:tc>
          <w:tcPr>
            <w:tcW w:w="1503" w:type="dxa"/>
            <w:vAlign w:val="center"/>
          </w:tcPr>
          <w:p w14:paraId="185F13EB">
            <w:pPr>
              <w:keepNext w:val="0"/>
              <w:keepLines w:val="0"/>
              <w:widowControl/>
              <w:suppressLineNumbers w:val="0"/>
              <w:jc w:val="center"/>
              <w:textAlignment w:val="center"/>
              <w:rPr>
                <w:rFonts w:hint="default" w:ascii="Times New Roman" w:hAnsi="Times New Roman" w:eastAsia="宋体" w:cs="Times New Roman"/>
                <w:spacing w:val="-2"/>
                <w:sz w:val="18"/>
                <w:szCs w:val="18"/>
              </w:rPr>
            </w:pPr>
            <w:r>
              <w:rPr>
                <w:rFonts w:hint="default" w:ascii="Times New Roman" w:hAnsi="Times New Roman" w:eastAsia="等线" w:cs="Times New Roman"/>
                <w:i w:val="0"/>
                <w:iCs w:val="0"/>
                <w:color w:val="000000"/>
                <w:kern w:val="0"/>
                <w:sz w:val="18"/>
                <w:szCs w:val="18"/>
                <w:u w:val="none"/>
                <w:lang w:val="en-US" w:eastAsia="zh-CN" w:bidi="ar"/>
              </w:rPr>
              <w:t>XB1200209</w:t>
            </w:r>
          </w:p>
        </w:tc>
        <w:tc>
          <w:tcPr>
            <w:tcW w:w="709" w:type="dxa"/>
            <w:vAlign w:val="center"/>
          </w:tcPr>
          <w:p w14:paraId="128BD585">
            <w:pPr>
              <w:spacing w:line="360" w:lineRule="auto"/>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3</w:t>
            </w:r>
          </w:p>
        </w:tc>
        <w:tc>
          <w:tcPr>
            <w:tcW w:w="709" w:type="dxa"/>
            <w:vAlign w:val="center"/>
          </w:tcPr>
          <w:p w14:paraId="198B1D2B">
            <w:pPr>
              <w:spacing w:line="360" w:lineRule="auto"/>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1</w:t>
            </w:r>
          </w:p>
        </w:tc>
        <w:tc>
          <w:tcPr>
            <w:tcW w:w="1045" w:type="dxa"/>
            <w:vMerge w:val="continue"/>
            <w:vAlign w:val="center"/>
          </w:tcPr>
          <w:p w14:paraId="08EAC9E6">
            <w:pPr>
              <w:spacing w:line="360" w:lineRule="auto"/>
              <w:jc w:val="center"/>
              <w:rPr>
                <w:color w:val="000000" w:themeColor="text1"/>
                <w:sz w:val="18"/>
                <w:szCs w:val="18"/>
                <w14:textFill>
                  <w14:solidFill>
                    <w14:schemeClr w14:val="tx1"/>
                  </w14:solidFill>
                </w14:textFill>
              </w:rPr>
            </w:pPr>
          </w:p>
        </w:tc>
      </w:tr>
      <w:tr w14:paraId="11DEEB2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486" w:type="dxa"/>
            <w:vMerge w:val="continue"/>
            <w:vAlign w:val="center"/>
          </w:tcPr>
          <w:p w14:paraId="14D3A166">
            <w:pPr>
              <w:spacing w:line="360" w:lineRule="auto"/>
              <w:jc w:val="both"/>
              <w:rPr>
                <w:b/>
                <w:color w:val="000000" w:themeColor="text1"/>
                <w:sz w:val="21"/>
                <w:szCs w:val="21"/>
                <w14:textFill>
                  <w14:solidFill>
                    <w14:schemeClr w14:val="tx1"/>
                  </w14:solidFill>
                </w14:textFill>
              </w:rPr>
            </w:pPr>
          </w:p>
        </w:tc>
        <w:tc>
          <w:tcPr>
            <w:tcW w:w="1555" w:type="dxa"/>
            <w:vMerge w:val="continue"/>
            <w:vAlign w:val="center"/>
          </w:tcPr>
          <w:p w14:paraId="15E37BC8">
            <w:pPr>
              <w:spacing w:line="360" w:lineRule="auto"/>
              <w:jc w:val="both"/>
              <w:rPr>
                <w:b/>
                <w:w w:val="95"/>
                <w:sz w:val="21"/>
                <w:szCs w:val="21"/>
              </w:rPr>
            </w:pPr>
          </w:p>
        </w:tc>
        <w:tc>
          <w:tcPr>
            <w:tcW w:w="2850" w:type="dxa"/>
            <w:vAlign w:val="center"/>
          </w:tcPr>
          <w:p w14:paraId="53106433">
            <w:pPr>
              <w:spacing w:line="360" w:lineRule="auto"/>
              <w:jc w:val="both"/>
              <w:rPr>
                <w:rFonts w:hint="default" w:ascii="Times New Roman" w:hAnsi="Times New Roman" w:eastAsia="宋体" w:cs="Times New Roman"/>
                <w:spacing w:val="-2"/>
                <w:sz w:val="18"/>
                <w:szCs w:val="18"/>
              </w:rPr>
            </w:pPr>
            <w:r>
              <w:rPr>
                <w:rFonts w:hint="default" w:ascii="Times New Roman" w:hAnsi="Times New Roman" w:eastAsia="宋体" w:cs="Times New Roman"/>
                <w:color w:val="000000"/>
                <w:sz w:val="18"/>
                <w:szCs w:val="18"/>
              </w:rPr>
              <w:t>生物信息学理论与实践</w:t>
            </w:r>
          </w:p>
        </w:tc>
        <w:tc>
          <w:tcPr>
            <w:tcW w:w="1503" w:type="dxa"/>
            <w:vAlign w:val="center"/>
          </w:tcPr>
          <w:p w14:paraId="36E0C960">
            <w:pPr>
              <w:keepNext w:val="0"/>
              <w:keepLines w:val="0"/>
              <w:widowControl/>
              <w:suppressLineNumbers w:val="0"/>
              <w:jc w:val="center"/>
              <w:textAlignment w:val="center"/>
              <w:rPr>
                <w:rFonts w:hint="default" w:ascii="Times New Roman" w:hAnsi="Times New Roman" w:eastAsia="宋体" w:cs="Times New Roman"/>
                <w:spacing w:val="-2"/>
                <w:sz w:val="18"/>
                <w:szCs w:val="18"/>
              </w:rPr>
            </w:pPr>
            <w:r>
              <w:rPr>
                <w:rFonts w:hint="default" w:ascii="Times New Roman" w:hAnsi="Times New Roman" w:eastAsia="等线" w:cs="Times New Roman"/>
                <w:i w:val="0"/>
                <w:iCs w:val="0"/>
                <w:color w:val="000000"/>
                <w:kern w:val="0"/>
                <w:sz w:val="18"/>
                <w:szCs w:val="18"/>
                <w:u w:val="none"/>
                <w:lang w:val="en-US" w:eastAsia="zh-CN" w:bidi="ar"/>
              </w:rPr>
              <w:t>XB1200210</w:t>
            </w:r>
          </w:p>
        </w:tc>
        <w:tc>
          <w:tcPr>
            <w:tcW w:w="709" w:type="dxa"/>
            <w:vAlign w:val="center"/>
          </w:tcPr>
          <w:p w14:paraId="689A4156">
            <w:pPr>
              <w:spacing w:line="360" w:lineRule="auto"/>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3</w:t>
            </w:r>
          </w:p>
        </w:tc>
        <w:tc>
          <w:tcPr>
            <w:tcW w:w="709" w:type="dxa"/>
            <w:vAlign w:val="center"/>
          </w:tcPr>
          <w:p w14:paraId="00C97BCE">
            <w:pPr>
              <w:spacing w:line="360" w:lineRule="auto"/>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1</w:t>
            </w:r>
          </w:p>
        </w:tc>
        <w:tc>
          <w:tcPr>
            <w:tcW w:w="1045" w:type="dxa"/>
            <w:vMerge w:val="continue"/>
            <w:vAlign w:val="center"/>
          </w:tcPr>
          <w:p w14:paraId="4C9F2F1B">
            <w:pPr>
              <w:spacing w:line="360" w:lineRule="auto"/>
              <w:jc w:val="center"/>
              <w:rPr>
                <w:color w:val="000000" w:themeColor="text1"/>
                <w:sz w:val="18"/>
                <w:szCs w:val="18"/>
                <w14:textFill>
                  <w14:solidFill>
                    <w14:schemeClr w14:val="tx1"/>
                  </w14:solidFill>
                </w14:textFill>
              </w:rPr>
            </w:pPr>
          </w:p>
        </w:tc>
      </w:tr>
      <w:tr w14:paraId="2D227B7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486" w:type="dxa"/>
            <w:vMerge w:val="continue"/>
            <w:vAlign w:val="center"/>
          </w:tcPr>
          <w:p w14:paraId="6E1E6F41">
            <w:pPr>
              <w:spacing w:line="360" w:lineRule="auto"/>
              <w:jc w:val="both"/>
              <w:rPr>
                <w:b/>
                <w:color w:val="000000" w:themeColor="text1"/>
                <w:sz w:val="21"/>
                <w:szCs w:val="21"/>
                <w14:textFill>
                  <w14:solidFill>
                    <w14:schemeClr w14:val="tx1"/>
                  </w14:solidFill>
                </w14:textFill>
              </w:rPr>
            </w:pPr>
          </w:p>
        </w:tc>
        <w:tc>
          <w:tcPr>
            <w:tcW w:w="1555" w:type="dxa"/>
            <w:vMerge w:val="continue"/>
            <w:vAlign w:val="center"/>
          </w:tcPr>
          <w:p w14:paraId="209F0B7F">
            <w:pPr>
              <w:spacing w:line="360" w:lineRule="auto"/>
              <w:jc w:val="both"/>
              <w:rPr>
                <w:b/>
                <w:color w:val="000000" w:themeColor="text1"/>
                <w:sz w:val="21"/>
                <w:szCs w:val="21"/>
                <w14:textFill>
                  <w14:solidFill>
                    <w14:schemeClr w14:val="tx1"/>
                  </w14:solidFill>
                </w14:textFill>
              </w:rPr>
            </w:pPr>
          </w:p>
        </w:tc>
        <w:tc>
          <w:tcPr>
            <w:tcW w:w="2850" w:type="dxa"/>
            <w:vAlign w:val="center"/>
          </w:tcPr>
          <w:p w14:paraId="1088DCC8">
            <w:pPr>
              <w:spacing w:line="360" w:lineRule="auto"/>
              <w:jc w:val="both"/>
              <w:rPr>
                <w:rFonts w:hint="default" w:ascii="Times New Roman" w:hAnsi="Times New Roman" w:eastAsia="宋体" w:cs="Times New Roman"/>
                <w:color w:val="000000" w:themeColor="text1"/>
                <w:sz w:val="18"/>
                <w:szCs w:val="18"/>
                <w14:textFill>
                  <w14:solidFill>
                    <w14:schemeClr w14:val="tx1"/>
                  </w14:solidFill>
                </w14:textFill>
              </w:rPr>
            </w:pPr>
            <w:r>
              <w:rPr>
                <w:rFonts w:hint="default" w:ascii="Times New Roman" w:hAnsi="Times New Roman" w:eastAsia="宋体" w:cs="Times New Roman"/>
                <w:spacing w:val="-2"/>
                <w:sz w:val="18"/>
                <w:szCs w:val="18"/>
              </w:rPr>
              <w:t>生物学技术（水生生物学）</w:t>
            </w:r>
          </w:p>
        </w:tc>
        <w:tc>
          <w:tcPr>
            <w:tcW w:w="1503" w:type="dxa"/>
            <w:vAlign w:val="center"/>
          </w:tcPr>
          <w:p w14:paraId="6D8AAFBB">
            <w:pPr>
              <w:keepNext w:val="0"/>
              <w:keepLines w:val="0"/>
              <w:widowControl/>
              <w:suppressLineNumbers w:val="0"/>
              <w:jc w:val="center"/>
              <w:textAlignment w:val="center"/>
              <w:rPr>
                <w:rFonts w:hint="default" w:ascii="Times New Roman" w:hAnsi="Times New Roman" w:eastAsia="宋体" w:cs="Times New Roman"/>
                <w:i/>
                <w:color w:val="FF0000"/>
                <w:sz w:val="18"/>
                <w:szCs w:val="18"/>
              </w:rPr>
            </w:pPr>
            <w:r>
              <w:rPr>
                <w:rFonts w:hint="default" w:ascii="Times New Roman" w:hAnsi="Times New Roman" w:eastAsia="等线" w:cs="Times New Roman"/>
                <w:i w:val="0"/>
                <w:iCs w:val="0"/>
                <w:color w:val="000000"/>
                <w:kern w:val="0"/>
                <w:sz w:val="18"/>
                <w:szCs w:val="18"/>
                <w:u w:val="none"/>
                <w:lang w:val="en-US" w:eastAsia="zh-CN" w:bidi="ar"/>
              </w:rPr>
              <w:t>XB1200211</w:t>
            </w:r>
          </w:p>
        </w:tc>
        <w:tc>
          <w:tcPr>
            <w:tcW w:w="709" w:type="dxa"/>
            <w:vAlign w:val="center"/>
          </w:tcPr>
          <w:p w14:paraId="7C849948">
            <w:pPr>
              <w:spacing w:line="360" w:lineRule="auto"/>
              <w:jc w:val="center"/>
              <w:rPr>
                <w:rFonts w:hint="default" w:ascii="Times New Roman" w:hAnsi="Times New Roman" w:eastAsia="宋体" w:cs="Times New Roman"/>
                <w:i/>
                <w:color w:val="FF0000"/>
                <w:sz w:val="18"/>
                <w:szCs w:val="18"/>
              </w:rPr>
            </w:pPr>
            <w:r>
              <w:rPr>
                <w:rFonts w:hint="default" w:ascii="Times New Roman" w:hAnsi="Times New Roman" w:eastAsia="宋体" w:cs="Times New Roman"/>
                <w:sz w:val="18"/>
                <w:szCs w:val="18"/>
              </w:rPr>
              <w:t>3</w:t>
            </w:r>
          </w:p>
        </w:tc>
        <w:tc>
          <w:tcPr>
            <w:tcW w:w="709" w:type="dxa"/>
            <w:vAlign w:val="center"/>
          </w:tcPr>
          <w:p w14:paraId="05F96535">
            <w:pPr>
              <w:spacing w:line="360" w:lineRule="auto"/>
              <w:jc w:val="center"/>
              <w:rPr>
                <w:rFonts w:hint="default" w:ascii="Times New Roman" w:hAnsi="Times New Roman" w:eastAsia="宋体" w:cs="Times New Roman"/>
                <w:color w:val="000000" w:themeColor="text1"/>
                <w:sz w:val="18"/>
                <w:szCs w:val="18"/>
                <w14:textFill>
                  <w14:solidFill>
                    <w14:schemeClr w14:val="tx1"/>
                  </w14:solidFill>
                </w14:textFill>
              </w:rPr>
            </w:pPr>
            <w:r>
              <w:rPr>
                <w:rFonts w:hint="default" w:ascii="Times New Roman" w:hAnsi="Times New Roman" w:eastAsia="宋体" w:cs="Times New Roman"/>
                <w:sz w:val="18"/>
                <w:szCs w:val="18"/>
              </w:rPr>
              <w:t>1</w:t>
            </w:r>
          </w:p>
        </w:tc>
        <w:tc>
          <w:tcPr>
            <w:tcW w:w="1045" w:type="dxa"/>
            <w:vMerge w:val="continue"/>
            <w:vAlign w:val="center"/>
          </w:tcPr>
          <w:p w14:paraId="4BAC5415">
            <w:pPr>
              <w:spacing w:line="360" w:lineRule="auto"/>
              <w:jc w:val="center"/>
              <w:rPr>
                <w:i/>
                <w:color w:val="FF0000"/>
                <w:sz w:val="18"/>
                <w:szCs w:val="18"/>
              </w:rPr>
            </w:pPr>
          </w:p>
        </w:tc>
      </w:tr>
      <w:tr w14:paraId="2EFF655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486" w:type="dxa"/>
            <w:vMerge w:val="restart"/>
            <w:vAlign w:val="center"/>
          </w:tcPr>
          <w:p w14:paraId="13CD489E">
            <w:pPr>
              <w:spacing w:line="360" w:lineRule="auto"/>
              <w:jc w:val="both"/>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必修环节</w:t>
            </w:r>
          </w:p>
          <w:p w14:paraId="45679310">
            <w:pPr>
              <w:spacing w:line="360" w:lineRule="auto"/>
              <w:jc w:val="both"/>
              <w:rPr>
                <w:b/>
                <w:color w:val="000000" w:themeColor="text1"/>
                <w:sz w:val="21"/>
                <w:szCs w:val="21"/>
                <w14:textFill>
                  <w14:solidFill>
                    <w14:schemeClr w14:val="tx1"/>
                  </w14:solidFill>
                </w14:textFill>
              </w:rPr>
            </w:pPr>
          </w:p>
        </w:tc>
        <w:tc>
          <w:tcPr>
            <w:tcW w:w="1555" w:type="dxa"/>
            <w:vMerge w:val="restart"/>
            <w:vAlign w:val="center"/>
          </w:tcPr>
          <w:p w14:paraId="3181B976">
            <w:pPr>
              <w:spacing w:line="360" w:lineRule="auto"/>
              <w:jc w:val="both"/>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素质拓展</w:t>
            </w:r>
          </w:p>
        </w:tc>
        <w:tc>
          <w:tcPr>
            <w:tcW w:w="2850" w:type="dxa"/>
            <w:vAlign w:val="center"/>
          </w:tcPr>
          <w:p w14:paraId="58B4A5E1">
            <w:pPr>
              <w:spacing w:line="360" w:lineRule="auto"/>
              <w:jc w:val="both"/>
              <w:rPr>
                <w:rFonts w:hint="default" w:ascii="Times New Roman" w:hAnsi="Times New Roman" w:eastAsia="宋体" w:cs="Times New Roman"/>
                <w:color w:val="000000" w:themeColor="text1"/>
                <w:sz w:val="18"/>
                <w:szCs w:val="18"/>
                <w14:textFill>
                  <w14:solidFill>
                    <w14:schemeClr w14:val="tx1"/>
                  </w14:solidFill>
                </w14:textFill>
              </w:rPr>
            </w:pPr>
            <w:r>
              <w:rPr>
                <w:rFonts w:hint="default" w:ascii="Times New Roman" w:hAnsi="Times New Roman" w:eastAsia="宋体" w:cs="Times New Roman"/>
                <w:color w:val="000000" w:themeColor="text1"/>
                <w:sz w:val="18"/>
                <w:szCs w:val="18"/>
                <w14:textFill>
                  <w14:solidFill>
                    <w14:schemeClr w14:val="tx1"/>
                  </w14:solidFill>
                </w14:textFill>
              </w:rPr>
              <w:t>入学教育</w:t>
            </w:r>
          </w:p>
        </w:tc>
        <w:tc>
          <w:tcPr>
            <w:tcW w:w="1503" w:type="dxa"/>
            <w:vAlign w:val="center"/>
          </w:tcPr>
          <w:p w14:paraId="254C838E">
            <w:pPr>
              <w:spacing w:line="360" w:lineRule="auto"/>
              <w:jc w:val="center"/>
              <w:rPr>
                <w:rFonts w:hint="default" w:ascii="Times New Roman" w:hAnsi="Times New Roman" w:eastAsia="宋体" w:cs="Times New Roman"/>
                <w:color w:val="000000" w:themeColor="text1"/>
                <w:sz w:val="18"/>
                <w:szCs w:val="18"/>
                <w14:textFill>
                  <w14:solidFill>
                    <w14:schemeClr w14:val="tx1"/>
                  </w14:solidFill>
                </w14:textFill>
              </w:rPr>
            </w:pPr>
          </w:p>
        </w:tc>
        <w:tc>
          <w:tcPr>
            <w:tcW w:w="709" w:type="dxa"/>
            <w:vAlign w:val="center"/>
          </w:tcPr>
          <w:p w14:paraId="035F97C3">
            <w:pPr>
              <w:spacing w:line="360" w:lineRule="auto"/>
              <w:jc w:val="center"/>
              <w:rPr>
                <w:rFonts w:hint="default" w:ascii="Times New Roman" w:hAnsi="Times New Roman" w:eastAsia="宋体" w:cs="Times New Roman"/>
                <w:color w:val="000000" w:themeColor="text1"/>
                <w:sz w:val="18"/>
                <w:szCs w:val="18"/>
                <w14:textFill>
                  <w14:solidFill>
                    <w14:schemeClr w14:val="tx1"/>
                  </w14:solidFill>
                </w14:textFill>
              </w:rPr>
            </w:pPr>
          </w:p>
        </w:tc>
        <w:tc>
          <w:tcPr>
            <w:tcW w:w="709" w:type="dxa"/>
            <w:vAlign w:val="center"/>
          </w:tcPr>
          <w:p w14:paraId="054DB7A9">
            <w:pPr>
              <w:spacing w:line="360" w:lineRule="auto"/>
              <w:jc w:val="center"/>
              <w:rPr>
                <w:rFonts w:hint="default" w:ascii="Times New Roman" w:hAnsi="Times New Roman" w:eastAsia="宋体" w:cs="Times New Roman"/>
                <w:color w:val="000000" w:themeColor="text1"/>
                <w:sz w:val="18"/>
                <w:szCs w:val="18"/>
                <w14:textFill>
                  <w14:solidFill>
                    <w14:schemeClr w14:val="tx1"/>
                  </w14:solidFill>
                </w14:textFill>
              </w:rPr>
            </w:pPr>
            <w:r>
              <w:rPr>
                <w:rFonts w:hint="default" w:ascii="Times New Roman" w:hAnsi="Times New Roman" w:eastAsia="宋体" w:cs="Times New Roman"/>
                <w:color w:val="000000" w:themeColor="text1"/>
                <w:sz w:val="18"/>
                <w:szCs w:val="18"/>
                <w14:textFill>
                  <w14:solidFill>
                    <w14:schemeClr w14:val="tx1"/>
                  </w14:solidFill>
                </w14:textFill>
              </w:rPr>
              <w:t>1</w:t>
            </w:r>
          </w:p>
        </w:tc>
        <w:tc>
          <w:tcPr>
            <w:tcW w:w="1045" w:type="dxa"/>
            <w:vMerge w:val="restart"/>
            <w:vAlign w:val="center"/>
          </w:tcPr>
          <w:p w14:paraId="118B7B21">
            <w:pPr>
              <w:spacing w:line="360" w:lineRule="auto"/>
              <w:jc w:val="center"/>
              <w:rPr>
                <w:i/>
                <w:color w:val="FF0000"/>
                <w:sz w:val="18"/>
                <w:szCs w:val="18"/>
              </w:rPr>
            </w:pPr>
          </w:p>
        </w:tc>
      </w:tr>
      <w:tr w14:paraId="148432C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486" w:type="dxa"/>
            <w:vMerge w:val="continue"/>
            <w:vAlign w:val="center"/>
          </w:tcPr>
          <w:p w14:paraId="16DEEDCF">
            <w:pPr>
              <w:spacing w:line="360" w:lineRule="auto"/>
              <w:jc w:val="both"/>
              <w:rPr>
                <w:b/>
                <w:color w:val="000000" w:themeColor="text1"/>
                <w:sz w:val="21"/>
                <w:szCs w:val="21"/>
                <w14:textFill>
                  <w14:solidFill>
                    <w14:schemeClr w14:val="tx1"/>
                  </w14:solidFill>
                </w14:textFill>
              </w:rPr>
            </w:pPr>
          </w:p>
        </w:tc>
        <w:tc>
          <w:tcPr>
            <w:tcW w:w="1555" w:type="dxa"/>
            <w:vMerge w:val="continue"/>
            <w:vAlign w:val="center"/>
          </w:tcPr>
          <w:p w14:paraId="0155CAB6">
            <w:pPr>
              <w:spacing w:line="360" w:lineRule="auto"/>
              <w:jc w:val="both"/>
              <w:rPr>
                <w:b/>
                <w:color w:val="000000" w:themeColor="text1"/>
                <w:sz w:val="21"/>
                <w:szCs w:val="21"/>
                <w14:textFill>
                  <w14:solidFill>
                    <w14:schemeClr w14:val="tx1"/>
                  </w14:solidFill>
                </w14:textFill>
              </w:rPr>
            </w:pPr>
          </w:p>
        </w:tc>
        <w:tc>
          <w:tcPr>
            <w:tcW w:w="2850" w:type="dxa"/>
            <w:vAlign w:val="center"/>
          </w:tcPr>
          <w:p w14:paraId="534E578C">
            <w:pPr>
              <w:spacing w:line="360" w:lineRule="auto"/>
              <w:jc w:val="both"/>
              <w:rPr>
                <w:rFonts w:hint="default" w:ascii="Times New Roman" w:hAnsi="Times New Roman" w:eastAsia="宋体" w:cs="Times New Roman"/>
                <w:color w:val="000000" w:themeColor="text1"/>
                <w:sz w:val="18"/>
                <w:szCs w:val="18"/>
                <w14:textFill>
                  <w14:solidFill>
                    <w14:schemeClr w14:val="tx1"/>
                  </w14:solidFill>
                </w14:textFill>
              </w:rPr>
            </w:pPr>
            <w:r>
              <w:rPr>
                <w:rFonts w:hint="default" w:ascii="Times New Roman" w:hAnsi="Times New Roman" w:eastAsia="宋体" w:cs="Times New Roman"/>
                <w:color w:val="000000" w:themeColor="text1"/>
                <w:sz w:val="18"/>
                <w:szCs w:val="18"/>
                <w14:textFill>
                  <w14:solidFill>
                    <w14:schemeClr w14:val="tx1"/>
                  </w14:solidFill>
                </w14:textFill>
              </w:rPr>
              <w:t>学术活动</w:t>
            </w:r>
          </w:p>
        </w:tc>
        <w:tc>
          <w:tcPr>
            <w:tcW w:w="1503" w:type="dxa"/>
            <w:vAlign w:val="center"/>
          </w:tcPr>
          <w:p w14:paraId="7F816EDF">
            <w:pPr>
              <w:spacing w:line="360" w:lineRule="auto"/>
              <w:jc w:val="center"/>
              <w:rPr>
                <w:rFonts w:hint="default" w:ascii="Times New Roman" w:hAnsi="Times New Roman" w:eastAsia="宋体" w:cs="Times New Roman"/>
                <w:color w:val="000000" w:themeColor="text1"/>
                <w:sz w:val="18"/>
                <w:szCs w:val="18"/>
                <w14:textFill>
                  <w14:solidFill>
                    <w14:schemeClr w14:val="tx1"/>
                  </w14:solidFill>
                </w14:textFill>
              </w:rPr>
            </w:pPr>
          </w:p>
        </w:tc>
        <w:tc>
          <w:tcPr>
            <w:tcW w:w="709" w:type="dxa"/>
            <w:vAlign w:val="center"/>
          </w:tcPr>
          <w:p w14:paraId="23876496">
            <w:pPr>
              <w:spacing w:line="360" w:lineRule="auto"/>
              <w:jc w:val="center"/>
              <w:rPr>
                <w:rFonts w:hint="eastAsia" w:ascii="Times New Roman" w:hAnsi="Times New Roman" w:eastAsia="宋体" w:cs="Times New Roman"/>
                <w:color w:val="000000" w:themeColor="text1"/>
                <w:sz w:val="18"/>
                <w:szCs w:val="18"/>
                <w:lang w:val="en-US" w:eastAsia="zh-CN"/>
                <w14:textFill>
                  <w14:solidFill>
                    <w14:schemeClr w14:val="tx1"/>
                  </w14:solidFill>
                </w14:textFill>
              </w:rPr>
            </w:pPr>
            <w:r>
              <w:rPr>
                <w:rFonts w:hint="eastAsia" w:cs="Times New Roman"/>
                <w:color w:val="000000" w:themeColor="text1"/>
                <w:sz w:val="18"/>
                <w:szCs w:val="18"/>
                <w:lang w:val="en-US" w:eastAsia="zh-CN"/>
                <w14:textFill>
                  <w14:solidFill>
                    <w14:schemeClr w14:val="tx1"/>
                  </w14:solidFill>
                </w14:textFill>
              </w:rPr>
              <w:t>1</w:t>
            </w:r>
          </w:p>
        </w:tc>
        <w:tc>
          <w:tcPr>
            <w:tcW w:w="709" w:type="dxa"/>
            <w:vAlign w:val="center"/>
          </w:tcPr>
          <w:p w14:paraId="1C2AA6D6">
            <w:pPr>
              <w:spacing w:line="360" w:lineRule="auto"/>
              <w:jc w:val="center"/>
              <w:rPr>
                <w:rFonts w:hint="default" w:ascii="Times New Roman" w:hAnsi="Times New Roman" w:eastAsia="宋体" w:cs="Times New Roman"/>
                <w:color w:val="000000" w:themeColor="text1"/>
                <w:sz w:val="18"/>
                <w:szCs w:val="18"/>
                <w14:textFill>
                  <w14:solidFill>
                    <w14:schemeClr w14:val="tx1"/>
                  </w14:solidFill>
                </w14:textFill>
              </w:rPr>
            </w:pPr>
          </w:p>
        </w:tc>
        <w:tc>
          <w:tcPr>
            <w:tcW w:w="1045" w:type="dxa"/>
            <w:vMerge w:val="continue"/>
            <w:vAlign w:val="center"/>
          </w:tcPr>
          <w:p w14:paraId="2B4F1924">
            <w:pPr>
              <w:spacing w:line="360" w:lineRule="auto"/>
              <w:jc w:val="center"/>
              <w:rPr>
                <w:color w:val="000000" w:themeColor="text1"/>
                <w:sz w:val="18"/>
                <w:szCs w:val="18"/>
                <w14:textFill>
                  <w14:solidFill>
                    <w14:schemeClr w14:val="tx1"/>
                  </w14:solidFill>
                </w14:textFill>
              </w:rPr>
            </w:pPr>
          </w:p>
        </w:tc>
      </w:tr>
      <w:tr w14:paraId="59E41E6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486" w:type="dxa"/>
            <w:vMerge w:val="continue"/>
            <w:vAlign w:val="center"/>
          </w:tcPr>
          <w:p w14:paraId="4A35521A">
            <w:pPr>
              <w:spacing w:line="360" w:lineRule="auto"/>
              <w:jc w:val="both"/>
              <w:rPr>
                <w:b/>
                <w:color w:val="000000" w:themeColor="text1"/>
                <w:sz w:val="21"/>
                <w:szCs w:val="21"/>
                <w14:textFill>
                  <w14:solidFill>
                    <w14:schemeClr w14:val="tx1"/>
                  </w14:solidFill>
                </w14:textFill>
              </w:rPr>
            </w:pPr>
          </w:p>
        </w:tc>
        <w:tc>
          <w:tcPr>
            <w:tcW w:w="1555" w:type="dxa"/>
            <w:vMerge w:val="restart"/>
            <w:vAlign w:val="center"/>
          </w:tcPr>
          <w:p w14:paraId="7A9B9AD0">
            <w:pPr>
              <w:spacing w:line="360" w:lineRule="auto"/>
              <w:jc w:val="both"/>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学术训练</w:t>
            </w:r>
          </w:p>
        </w:tc>
        <w:tc>
          <w:tcPr>
            <w:tcW w:w="2850" w:type="dxa"/>
            <w:vAlign w:val="center"/>
          </w:tcPr>
          <w:p w14:paraId="3E8F28EE">
            <w:pPr>
              <w:spacing w:line="360" w:lineRule="auto"/>
              <w:jc w:val="both"/>
              <w:rPr>
                <w:rFonts w:hint="default" w:ascii="Times New Roman" w:hAnsi="Times New Roman" w:eastAsia="宋体" w:cs="Times New Roman"/>
                <w:color w:val="000000" w:themeColor="text1"/>
                <w:sz w:val="18"/>
                <w:szCs w:val="18"/>
                <w14:textFill>
                  <w14:solidFill>
                    <w14:schemeClr w14:val="tx1"/>
                  </w14:solidFill>
                </w14:textFill>
              </w:rPr>
            </w:pPr>
            <w:r>
              <w:rPr>
                <w:rFonts w:hint="default" w:ascii="Times New Roman" w:hAnsi="Times New Roman" w:eastAsia="宋体" w:cs="Times New Roman"/>
                <w:color w:val="000000" w:themeColor="text1"/>
                <w:sz w:val="18"/>
                <w:szCs w:val="18"/>
                <w14:textFill>
                  <w14:solidFill>
                    <w14:schemeClr w14:val="tx1"/>
                  </w14:solidFill>
                </w14:textFill>
              </w:rPr>
              <w:t>中期筛选</w:t>
            </w:r>
          </w:p>
        </w:tc>
        <w:tc>
          <w:tcPr>
            <w:tcW w:w="1503" w:type="dxa"/>
            <w:vAlign w:val="center"/>
          </w:tcPr>
          <w:p w14:paraId="1522069C">
            <w:pPr>
              <w:spacing w:line="360" w:lineRule="auto"/>
              <w:jc w:val="center"/>
              <w:rPr>
                <w:rFonts w:hint="default" w:ascii="Times New Roman" w:hAnsi="Times New Roman" w:eastAsia="宋体" w:cs="Times New Roman"/>
                <w:color w:val="000000" w:themeColor="text1"/>
                <w:sz w:val="18"/>
                <w:szCs w:val="18"/>
                <w14:textFill>
                  <w14:solidFill>
                    <w14:schemeClr w14:val="tx1"/>
                  </w14:solidFill>
                </w14:textFill>
              </w:rPr>
            </w:pPr>
          </w:p>
        </w:tc>
        <w:tc>
          <w:tcPr>
            <w:tcW w:w="709" w:type="dxa"/>
            <w:vAlign w:val="center"/>
          </w:tcPr>
          <w:p w14:paraId="55644179">
            <w:pPr>
              <w:spacing w:line="360" w:lineRule="auto"/>
              <w:jc w:val="center"/>
              <w:rPr>
                <w:rFonts w:hint="default" w:ascii="Times New Roman" w:hAnsi="Times New Roman" w:eastAsia="宋体" w:cs="Times New Roman"/>
                <w:color w:val="000000" w:themeColor="text1"/>
                <w:sz w:val="18"/>
                <w:szCs w:val="18"/>
                <w14:textFill>
                  <w14:solidFill>
                    <w14:schemeClr w14:val="tx1"/>
                  </w14:solidFill>
                </w14:textFill>
              </w:rPr>
            </w:pPr>
          </w:p>
        </w:tc>
        <w:tc>
          <w:tcPr>
            <w:tcW w:w="709" w:type="dxa"/>
            <w:vAlign w:val="center"/>
          </w:tcPr>
          <w:p w14:paraId="02309EA5">
            <w:pPr>
              <w:spacing w:line="360" w:lineRule="auto"/>
              <w:jc w:val="center"/>
              <w:rPr>
                <w:rFonts w:hint="default" w:ascii="Times New Roman" w:hAnsi="Times New Roman" w:eastAsia="宋体" w:cs="Times New Roman"/>
                <w:color w:val="000000" w:themeColor="text1"/>
                <w:sz w:val="18"/>
                <w:szCs w:val="18"/>
                <w14:textFill>
                  <w14:solidFill>
                    <w14:schemeClr w14:val="tx1"/>
                  </w14:solidFill>
                </w14:textFill>
              </w:rPr>
            </w:pPr>
          </w:p>
        </w:tc>
        <w:tc>
          <w:tcPr>
            <w:tcW w:w="1045" w:type="dxa"/>
            <w:vMerge w:val="restart"/>
            <w:vAlign w:val="center"/>
          </w:tcPr>
          <w:p w14:paraId="04736486">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r>
              <w:rPr>
                <w:rFonts w:hint="eastAsia"/>
                <w:color w:val="000000" w:themeColor="text1"/>
                <w:sz w:val="18"/>
                <w:szCs w:val="18"/>
                <w14:textFill>
                  <w14:solidFill>
                    <w14:schemeClr w14:val="tx1"/>
                  </w14:solidFill>
                </w14:textFill>
              </w:rPr>
              <w:t>，</w:t>
            </w:r>
            <w:r>
              <w:rPr>
                <w:color w:val="000000" w:themeColor="text1"/>
                <w:sz w:val="18"/>
                <w:szCs w:val="18"/>
                <w14:textFill>
                  <w14:solidFill>
                    <w14:schemeClr w14:val="tx1"/>
                  </w14:solidFill>
                </w14:textFill>
              </w:rPr>
              <w:t>无学分</w:t>
            </w:r>
          </w:p>
        </w:tc>
      </w:tr>
      <w:tr w14:paraId="6B0D278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486" w:type="dxa"/>
            <w:vMerge w:val="continue"/>
            <w:vAlign w:val="center"/>
          </w:tcPr>
          <w:p w14:paraId="1F6F3853">
            <w:pPr>
              <w:spacing w:line="360" w:lineRule="auto"/>
              <w:jc w:val="both"/>
              <w:rPr>
                <w:b/>
                <w:color w:val="000000" w:themeColor="text1"/>
                <w:sz w:val="24"/>
                <w14:textFill>
                  <w14:solidFill>
                    <w14:schemeClr w14:val="tx1"/>
                  </w14:solidFill>
                </w14:textFill>
              </w:rPr>
            </w:pPr>
          </w:p>
        </w:tc>
        <w:tc>
          <w:tcPr>
            <w:tcW w:w="1555" w:type="dxa"/>
            <w:vMerge w:val="continue"/>
            <w:vAlign w:val="center"/>
          </w:tcPr>
          <w:p w14:paraId="08D09901">
            <w:pPr>
              <w:spacing w:line="360" w:lineRule="auto"/>
              <w:jc w:val="both"/>
              <w:rPr>
                <w:b/>
                <w:color w:val="000000" w:themeColor="text1"/>
                <w:sz w:val="24"/>
                <w14:textFill>
                  <w14:solidFill>
                    <w14:schemeClr w14:val="tx1"/>
                  </w14:solidFill>
                </w14:textFill>
              </w:rPr>
            </w:pPr>
          </w:p>
        </w:tc>
        <w:tc>
          <w:tcPr>
            <w:tcW w:w="2850" w:type="dxa"/>
            <w:vAlign w:val="center"/>
          </w:tcPr>
          <w:p w14:paraId="458A6E77">
            <w:pPr>
              <w:spacing w:line="360" w:lineRule="auto"/>
              <w:jc w:val="both"/>
              <w:rPr>
                <w:rFonts w:hint="default" w:ascii="Times New Roman" w:hAnsi="Times New Roman" w:eastAsia="宋体" w:cs="Times New Roman"/>
                <w:color w:val="000000" w:themeColor="text1"/>
                <w:sz w:val="18"/>
                <w:szCs w:val="18"/>
                <w14:textFill>
                  <w14:solidFill>
                    <w14:schemeClr w14:val="tx1"/>
                  </w14:solidFill>
                </w14:textFill>
              </w:rPr>
            </w:pPr>
            <w:r>
              <w:rPr>
                <w:rFonts w:hint="default" w:ascii="Times New Roman" w:hAnsi="Times New Roman" w:eastAsia="宋体" w:cs="Times New Roman"/>
                <w:color w:val="000000" w:themeColor="text1"/>
                <w:sz w:val="18"/>
                <w:szCs w:val="18"/>
                <w14:textFill>
                  <w14:solidFill>
                    <w14:schemeClr w14:val="tx1"/>
                  </w14:solidFill>
                </w14:textFill>
              </w:rPr>
              <w:t>论文开题</w:t>
            </w:r>
          </w:p>
        </w:tc>
        <w:tc>
          <w:tcPr>
            <w:tcW w:w="1503" w:type="dxa"/>
            <w:vAlign w:val="center"/>
          </w:tcPr>
          <w:p w14:paraId="6ABCA06C">
            <w:pPr>
              <w:spacing w:line="360" w:lineRule="auto"/>
              <w:jc w:val="center"/>
              <w:rPr>
                <w:rFonts w:hint="default" w:ascii="Times New Roman" w:hAnsi="Times New Roman" w:eastAsia="宋体" w:cs="Times New Roman"/>
                <w:color w:val="000000" w:themeColor="text1"/>
                <w:sz w:val="18"/>
                <w:szCs w:val="18"/>
                <w14:textFill>
                  <w14:solidFill>
                    <w14:schemeClr w14:val="tx1"/>
                  </w14:solidFill>
                </w14:textFill>
              </w:rPr>
            </w:pPr>
          </w:p>
        </w:tc>
        <w:tc>
          <w:tcPr>
            <w:tcW w:w="709" w:type="dxa"/>
            <w:vAlign w:val="center"/>
          </w:tcPr>
          <w:p w14:paraId="61633D3A">
            <w:pPr>
              <w:spacing w:line="360" w:lineRule="auto"/>
              <w:jc w:val="center"/>
              <w:rPr>
                <w:rFonts w:hint="default" w:ascii="Times New Roman" w:hAnsi="Times New Roman" w:eastAsia="宋体" w:cs="Times New Roman"/>
                <w:color w:val="000000" w:themeColor="text1"/>
                <w:sz w:val="18"/>
                <w:szCs w:val="18"/>
                <w14:textFill>
                  <w14:solidFill>
                    <w14:schemeClr w14:val="tx1"/>
                  </w14:solidFill>
                </w14:textFill>
              </w:rPr>
            </w:pPr>
          </w:p>
        </w:tc>
        <w:tc>
          <w:tcPr>
            <w:tcW w:w="709" w:type="dxa"/>
            <w:vAlign w:val="center"/>
          </w:tcPr>
          <w:p w14:paraId="3730CCC9">
            <w:pPr>
              <w:spacing w:line="360" w:lineRule="auto"/>
              <w:jc w:val="center"/>
              <w:rPr>
                <w:rFonts w:hint="default" w:ascii="Times New Roman" w:hAnsi="Times New Roman" w:eastAsia="宋体" w:cs="Times New Roman"/>
                <w:color w:val="000000" w:themeColor="text1"/>
                <w:sz w:val="18"/>
                <w:szCs w:val="18"/>
                <w14:textFill>
                  <w14:solidFill>
                    <w14:schemeClr w14:val="tx1"/>
                  </w14:solidFill>
                </w14:textFill>
              </w:rPr>
            </w:pPr>
          </w:p>
        </w:tc>
        <w:tc>
          <w:tcPr>
            <w:tcW w:w="1045" w:type="dxa"/>
            <w:vMerge w:val="continue"/>
            <w:vAlign w:val="center"/>
          </w:tcPr>
          <w:p w14:paraId="662D1861">
            <w:pPr>
              <w:spacing w:line="360" w:lineRule="auto"/>
              <w:jc w:val="center"/>
              <w:rPr>
                <w:color w:val="000000" w:themeColor="text1"/>
                <w:sz w:val="24"/>
                <w14:textFill>
                  <w14:solidFill>
                    <w14:schemeClr w14:val="tx1"/>
                  </w14:solidFill>
                </w14:textFill>
              </w:rPr>
            </w:pPr>
          </w:p>
        </w:tc>
      </w:tr>
      <w:tr w14:paraId="3AB8F15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486" w:type="dxa"/>
            <w:vMerge w:val="continue"/>
            <w:vAlign w:val="center"/>
          </w:tcPr>
          <w:p w14:paraId="72B1CA77">
            <w:pPr>
              <w:spacing w:line="360" w:lineRule="auto"/>
              <w:jc w:val="both"/>
              <w:rPr>
                <w:b/>
                <w:color w:val="000000" w:themeColor="text1"/>
                <w:sz w:val="24"/>
                <w14:textFill>
                  <w14:solidFill>
                    <w14:schemeClr w14:val="tx1"/>
                  </w14:solidFill>
                </w14:textFill>
              </w:rPr>
            </w:pPr>
          </w:p>
        </w:tc>
        <w:tc>
          <w:tcPr>
            <w:tcW w:w="1555" w:type="dxa"/>
            <w:vMerge w:val="continue"/>
            <w:vAlign w:val="center"/>
          </w:tcPr>
          <w:p w14:paraId="29B13D6E">
            <w:pPr>
              <w:spacing w:line="360" w:lineRule="auto"/>
              <w:jc w:val="both"/>
              <w:rPr>
                <w:b/>
                <w:color w:val="000000" w:themeColor="text1"/>
                <w:sz w:val="24"/>
                <w14:textFill>
                  <w14:solidFill>
                    <w14:schemeClr w14:val="tx1"/>
                  </w14:solidFill>
                </w14:textFill>
              </w:rPr>
            </w:pPr>
          </w:p>
        </w:tc>
        <w:tc>
          <w:tcPr>
            <w:tcW w:w="2850" w:type="dxa"/>
            <w:vAlign w:val="center"/>
          </w:tcPr>
          <w:p w14:paraId="0F8E64BA">
            <w:pPr>
              <w:spacing w:line="360" w:lineRule="auto"/>
              <w:jc w:val="both"/>
              <w:rPr>
                <w:rFonts w:hint="default" w:ascii="Times New Roman" w:hAnsi="Times New Roman" w:eastAsia="宋体" w:cs="Times New Roman"/>
                <w:sz w:val="18"/>
                <w:szCs w:val="18"/>
              </w:rPr>
            </w:pPr>
            <w:r>
              <w:rPr>
                <w:rFonts w:hint="default" w:ascii="Times New Roman" w:hAnsi="Times New Roman" w:eastAsia="宋体" w:cs="Times New Roman"/>
                <w:sz w:val="18"/>
                <w:szCs w:val="18"/>
              </w:rPr>
              <w:t>论文中期进展报告</w:t>
            </w:r>
          </w:p>
        </w:tc>
        <w:tc>
          <w:tcPr>
            <w:tcW w:w="1503" w:type="dxa"/>
            <w:vAlign w:val="center"/>
          </w:tcPr>
          <w:p w14:paraId="64BAFD26">
            <w:pPr>
              <w:spacing w:line="360" w:lineRule="auto"/>
              <w:jc w:val="center"/>
              <w:rPr>
                <w:rFonts w:hint="default" w:ascii="Times New Roman" w:hAnsi="Times New Roman" w:eastAsia="宋体" w:cs="Times New Roman"/>
                <w:color w:val="000000" w:themeColor="text1"/>
                <w:sz w:val="18"/>
                <w:szCs w:val="18"/>
                <w14:textFill>
                  <w14:solidFill>
                    <w14:schemeClr w14:val="tx1"/>
                  </w14:solidFill>
                </w14:textFill>
              </w:rPr>
            </w:pPr>
          </w:p>
        </w:tc>
        <w:tc>
          <w:tcPr>
            <w:tcW w:w="709" w:type="dxa"/>
            <w:vAlign w:val="center"/>
          </w:tcPr>
          <w:p w14:paraId="748E82E1">
            <w:pPr>
              <w:spacing w:line="360" w:lineRule="auto"/>
              <w:jc w:val="center"/>
              <w:rPr>
                <w:rFonts w:hint="default" w:ascii="Times New Roman" w:hAnsi="Times New Roman" w:eastAsia="宋体" w:cs="Times New Roman"/>
                <w:color w:val="000000" w:themeColor="text1"/>
                <w:sz w:val="18"/>
                <w:szCs w:val="18"/>
                <w14:textFill>
                  <w14:solidFill>
                    <w14:schemeClr w14:val="tx1"/>
                  </w14:solidFill>
                </w14:textFill>
              </w:rPr>
            </w:pPr>
          </w:p>
        </w:tc>
        <w:tc>
          <w:tcPr>
            <w:tcW w:w="709" w:type="dxa"/>
            <w:vAlign w:val="center"/>
          </w:tcPr>
          <w:p w14:paraId="1A3FD70B">
            <w:pPr>
              <w:spacing w:line="360" w:lineRule="auto"/>
              <w:jc w:val="center"/>
              <w:rPr>
                <w:rFonts w:hint="default" w:ascii="Times New Roman" w:hAnsi="Times New Roman" w:eastAsia="宋体" w:cs="Times New Roman"/>
                <w:color w:val="000000" w:themeColor="text1"/>
                <w:sz w:val="18"/>
                <w:szCs w:val="18"/>
                <w14:textFill>
                  <w14:solidFill>
                    <w14:schemeClr w14:val="tx1"/>
                  </w14:solidFill>
                </w14:textFill>
              </w:rPr>
            </w:pPr>
          </w:p>
        </w:tc>
        <w:tc>
          <w:tcPr>
            <w:tcW w:w="1045" w:type="dxa"/>
            <w:vMerge w:val="continue"/>
          </w:tcPr>
          <w:p w14:paraId="1E298AA7">
            <w:pPr>
              <w:spacing w:line="360" w:lineRule="auto"/>
              <w:jc w:val="center"/>
              <w:rPr>
                <w:color w:val="000000" w:themeColor="text1"/>
                <w:sz w:val="24"/>
                <w14:textFill>
                  <w14:solidFill>
                    <w14:schemeClr w14:val="tx1"/>
                  </w14:solidFill>
                </w14:textFill>
              </w:rPr>
            </w:pPr>
          </w:p>
        </w:tc>
      </w:tr>
      <w:tr w14:paraId="489B787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486" w:type="dxa"/>
            <w:vMerge w:val="continue"/>
            <w:vAlign w:val="center"/>
          </w:tcPr>
          <w:p w14:paraId="640FC483">
            <w:pPr>
              <w:spacing w:line="360" w:lineRule="auto"/>
              <w:jc w:val="both"/>
              <w:rPr>
                <w:b/>
                <w:color w:val="000000" w:themeColor="text1"/>
                <w:sz w:val="24"/>
                <w14:textFill>
                  <w14:solidFill>
                    <w14:schemeClr w14:val="tx1"/>
                  </w14:solidFill>
                </w14:textFill>
              </w:rPr>
            </w:pPr>
          </w:p>
        </w:tc>
        <w:tc>
          <w:tcPr>
            <w:tcW w:w="1555" w:type="dxa"/>
            <w:vMerge w:val="continue"/>
            <w:vAlign w:val="center"/>
          </w:tcPr>
          <w:p w14:paraId="4BF2C5FB">
            <w:pPr>
              <w:spacing w:line="360" w:lineRule="auto"/>
              <w:jc w:val="both"/>
              <w:rPr>
                <w:b/>
                <w:color w:val="000000" w:themeColor="text1"/>
                <w:sz w:val="24"/>
                <w14:textFill>
                  <w14:solidFill>
                    <w14:schemeClr w14:val="tx1"/>
                  </w14:solidFill>
                </w14:textFill>
              </w:rPr>
            </w:pPr>
          </w:p>
        </w:tc>
        <w:tc>
          <w:tcPr>
            <w:tcW w:w="2850" w:type="dxa"/>
            <w:vAlign w:val="center"/>
          </w:tcPr>
          <w:p w14:paraId="3BA219B5">
            <w:pPr>
              <w:spacing w:line="360" w:lineRule="auto"/>
              <w:jc w:val="both"/>
              <w:rPr>
                <w:rFonts w:hint="default" w:ascii="Times New Roman" w:hAnsi="Times New Roman" w:eastAsia="宋体" w:cs="Times New Roman"/>
                <w:color w:val="000000" w:themeColor="text1"/>
                <w:sz w:val="18"/>
                <w:szCs w:val="18"/>
                <w14:textFill>
                  <w14:solidFill>
                    <w14:schemeClr w14:val="tx1"/>
                  </w14:solidFill>
                </w14:textFill>
              </w:rPr>
            </w:pPr>
            <w:r>
              <w:rPr>
                <w:rFonts w:hint="default" w:ascii="Times New Roman" w:hAnsi="Times New Roman" w:eastAsia="宋体" w:cs="Times New Roman"/>
                <w:color w:val="000000" w:themeColor="text1"/>
                <w:sz w:val="18"/>
                <w:szCs w:val="18"/>
                <w14:textFill>
                  <w14:solidFill>
                    <w14:schemeClr w14:val="tx1"/>
                  </w14:solidFill>
                </w14:textFill>
              </w:rPr>
              <w:t>论文预答辩</w:t>
            </w:r>
          </w:p>
        </w:tc>
        <w:tc>
          <w:tcPr>
            <w:tcW w:w="1503" w:type="dxa"/>
            <w:vAlign w:val="center"/>
          </w:tcPr>
          <w:p w14:paraId="54C10154">
            <w:pPr>
              <w:spacing w:line="360" w:lineRule="auto"/>
              <w:jc w:val="center"/>
              <w:rPr>
                <w:rFonts w:hint="default" w:ascii="Times New Roman" w:hAnsi="Times New Roman" w:eastAsia="宋体" w:cs="Times New Roman"/>
                <w:color w:val="000000" w:themeColor="text1"/>
                <w:sz w:val="18"/>
                <w:szCs w:val="18"/>
                <w14:textFill>
                  <w14:solidFill>
                    <w14:schemeClr w14:val="tx1"/>
                  </w14:solidFill>
                </w14:textFill>
              </w:rPr>
            </w:pPr>
          </w:p>
        </w:tc>
        <w:tc>
          <w:tcPr>
            <w:tcW w:w="709" w:type="dxa"/>
            <w:vAlign w:val="center"/>
          </w:tcPr>
          <w:p w14:paraId="0B5CE5C9">
            <w:pPr>
              <w:spacing w:line="360" w:lineRule="auto"/>
              <w:jc w:val="center"/>
              <w:rPr>
                <w:rFonts w:hint="default" w:ascii="Times New Roman" w:hAnsi="Times New Roman" w:eastAsia="宋体" w:cs="Times New Roman"/>
                <w:color w:val="000000" w:themeColor="text1"/>
                <w:sz w:val="18"/>
                <w:szCs w:val="18"/>
                <w14:textFill>
                  <w14:solidFill>
                    <w14:schemeClr w14:val="tx1"/>
                  </w14:solidFill>
                </w14:textFill>
              </w:rPr>
            </w:pPr>
          </w:p>
        </w:tc>
        <w:tc>
          <w:tcPr>
            <w:tcW w:w="709" w:type="dxa"/>
            <w:vAlign w:val="center"/>
          </w:tcPr>
          <w:p w14:paraId="05E80393">
            <w:pPr>
              <w:spacing w:line="360" w:lineRule="auto"/>
              <w:jc w:val="center"/>
              <w:rPr>
                <w:rFonts w:hint="default" w:ascii="Times New Roman" w:hAnsi="Times New Roman" w:eastAsia="宋体" w:cs="Times New Roman"/>
                <w:color w:val="000000" w:themeColor="text1"/>
                <w:sz w:val="18"/>
                <w:szCs w:val="18"/>
                <w14:textFill>
                  <w14:solidFill>
                    <w14:schemeClr w14:val="tx1"/>
                  </w14:solidFill>
                </w14:textFill>
              </w:rPr>
            </w:pPr>
          </w:p>
        </w:tc>
        <w:tc>
          <w:tcPr>
            <w:tcW w:w="1045" w:type="dxa"/>
            <w:vMerge w:val="continue"/>
          </w:tcPr>
          <w:p w14:paraId="30DDD0AE">
            <w:pPr>
              <w:spacing w:line="360" w:lineRule="auto"/>
              <w:jc w:val="center"/>
              <w:rPr>
                <w:color w:val="000000" w:themeColor="text1"/>
                <w:sz w:val="24"/>
                <w14:textFill>
                  <w14:solidFill>
                    <w14:schemeClr w14:val="tx1"/>
                  </w14:solidFill>
                </w14:textFill>
              </w:rPr>
            </w:pPr>
          </w:p>
        </w:tc>
      </w:tr>
      <w:tr w14:paraId="07B99FF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486" w:type="dxa"/>
            <w:vMerge w:val="continue"/>
            <w:vAlign w:val="center"/>
          </w:tcPr>
          <w:p w14:paraId="0F69D549">
            <w:pPr>
              <w:spacing w:line="360" w:lineRule="auto"/>
              <w:jc w:val="both"/>
              <w:rPr>
                <w:color w:val="000000" w:themeColor="text1"/>
                <w:sz w:val="24"/>
                <w14:textFill>
                  <w14:solidFill>
                    <w14:schemeClr w14:val="tx1"/>
                  </w14:solidFill>
                </w14:textFill>
              </w:rPr>
            </w:pPr>
          </w:p>
        </w:tc>
        <w:tc>
          <w:tcPr>
            <w:tcW w:w="1555" w:type="dxa"/>
            <w:vMerge w:val="continue"/>
            <w:vAlign w:val="center"/>
          </w:tcPr>
          <w:p w14:paraId="6A2819C0">
            <w:pPr>
              <w:spacing w:line="360" w:lineRule="auto"/>
              <w:jc w:val="both"/>
              <w:rPr>
                <w:color w:val="000000" w:themeColor="text1"/>
                <w:sz w:val="24"/>
                <w14:textFill>
                  <w14:solidFill>
                    <w14:schemeClr w14:val="tx1"/>
                  </w14:solidFill>
                </w14:textFill>
              </w:rPr>
            </w:pPr>
          </w:p>
        </w:tc>
        <w:tc>
          <w:tcPr>
            <w:tcW w:w="2850" w:type="dxa"/>
            <w:vAlign w:val="center"/>
          </w:tcPr>
          <w:p w14:paraId="1F70B87D">
            <w:pPr>
              <w:spacing w:line="360" w:lineRule="auto"/>
              <w:jc w:val="both"/>
              <w:rPr>
                <w:rFonts w:hint="default" w:ascii="Times New Roman" w:hAnsi="Times New Roman" w:eastAsia="宋体" w:cs="Times New Roman"/>
                <w:color w:val="000000" w:themeColor="text1"/>
                <w:sz w:val="18"/>
                <w:szCs w:val="18"/>
                <w14:textFill>
                  <w14:solidFill>
                    <w14:schemeClr w14:val="tx1"/>
                  </w14:solidFill>
                </w14:textFill>
              </w:rPr>
            </w:pPr>
            <w:r>
              <w:rPr>
                <w:rFonts w:hint="default" w:ascii="Times New Roman" w:hAnsi="Times New Roman" w:eastAsia="宋体" w:cs="Times New Roman"/>
                <w:color w:val="000000" w:themeColor="text1"/>
                <w:sz w:val="18"/>
                <w:szCs w:val="18"/>
                <w14:textFill>
                  <w14:solidFill>
                    <w14:schemeClr w14:val="tx1"/>
                  </w14:solidFill>
                </w14:textFill>
              </w:rPr>
              <w:t>论文评审</w:t>
            </w:r>
          </w:p>
        </w:tc>
        <w:tc>
          <w:tcPr>
            <w:tcW w:w="1503" w:type="dxa"/>
            <w:vAlign w:val="center"/>
          </w:tcPr>
          <w:p w14:paraId="42624FCD">
            <w:pPr>
              <w:spacing w:line="360" w:lineRule="auto"/>
              <w:jc w:val="center"/>
              <w:rPr>
                <w:rFonts w:hint="default" w:ascii="Times New Roman" w:hAnsi="Times New Roman" w:eastAsia="宋体" w:cs="Times New Roman"/>
                <w:color w:val="000000" w:themeColor="text1"/>
                <w:sz w:val="18"/>
                <w:szCs w:val="18"/>
                <w14:textFill>
                  <w14:solidFill>
                    <w14:schemeClr w14:val="tx1"/>
                  </w14:solidFill>
                </w14:textFill>
              </w:rPr>
            </w:pPr>
          </w:p>
        </w:tc>
        <w:tc>
          <w:tcPr>
            <w:tcW w:w="709" w:type="dxa"/>
            <w:vAlign w:val="center"/>
          </w:tcPr>
          <w:p w14:paraId="509C54BF">
            <w:pPr>
              <w:spacing w:line="360" w:lineRule="auto"/>
              <w:jc w:val="center"/>
              <w:rPr>
                <w:rFonts w:hint="default" w:ascii="Times New Roman" w:hAnsi="Times New Roman" w:eastAsia="宋体" w:cs="Times New Roman"/>
                <w:color w:val="000000" w:themeColor="text1"/>
                <w:sz w:val="18"/>
                <w:szCs w:val="18"/>
                <w14:textFill>
                  <w14:solidFill>
                    <w14:schemeClr w14:val="tx1"/>
                  </w14:solidFill>
                </w14:textFill>
              </w:rPr>
            </w:pPr>
          </w:p>
        </w:tc>
        <w:tc>
          <w:tcPr>
            <w:tcW w:w="709" w:type="dxa"/>
            <w:vAlign w:val="center"/>
          </w:tcPr>
          <w:p w14:paraId="186C0519">
            <w:pPr>
              <w:spacing w:line="360" w:lineRule="auto"/>
              <w:jc w:val="center"/>
              <w:rPr>
                <w:rFonts w:hint="default" w:ascii="Times New Roman" w:hAnsi="Times New Roman" w:eastAsia="宋体" w:cs="Times New Roman"/>
                <w:color w:val="000000" w:themeColor="text1"/>
                <w:sz w:val="18"/>
                <w:szCs w:val="18"/>
                <w14:textFill>
                  <w14:solidFill>
                    <w14:schemeClr w14:val="tx1"/>
                  </w14:solidFill>
                </w14:textFill>
              </w:rPr>
            </w:pPr>
            <w:r>
              <w:rPr>
                <w:rFonts w:hint="default" w:ascii="Times New Roman" w:hAnsi="Times New Roman" w:eastAsia="宋体" w:cs="Times New Roman"/>
                <w:color w:val="000000" w:themeColor="text1"/>
                <w:sz w:val="18"/>
                <w:szCs w:val="18"/>
                <w14:textFill>
                  <w14:solidFill>
                    <w14:schemeClr w14:val="tx1"/>
                  </w14:solidFill>
                </w14:textFill>
              </w:rPr>
              <w:t>8</w:t>
            </w:r>
          </w:p>
        </w:tc>
        <w:tc>
          <w:tcPr>
            <w:tcW w:w="1045" w:type="dxa"/>
            <w:vMerge w:val="continue"/>
          </w:tcPr>
          <w:p w14:paraId="030C3E2B">
            <w:pPr>
              <w:spacing w:line="360" w:lineRule="auto"/>
              <w:jc w:val="center"/>
              <w:rPr>
                <w:color w:val="000000" w:themeColor="text1"/>
                <w:sz w:val="24"/>
                <w14:textFill>
                  <w14:solidFill>
                    <w14:schemeClr w14:val="tx1"/>
                  </w14:solidFill>
                </w14:textFill>
              </w:rPr>
            </w:pPr>
          </w:p>
        </w:tc>
      </w:tr>
      <w:tr w14:paraId="652C4FD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486" w:type="dxa"/>
            <w:vMerge w:val="continue"/>
            <w:vAlign w:val="center"/>
          </w:tcPr>
          <w:p w14:paraId="77396306">
            <w:pPr>
              <w:spacing w:line="360" w:lineRule="auto"/>
              <w:jc w:val="both"/>
              <w:rPr>
                <w:color w:val="000000" w:themeColor="text1"/>
                <w:sz w:val="24"/>
                <w14:textFill>
                  <w14:solidFill>
                    <w14:schemeClr w14:val="tx1"/>
                  </w14:solidFill>
                </w14:textFill>
              </w:rPr>
            </w:pPr>
          </w:p>
        </w:tc>
        <w:tc>
          <w:tcPr>
            <w:tcW w:w="1555" w:type="dxa"/>
            <w:vMerge w:val="continue"/>
            <w:vAlign w:val="center"/>
          </w:tcPr>
          <w:p w14:paraId="6F98CDC9">
            <w:pPr>
              <w:spacing w:line="360" w:lineRule="auto"/>
              <w:jc w:val="both"/>
              <w:rPr>
                <w:color w:val="000000" w:themeColor="text1"/>
                <w:sz w:val="24"/>
                <w14:textFill>
                  <w14:solidFill>
                    <w14:schemeClr w14:val="tx1"/>
                  </w14:solidFill>
                </w14:textFill>
              </w:rPr>
            </w:pPr>
          </w:p>
        </w:tc>
        <w:tc>
          <w:tcPr>
            <w:tcW w:w="2850" w:type="dxa"/>
            <w:vAlign w:val="center"/>
          </w:tcPr>
          <w:p w14:paraId="541B893C">
            <w:pPr>
              <w:spacing w:line="360" w:lineRule="auto"/>
              <w:jc w:val="both"/>
              <w:rPr>
                <w:rFonts w:hint="default" w:ascii="Times New Roman" w:hAnsi="Times New Roman" w:eastAsia="宋体" w:cs="Times New Roman"/>
                <w:color w:val="000000" w:themeColor="text1"/>
                <w:sz w:val="18"/>
                <w:szCs w:val="18"/>
                <w14:textFill>
                  <w14:solidFill>
                    <w14:schemeClr w14:val="tx1"/>
                  </w14:solidFill>
                </w14:textFill>
              </w:rPr>
            </w:pPr>
            <w:r>
              <w:rPr>
                <w:rFonts w:hint="default" w:ascii="Times New Roman" w:hAnsi="Times New Roman" w:eastAsia="宋体" w:cs="Times New Roman"/>
                <w:color w:val="000000" w:themeColor="text1"/>
                <w:sz w:val="18"/>
                <w:szCs w:val="18"/>
                <w14:textFill>
                  <w14:solidFill>
                    <w14:schemeClr w14:val="tx1"/>
                  </w14:solidFill>
                </w14:textFill>
              </w:rPr>
              <w:t>论文答辩</w:t>
            </w:r>
          </w:p>
        </w:tc>
        <w:tc>
          <w:tcPr>
            <w:tcW w:w="1503" w:type="dxa"/>
            <w:vAlign w:val="center"/>
          </w:tcPr>
          <w:p w14:paraId="3F6CAE52">
            <w:pPr>
              <w:spacing w:line="360" w:lineRule="auto"/>
              <w:jc w:val="center"/>
              <w:rPr>
                <w:rFonts w:hint="default" w:ascii="Times New Roman" w:hAnsi="Times New Roman" w:eastAsia="宋体" w:cs="Times New Roman"/>
                <w:color w:val="000000" w:themeColor="text1"/>
                <w:sz w:val="18"/>
                <w:szCs w:val="18"/>
                <w14:textFill>
                  <w14:solidFill>
                    <w14:schemeClr w14:val="tx1"/>
                  </w14:solidFill>
                </w14:textFill>
              </w:rPr>
            </w:pPr>
          </w:p>
        </w:tc>
        <w:tc>
          <w:tcPr>
            <w:tcW w:w="709" w:type="dxa"/>
            <w:vAlign w:val="center"/>
          </w:tcPr>
          <w:p w14:paraId="47684C5E">
            <w:pPr>
              <w:spacing w:line="360" w:lineRule="auto"/>
              <w:jc w:val="center"/>
              <w:rPr>
                <w:rFonts w:hint="default" w:ascii="Times New Roman" w:hAnsi="Times New Roman" w:eastAsia="宋体" w:cs="Times New Roman"/>
                <w:color w:val="000000" w:themeColor="text1"/>
                <w:sz w:val="18"/>
                <w:szCs w:val="18"/>
                <w14:textFill>
                  <w14:solidFill>
                    <w14:schemeClr w14:val="tx1"/>
                  </w14:solidFill>
                </w14:textFill>
              </w:rPr>
            </w:pPr>
          </w:p>
        </w:tc>
        <w:tc>
          <w:tcPr>
            <w:tcW w:w="709" w:type="dxa"/>
            <w:vAlign w:val="center"/>
          </w:tcPr>
          <w:p w14:paraId="07467E0E">
            <w:pPr>
              <w:spacing w:line="360" w:lineRule="auto"/>
              <w:jc w:val="center"/>
              <w:rPr>
                <w:rFonts w:hint="default" w:ascii="Times New Roman" w:hAnsi="Times New Roman" w:eastAsia="宋体" w:cs="Times New Roman"/>
                <w:color w:val="000000" w:themeColor="text1"/>
                <w:sz w:val="18"/>
                <w:szCs w:val="18"/>
                <w14:textFill>
                  <w14:solidFill>
                    <w14:schemeClr w14:val="tx1"/>
                  </w14:solidFill>
                </w14:textFill>
              </w:rPr>
            </w:pPr>
            <w:r>
              <w:rPr>
                <w:rFonts w:hint="default" w:ascii="Times New Roman" w:hAnsi="Times New Roman" w:eastAsia="宋体" w:cs="Times New Roman"/>
                <w:color w:val="000000" w:themeColor="text1"/>
                <w:sz w:val="18"/>
                <w:szCs w:val="18"/>
                <w14:textFill>
                  <w14:solidFill>
                    <w14:schemeClr w14:val="tx1"/>
                  </w14:solidFill>
                </w14:textFill>
              </w:rPr>
              <w:t>8</w:t>
            </w:r>
          </w:p>
        </w:tc>
        <w:tc>
          <w:tcPr>
            <w:tcW w:w="1045" w:type="dxa"/>
            <w:vMerge w:val="continue"/>
          </w:tcPr>
          <w:p w14:paraId="365E92A3">
            <w:pPr>
              <w:spacing w:line="360" w:lineRule="auto"/>
              <w:jc w:val="center"/>
              <w:rPr>
                <w:color w:val="000000" w:themeColor="text1"/>
                <w:sz w:val="24"/>
                <w14:textFill>
                  <w14:solidFill>
                    <w14:schemeClr w14:val="tx1"/>
                  </w14:solidFill>
                </w14:textFill>
              </w:rPr>
            </w:pPr>
          </w:p>
        </w:tc>
      </w:tr>
    </w:tbl>
    <w:p w14:paraId="0BDE84C5">
      <w:pPr>
        <w:spacing w:line="360" w:lineRule="auto"/>
        <w:ind w:firstLine="480" w:firstLineChars="200"/>
        <w:rPr>
          <w:rFonts w:hint="eastAsia" w:eastAsia="黑体"/>
          <w:b/>
          <w:bCs w:val="0"/>
          <w:sz w:val="28"/>
          <w:szCs w:val="28"/>
        </w:rPr>
      </w:pPr>
      <w:r>
        <w:rPr>
          <w:rFonts w:eastAsiaTheme="minorEastAsia"/>
          <w:bCs/>
          <w:sz w:val="24"/>
        </w:rPr>
        <w:t>*公共外语课程按入学时的外国语考试科目修读相关语种。</w:t>
      </w:r>
    </w:p>
    <w:p w14:paraId="5882E89D">
      <w:pPr>
        <w:spacing w:line="360" w:lineRule="auto"/>
        <w:rPr>
          <w:rFonts w:hint="eastAsia" w:eastAsia="黑体"/>
          <w:b/>
          <w:bCs w:val="0"/>
          <w:sz w:val="28"/>
          <w:szCs w:val="28"/>
        </w:rPr>
      </w:pPr>
      <w:r>
        <w:rPr>
          <w:rFonts w:hint="eastAsia" w:eastAsia="黑体"/>
          <w:b/>
          <w:bCs w:val="0"/>
          <w:sz w:val="28"/>
          <w:szCs w:val="28"/>
        </w:rPr>
        <w:t>十三、其他需要说明事项</w:t>
      </w:r>
    </w:p>
    <w:p w14:paraId="3122BDB5">
      <w:pPr>
        <w:spacing w:line="360" w:lineRule="auto"/>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p w14:paraId="1CD48719">
      <w:pPr>
        <w:spacing w:line="360" w:lineRule="auto"/>
        <w:ind w:firstLine="480" w:firstLineChars="200"/>
        <w:rPr>
          <w:rFonts w:eastAsiaTheme="minorEastAsia"/>
          <w:bCs/>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sectPr>
      <w:footerReference r:id="rId3" w:type="default"/>
      <w:pgSz w:w="11910" w:h="16840"/>
      <w:pgMar w:top="1580" w:right="1060" w:bottom="1180" w:left="1080" w:header="0" w:footer="993" w:gutter="0"/>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96D44C">
    <w:pPr>
      <w:pStyle w:val="7"/>
      <w:spacing w:line="14" w:lineRule="auto"/>
      <w:ind w:left="0"/>
      <w:rPr>
        <w:rFonts w:hint="eastAsia"/>
        <w:sz w:val="20"/>
      </w:rPr>
    </w:pPr>
    <w:r>
      <w:rPr>
        <w:rFonts w:hint="eastAsia"/>
      </w:rPr>
      <w:pict>
        <v:shape id="docshape1" o:spid="_x0000_s1027" o:spt="202" type="#_x0000_t202" style="position:absolute;left:0pt;margin-left:292.45pt;margin-top:781.25pt;height:12pt;width:11.5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14:paraId="15EABE65">
                <w:pPr>
                  <w:spacing w:before="12"/>
                  <w:ind w:left="60"/>
                  <w:rPr>
                    <w:sz w:val="18"/>
                  </w:rPr>
                </w:pPr>
                <w:r>
                  <w:rPr>
                    <w:sz w:val="18"/>
                  </w:rPr>
                  <w:fldChar w:fldCharType="begin"/>
                </w:r>
                <w:r>
                  <w:rPr>
                    <w:sz w:val="18"/>
                  </w:rPr>
                  <w:instrText xml:space="preserve"> PAGE </w:instrText>
                </w:r>
                <w:r>
                  <w:rPr>
                    <w:sz w:val="18"/>
                  </w:rPr>
                  <w:fldChar w:fldCharType="separate"/>
                </w:r>
                <w:r>
                  <w:rPr>
                    <w:sz w:val="18"/>
                  </w:rPr>
                  <w:t>1</w:t>
                </w:r>
                <w:r>
                  <w:rPr>
                    <w:sz w:val="18"/>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98330F"/>
    <w:multiLevelType w:val="singleLevel"/>
    <w:tmpl w:val="8798330F"/>
    <w:lvl w:ilvl="0" w:tentative="0">
      <w:start w:val="1"/>
      <w:numFmt w:val="decimal"/>
      <w:suff w:val="space"/>
      <w:lvlText w:val="%1."/>
      <w:lvlJc w:val="left"/>
    </w:lvl>
  </w:abstractNum>
  <w:abstractNum w:abstractNumId="1">
    <w:nsid w:val="8868D8F6"/>
    <w:multiLevelType w:val="singleLevel"/>
    <w:tmpl w:val="8868D8F6"/>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485"/>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2C3B"/>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D7FA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0D8"/>
    <w:rsid w:val="00173690"/>
    <w:rsid w:val="00173BBC"/>
    <w:rsid w:val="00174672"/>
    <w:rsid w:val="001749C9"/>
    <w:rsid w:val="00175F90"/>
    <w:rsid w:val="00175FDB"/>
    <w:rsid w:val="0017600D"/>
    <w:rsid w:val="001770BE"/>
    <w:rsid w:val="001774C8"/>
    <w:rsid w:val="00181B98"/>
    <w:rsid w:val="001827EC"/>
    <w:rsid w:val="00184DA3"/>
    <w:rsid w:val="00190742"/>
    <w:rsid w:val="0019270C"/>
    <w:rsid w:val="00192C94"/>
    <w:rsid w:val="00192FFB"/>
    <w:rsid w:val="00193EB1"/>
    <w:rsid w:val="001944A6"/>
    <w:rsid w:val="00194BD6"/>
    <w:rsid w:val="001955DD"/>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0864"/>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0EBC"/>
    <w:rsid w:val="002017C7"/>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426F"/>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084"/>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55F00"/>
    <w:rsid w:val="003617F2"/>
    <w:rsid w:val="00361966"/>
    <w:rsid w:val="00362BF4"/>
    <w:rsid w:val="00364D73"/>
    <w:rsid w:val="00365F8D"/>
    <w:rsid w:val="00367064"/>
    <w:rsid w:val="00371E5D"/>
    <w:rsid w:val="00371F36"/>
    <w:rsid w:val="00372023"/>
    <w:rsid w:val="00374191"/>
    <w:rsid w:val="00375EC2"/>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886"/>
    <w:rsid w:val="003A59AE"/>
    <w:rsid w:val="003A62E4"/>
    <w:rsid w:val="003A6828"/>
    <w:rsid w:val="003A6BA2"/>
    <w:rsid w:val="003A7FDB"/>
    <w:rsid w:val="003B02F6"/>
    <w:rsid w:val="003B11EC"/>
    <w:rsid w:val="003B1809"/>
    <w:rsid w:val="003B1C29"/>
    <w:rsid w:val="003B21FD"/>
    <w:rsid w:val="003B38C6"/>
    <w:rsid w:val="003B3945"/>
    <w:rsid w:val="003B4342"/>
    <w:rsid w:val="003B50B1"/>
    <w:rsid w:val="003B5EF2"/>
    <w:rsid w:val="003B5FCD"/>
    <w:rsid w:val="003B765B"/>
    <w:rsid w:val="003C1B16"/>
    <w:rsid w:val="003C2368"/>
    <w:rsid w:val="003C2B6F"/>
    <w:rsid w:val="003C3387"/>
    <w:rsid w:val="003C43AE"/>
    <w:rsid w:val="003C4CF4"/>
    <w:rsid w:val="003C4F53"/>
    <w:rsid w:val="003C5F9F"/>
    <w:rsid w:val="003C6C82"/>
    <w:rsid w:val="003D13E5"/>
    <w:rsid w:val="003D1899"/>
    <w:rsid w:val="003D18A7"/>
    <w:rsid w:val="003D354D"/>
    <w:rsid w:val="003D35E3"/>
    <w:rsid w:val="003D3974"/>
    <w:rsid w:val="003D3996"/>
    <w:rsid w:val="003D3BD9"/>
    <w:rsid w:val="003D4107"/>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166"/>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221E"/>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797"/>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5F54"/>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1C9"/>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5D1"/>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E695E"/>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5F14"/>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64A"/>
    <w:rsid w:val="00876770"/>
    <w:rsid w:val="00876DEE"/>
    <w:rsid w:val="00880526"/>
    <w:rsid w:val="00881840"/>
    <w:rsid w:val="00881CEC"/>
    <w:rsid w:val="008820B5"/>
    <w:rsid w:val="008823CE"/>
    <w:rsid w:val="00882442"/>
    <w:rsid w:val="00882478"/>
    <w:rsid w:val="00882A60"/>
    <w:rsid w:val="008837DE"/>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87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5BCB"/>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5F74"/>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6626"/>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0FB"/>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1DAF"/>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5AE"/>
    <w:rsid w:val="00B21F14"/>
    <w:rsid w:val="00B2244D"/>
    <w:rsid w:val="00B22F92"/>
    <w:rsid w:val="00B239F4"/>
    <w:rsid w:val="00B243AF"/>
    <w:rsid w:val="00B2463B"/>
    <w:rsid w:val="00B254E4"/>
    <w:rsid w:val="00B274FB"/>
    <w:rsid w:val="00B27BF4"/>
    <w:rsid w:val="00B311FD"/>
    <w:rsid w:val="00B3467F"/>
    <w:rsid w:val="00B364FB"/>
    <w:rsid w:val="00B400DC"/>
    <w:rsid w:val="00B40173"/>
    <w:rsid w:val="00B40564"/>
    <w:rsid w:val="00B40843"/>
    <w:rsid w:val="00B40AD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439"/>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5586"/>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1C22"/>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B98"/>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990"/>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524"/>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060A"/>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DF73D9"/>
    <w:rsid w:val="00E006F2"/>
    <w:rsid w:val="00E022CC"/>
    <w:rsid w:val="00E02E83"/>
    <w:rsid w:val="00E03347"/>
    <w:rsid w:val="00E03CC3"/>
    <w:rsid w:val="00E053D1"/>
    <w:rsid w:val="00E058D6"/>
    <w:rsid w:val="00E05F51"/>
    <w:rsid w:val="00E06137"/>
    <w:rsid w:val="00E0697E"/>
    <w:rsid w:val="00E07990"/>
    <w:rsid w:val="00E10492"/>
    <w:rsid w:val="00E10925"/>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66A9D"/>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826"/>
    <w:rsid w:val="00FE3CF4"/>
    <w:rsid w:val="00FE6A1E"/>
    <w:rsid w:val="00FE6B2A"/>
    <w:rsid w:val="00FE7F66"/>
    <w:rsid w:val="00FF0343"/>
    <w:rsid w:val="00FF0CF7"/>
    <w:rsid w:val="00FF1F8D"/>
    <w:rsid w:val="00FF2D9D"/>
    <w:rsid w:val="00FF40BB"/>
    <w:rsid w:val="00FF5CED"/>
    <w:rsid w:val="00FF7300"/>
    <w:rsid w:val="00FF735B"/>
    <w:rsid w:val="062D0401"/>
    <w:rsid w:val="11BE4DD5"/>
    <w:rsid w:val="1FE96C05"/>
    <w:rsid w:val="234B26CD"/>
    <w:rsid w:val="2F986F99"/>
    <w:rsid w:val="38E73613"/>
    <w:rsid w:val="3FB279D5"/>
    <w:rsid w:val="5385202A"/>
    <w:rsid w:val="55772B06"/>
    <w:rsid w:val="5FE55D53"/>
    <w:rsid w:val="6B4F250E"/>
    <w:rsid w:val="707C4096"/>
    <w:rsid w:val="79D25C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8"/>
    <w:qFormat/>
    <w:uiPriority w:val="99"/>
    <w:pPr>
      <w:keepNext/>
      <w:keepLines/>
      <w:spacing w:line="360" w:lineRule="auto"/>
      <w:jc w:val="center"/>
      <w:outlineLvl w:val="1"/>
    </w:pPr>
    <w:rPr>
      <w:rFonts w:ascii="Cambria" w:hAnsi="Cambria"/>
      <w:b/>
      <w:bCs/>
      <w:sz w:val="32"/>
      <w:szCs w:val="32"/>
    </w:rPr>
  </w:style>
  <w:style w:type="paragraph" w:styleId="4">
    <w:name w:val="heading 3"/>
    <w:basedOn w:val="1"/>
    <w:next w:val="1"/>
    <w:link w:val="33"/>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8"/>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link w:val="21"/>
    <w:semiHidden/>
    <w:unhideWhenUsed/>
    <w:qFormat/>
    <w:uiPriority w:val="99"/>
    <w:pPr>
      <w:jc w:val="left"/>
    </w:pPr>
  </w:style>
  <w:style w:type="paragraph" w:styleId="7">
    <w:name w:val="Body Text"/>
    <w:basedOn w:val="1"/>
    <w:link w:val="29"/>
    <w:qFormat/>
    <w:uiPriority w:val="1"/>
    <w:pPr>
      <w:autoSpaceDE w:val="0"/>
      <w:autoSpaceDN w:val="0"/>
      <w:ind w:left="338"/>
      <w:jc w:val="left"/>
    </w:pPr>
    <w:rPr>
      <w:rFonts w:ascii="宋体" w:hAnsi="宋体" w:cs="宋体"/>
      <w:kern w:val="0"/>
      <w:sz w:val="24"/>
      <w:lang w:eastAsia="en-US"/>
    </w:rPr>
  </w:style>
  <w:style w:type="paragraph" w:styleId="8">
    <w:name w:val="Balloon Text"/>
    <w:basedOn w:val="1"/>
    <w:link w:val="23"/>
    <w:semiHidden/>
    <w:unhideWhenUsed/>
    <w:qFormat/>
    <w:uiPriority w:val="99"/>
    <w:rPr>
      <w:sz w:val="18"/>
      <w:szCs w:val="18"/>
    </w:rPr>
  </w:style>
  <w:style w:type="paragraph" w:styleId="9">
    <w:name w:val="footer"/>
    <w:basedOn w:val="1"/>
    <w:link w:val="25"/>
    <w:unhideWhenUsed/>
    <w:qFormat/>
    <w:uiPriority w:val="99"/>
    <w:pPr>
      <w:tabs>
        <w:tab w:val="center" w:pos="4153"/>
        <w:tab w:val="right" w:pos="8306"/>
      </w:tabs>
      <w:snapToGrid w:val="0"/>
      <w:jc w:val="left"/>
    </w:pPr>
    <w:rPr>
      <w:sz w:val="18"/>
      <w:szCs w:val="18"/>
    </w:rPr>
  </w:style>
  <w:style w:type="paragraph" w:styleId="10">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2">
    <w:name w:val="annotation subject"/>
    <w:basedOn w:val="6"/>
    <w:next w:val="6"/>
    <w:link w:val="22"/>
    <w:semiHidden/>
    <w:unhideWhenUsed/>
    <w:qFormat/>
    <w:uiPriority w:val="99"/>
    <w:rPr>
      <w:b/>
      <w:bCs/>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22"/>
    <w:rPr>
      <w:b/>
      <w:bCs/>
    </w:rPr>
  </w:style>
  <w:style w:type="character" w:styleId="17">
    <w:name w:val="annotation reference"/>
    <w:basedOn w:val="15"/>
    <w:semiHidden/>
    <w:unhideWhenUsed/>
    <w:qFormat/>
    <w:uiPriority w:val="99"/>
    <w:rPr>
      <w:sz w:val="21"/>
      <w:szCs w:val="21"/>
    </w:rPr>
  </w:style>
  <w:style w:type="character" w:customStyle="1" w:styleId="18">
    <w:name w:val="标题 2 字符"/>
    <w:basedOn w:val="15"/>
    <w:link w:val="3"/>
    <w:qFormat/>
    <w:uiPriority w:val="99"/>
    <w:rPr>
      <w:rFonts w:ascii="Cambria" w:hAnsi="Cambria" w:eastAsia="宋体" w:cs="Times New Roman"/>
      <w:b/>
      <w:bCs/>
      <w:sz w:val="32"/>
      <w:szCs w:val="32"/>
    </w:rPr>
  </w:style>
  <w:style w:type="character" w:customStyle="1" w:styleId="19">
    <w:name w:val="标题 1 字符"/>
    <w:basedOn w:val="15"/>
    <w:link w:val="2"/>
    <w:qFormat/>
    <w:uiPriority w:val="0"/>
    <w:rPr>
      <w:rFonts w:ascii="Times New Roman" w:hAnsi="Times New Roman" w:eastAsia="华文行楷" w:cs="Times New Roman"/>
      <w:kern w:val="44"/>
      <w:sz w:val="44"/>
      <w:szCs w:val="20"/>
    </w:rPr>
  </w:style>
  <w:style w:type="paragraph" w:customStyle="1" w:styleId="20">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21">
    <w:name w:val="批注文字 字符"/>
    <w:basedOn w:val="15"/>
    <w:link w:val="6"/>
    <w:semiHidden/>
    <w:qFormat/>
    <w:uiPriority w:val="99"/>
    <w:rPr>
      <w:rFonts w:ascii="Times New Roman" w:hAnsi="Times New Roman" w:eastAsia="宋体" w:cs="Times New Roman"/>
      <w:szCs w:val="24"/>
    </w:rPr>
  </w:style>
  <w:style w:type="character" w:customStyle="1" w:styleId="22">
    <w:name w:val="批注主题 字符"/>
    <w:basedOn w:val="21"/>
    <w:link w:val="12"/>
    <w:semiHidden/>
    <w:qFormat/>
    <w:uiPriority w:val="99"/>
    <w:rPr>
      <w:rFonts w:ascii="Times New Roman" w:hAnsi="Times New Roman" w:eastAsia="宋体" w:cs="Times New Roman"/>
      <w:b/>
      <w:bCs/>
      <w:szCs w:val="24"/>
    </w:rPr>
  </w:style>
  <w:style w:type="character" w:customStyle="1" w:styleId="23">
    <w:name w:val="批注框文本 字符"/>
    <w:basedOn w:val="15"/>
    <w:link w:val="8"/>
    <w:semiHidden/>
    <w:qFormat/>
    <w:uiPriority w:val="99"/>
    <w:rPr>
      <w:rFonts w:ascii="Times New Roman" w:hAnsi="Times New Roman" w:eastAsia="宋体" w:cs="Times New Roman"/>
      <w:sz w:val="18"/>
      <w:szCs w:val="18"/>
    </w:rPr>
  </w:style>
  <w:style w:type="character" w:customStyle="1" w:styleId="24">
    <w:name w:val="页眉 字符"/>
    <w:basedOn w:val="15"/>
    <w:link w:val="10"/>
    <w:qFormat/>
    <w:uiPriority w:val="99"/>
    <w:rPr>
      <w:rFonts w:ascii="Times New Roman" w:hAnsi="Times New Roman" w:eastAsia="宋体" w:cs="Times New Roman"/>
      <w:sz w:val="18"/>
      <w:szCs w:val="18"/>
    </w:rPr>
  </w:style>
  <w:style w:type="character" w:customStyle="1" w:styleId="25">
    <w:name w:val="页脚 字符"/>
    <w:basedOn w:val="15"/>
    <w:link w:val="9"/>
    <w:qFormat/>
    <w:uiPriority w:val="99"/>
    <w:rPr>
      <w:rFonts w:ascii="Times New Roman" w:hAnsi="Times New Roman" w:eastAsia="宋体" w:cs="Times New Roman"/>
      <w:sz w:val="18"/>
      <w:szCs w:val="18"/>
    </w:rPr>
  </w:style>
  <w:style w:type="paragraph" w:customStyle="1" w:styleId="26">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7">
    <w:name w:val="List Paragraph"/>
    <w:basedOn w:val="1"/>
    <w:qFormat/>
    <w:uiPriority w:val="1"/>
    <w:pPr>
      <w:ind w:firstLine="420" w:firstLineChars="200"/>
    </w:pPr>
  </w:style>
  <w:style w:type="character" w:customStyle="1" w:styleId="28">
    <w:name w:val="标题 4 字符"/>
    <w:basedOn w:val="15"/>
    <w:link w:val="5"/>
    <w:semiHidden/>
    <w:qFormat/>
    <w:uiPriority w:val="9"/>
    <w:rPr>
      <w:rFonts w:asciiTheme="majorHAnsi" w:hAnsiTheme="majorHAnsi" w:eastAsiaTheme="majorEastAsia" w:cstheme="majorBidi"/>
      <w:b/>
      <w:bCs/>
      <w:kern w:val="2"/>
      <w:sz w:val="28"/>
      <w:szCs w:val="28"/>
    </w:rPr>
  </w:style>
  <w:style w:type="character" w:customStyle="1" w:styleId="29">
    <w:name w:val="正文文本 字符"/>
    <w:basedOn w:val="15"/>
    <w:link w:val="7"/>
    <w:qFormat/>
    <w:uiPriority w:val="1"/>
    <w:rPr>
      <w:rFonts w:ascii="宋体" w:hAnsi="宋体" w:eastAsia="宋体" w:cs="宋体"/>
      <w:sz w:val="24"/>
      <w:szCs w:val="24"/>
      <w:lang w:eastAsia="en-US"/>
    </w:rPr>
  </w:style>
  <w:style w:type="table" w:customStyle="1" w:styleId="30">
    <w:name w:val="Table Normal"/>
    <w:semiHidden/>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paragraph" w:customStyle="1" w:styleId="31">
    <w:name w:val="Table Paragraph"/>
    <w:basedOn w:val="1"/>
    <w:qFormat/>
    <w:uiPriority w:val="1"/>
    <w:pPr>
      <w:autoSpaceDE w:val="0"/>
      <w:autoSpaceDN w:val="0"/>
      <w:jc w:val="left"/>
    </w:pPr>
    <w:rPr>
      <w:rFonts w:ascii="宋体" w:hAnsi="宋体" w:cs="宋体"/>
      <w:kern w:val="0"/>
      <w:sz w:val="22"/>
      <w:szCs w:val="22"/>
      <w:lang w:eastAsia="en-US"/>
    </w:rPr>
  </w:style>
  <w:style w:type="paragraph" w:customStyle="1" w:styleId="32">
    <w:name w:val="Revision"/>
    <w:hidden/>
    <w:semiHidden/>
    <w:qFormat/>
    <w:uiPriority w:val="99"/>
    <w:rPr>
      <w:rFonts w:ascii="Times New Roman" w:hAnsi="Times New Roman" w:eastAsia="宋体" w:cs="Times New Roman"/>
      <w:kern w:val="2"/>
      <w:sz w:val="21"/>
      <w:szCs w:val="24"/>
      <w:lang w:val="en-US" w:eastAsia="zh-CN" w:bidi="ar-SA"/>
    </w:rPr>
  </w:style>
  <w:style w:type="character" w:customStyle="1" w:styleId="33">
    <w:name w:val="标题 3 字符"/>
    <w:basedOn w:val="15"/>
    <w:link w:val="4"/>
    <w:semiHidden/>
    <w:qFormat/>
    <w:uiPriority w:val="9"/>
    <w:rPr>
      <w:rFonts w:ascii="Times New Roman" w:hAnsi="Times New Roman" w:eastAsia="宋体" w:cs="Times New Roman"/>
      <w:b/>
      <w:bCs/>
      <w:kern w:val="2"/>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D7F36BB-57B0-3A4C-AA50-98E710C08693}">
  <ds:schemaRefs/>
</ds:datastoreItem>
</file>

<file path=docProps/app.xml><?xml version="1.0" encoding="utf-8"?>
<Properties xmlns="http://schemas.openxmlformats.org/officeDocument/2006/extended-properties" xmlns:vt="http://schemas.openxmlformats.org/officeDocument/2006/docPropsVTypes">
  <Template>Normal</Template>
  <Company>yanjiushengyuan</Company>
  <Pages>7</Pages>
  <Words>5757</Words>
  <Characters>5992</Characters>
  <Lines>302</Lines>
  <Paragraphs>241</Paragraphs>
  <TotalTime>87</TotalTime>
  <ScaleCrop>false</ScaleCrop>
  <LinksUpToDate>false</LinksUpToDate>
  <CharactersWithSpaces>6068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2025-04-29T03:07:00Z</dcterms:created>
  <dc:creator>刘明旭</dc:creator>
  <cp:lastModifiedBy>可儿</cp:lastModifiedBy>
  <cp:lastPrinted>2025-05-13T00:38:00Z</cp:lastPrinted>
  <dcterms:modified xsi:type="dcterms:W3CDTF">2025-07-22T09:01:39Z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eyJoZGlkIjoiZTc1ZjU4ZGM4MmRlYjBkMGFiM2M0MTg2NzI5ZTI4NzUiLCJ1c2VySWQiOiIzMjM0MDI2NTMifQ==</vt:lpwstr>
  </property>
  <property fmtid="{D5CDD505-2E9C-101B-9397-08002B2CF9AE}" pid="4" name="ICV">
    <vt:lpwstr>ACEAD8D9820F48C1929D3DA7CD0F23E6_13</vt:lpwstr>
  </property>
</Properties>
</file>