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877D9B">
      <w:pPr>
        <w:spacing w:line="360" w:lineRule="auto"/>
        <w:ind w:left="321" w:leftChars="153" w:right="227"/>
        <w:jc w:val="center"/>
        <w:rPr>
          <w:rFonts w:eastAsia="黑体"/>
          <w:b/>
          <w:bCs/>
          <w:sz w:val="36"/>
          <w:szCs w:val="36"/>
        </w:rPr>
      </w:pPr>
      <w:r>
        <w:rPr>
          <w:rFonts w:hint="eastAsia" w:eastAsia="黑体"/>
          <w:b/>
          <w:bCs/>
          <w:iCs/>
          <w:sz w:val="36"/>
          <w:szCs w:val="36"/>
        </w:rPr>
        <w:t>生物学</w:t>
      </w:r>
      <w:r>
        <w:rPr>
          <w:rFonts w:eastAsia="黑体"/>
          <w:b/>
          <w:bCs/>
          <w:sz w:val="36"/>
          <w:szCs w:val="36"/>
        </w:rPr>
        <w:t>专业学术学位硕士研究生培养方案</w:t>
      </w:r>
    </w:p>
    <w:p w14:paraId="64EA7C79">
      <w:pPr>
        <w:spacing w:line="360" w:lineRule="auto"/>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生命科学学院）</w:t>
      </w:r>
    </w:p>
    <w:p w14:paraId="73B1C974">
      <w:pPr>
        <w:spacing w:line="360" w:lineRule="auto"/>
        <w:ind w:firstLine="560"/>
        <w:rPr>
          <w:rFonts w:eastAsia="黑体"/>
          <w:bCs/>
          <w:sz w:val="28"/>
          <w:szCs w:val="28"/>
        </w:rPr>
      </w:pPr>
      <w:r>
        <w:rPr>
          <w:rFonts w:eastAsia="黑体"/>
          <w:bCs/>
          <w:sz w:val="28"/>
          <w:szCs w:val="28"/>
        </w:rPr>
        <w:t>一、专业名称、代码</w:t>
      </w:r>
    </w:p>
    <w:p w14:paraId="068A676C">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生物学</w:t>
      </w:r>
    </w:p>
    <w:p w14:paraId="06AE4C84">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071000</w:t>
      </w:r>
    </w:p>
    <w:p w14:paraId="67BA12DB">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2F05A442">
      <w:pPr>
        <w:spacing w:line="360" w:lineRule="auto"/>
        <w:ind w:firstLine="480" w:firstLineChars="200"/>
        <w:rPr>
          <w:kern w:val="0"/>
          <w:sz w:val="24"/>
        </w:rPr>
      </w:pPr>
      <w:r>
        <w:rPr>
          <w:rFonts w:hint="eastAsia"/>
          <w:kern w:val="0"/>
          <w:sz w:val="24"/>
        </w:rPr>
        <w:t>生物学是研究生命系统各个层次的种类、结构、功能、行为、发育和起源进化以及生物与周围环境的关系等的科学。作为一门综合性很强的前沿学科，生物学有力地推动了人类社会生存和发展所面临的诸多困难和问题的解决，对其他学科的发展和社会的几部都具有重要作用和意义。生物学专业主要开展基因组学、蛋白质学、分子遗传学等方面的研究。本</w:t>
      </w:r>
      <w:r>
        <w:rPr>
          <w:kern w:val="0"/>
          <w:sz w:val="24"/>
        </w:rPr>
        <w:t>专业融合了生物学、化学、物理学、信息学等多学科知识，形成了独特的研究方法体系。</w:t>
      </w:r>
      <w:r>
        <w:rPr>
          <w:rFonts w:hint="eastAsia"/>
          <w:kern w:val="0"/>
          <w:sz w:val="24"/>
        </w:rPr>
        <w:t>其</w:t>
      </w:r>
      <w:r>
        <w:rPr>
          <w:kern w:val="0"/>
          <w:sz w:val="24"/>
        </w:rPr>
        <w:t>研究内容紧跟国际科技发展前沿，涉及基因编辑、合成生物学、单细胞测序等尖端技术</w:t>
      </w:r>
      <w:r>
        <w:rPr>
          <w:rFonts w:hint="eastAsia"/>
          <w:kern w:val="0"/>
          <w:sz w:val="24"/>
        </w:rPr>
        <w:t>，</w:t>
      </w:r>
      <w:r>
        <w:rPr>
          <w:kern w:val="0"/>
          <w:sz w:val="24"/>
        </w:rPr>
        <w:t>可应用于医药研发、农业生产、环境保护等多个领域。</w:t>
      </w:r>
      <w:r>
        <w:rPr>
          <w:rFonts w:hint="eastAsia"/>
          <w:kern w:val="0"/>
          <w:sz w:val="24"/>
        </w:rPr>
        <w:t>相关研究和学生培养工作由河北大学与中国科学院动物研究所、中国科学院微生物研究所，以及中国人民解放军军事医学科学院等单位联合开展。</w:t>
      </w:r>
    </w:p>
    <w:p w14:paraId="0487ECEA">
      <w:pPr>
        <w:pStyle w:val="13"/>
        <w:numPr>
          <w:ilvl w:val="0"/>
          <w:numId w:val="1"/>
        </w:numPr>
        <w:spacing w:line="360" w:lineRule="auto"/>
        <w:ind w:firstLineChars="0"/>
        <w:rPr>
          <w:rFonts w:eastAsia="黑体"/>
          <w:bCs/>
          <w:sz w:val="28"/>
          <w:szCs w:val="28"/>
        </w:rPr>
      </w:pPr>
      <w:r>
        <w:rPr>
          <w:rFonts w:eastAsia="黑体"/>
          <w:bCs/>
          <w:sz w:val="28"/>
          <w:szCs w:val="28"/>
        </w:rPr>
        <w:t>研究方向</w:t>
      </w:r>
    </w:p>
    <w:p w14:paraId="37040110">
      <w:pPr>
        <w:pStyle w:val="13"/>
        <w:widowControl/>
        <w:numPr>
          <w:ilvl w:val="0"/>
          <w:numId w:val="2"/>
        </w:numPr>
        <w:shd w:val="clear" w:color="auto" w:fill="FFFFFF"/>
        <w:spacing w:line="360" w:lineRule="auto"/>
        <w:ind w:left="0" w:firstLine="424" w:firstLineChars="176"/>
        <w:rPr>
          <w:b/>
          <w:bCs/>
          <w:kern w:val="0"/>
          <w:sz w:val="24"/>
        </w:rPr>
      </w:pPr>
      <w:r>
        <w:rPr>
          <w:b/>
          <w:bCs/>
          <w:kern w:val="0"/>
          <w:sz w:val="24"/>
        </w:rPr>
        <w:t>蛋白质组及生物信息学：</w:t>
      </w:r>
      <w:r>
        <w:rPr>
          <w:kern w:val="0"/>
          <w:sz w:val="24"/>
        </w:rPr>
        <w:t>主要开展蛋白质组学、代谢组学、蛋白质功能等创新研究。本</w:t>
      </w:r>
      <w:r>
        <w:rPr>
          <w:rFonts w:hint="eastAsia"/>
          <w:kern w:val="0"/>
          <w:sz w:val="24"/>
        </w:rPr>
        <w:t>研究</w:t>
      </w:r>
      <w:r>
        <w:rPr>
          <w:kern w:val="0"/>
          <w:sz w:val="24"/>
        </w:rPr>
        <w:t>方向具备世界领先的蛋白质组大数据产出能力，同时建有高通量、高精度的蛋白质组研究平台、蛋白质功能分析平台、生物信息学平台、转化医学平台以及实验动物中心、生物样本库等系列配套设施，形成了系统完善的蛋白质研究体系。其研究成果将广泛应用和服务于疾病诊断标志物、新药创制、传染病防治、农作物改良、生物能源转化等多个领域的发展。</w:t>
      </w:r>
    </w:p>
    <w:p w14:paraId="7C256AEA">
      <w:pPr>
        <w:pStyle w:val="13"/>
        <w:widowControl/>
        <w:numPr>
          <w:ilvl w:val="0"/>
          <w:numId w:val="2"/>
        </w:numPr>
        <w:shd w:val="clear" w:color="auto" w:fill="FFFFFF"/>
        <w:spacing w:line="360" w:lineRule="auto"/>
        <w:ind w:left="0" w:firstLine="424" w:firstLineChars="176"/>
        <w:rPr>
          <w:kern w:val="0"/>
          <w:sz w:val="24"/>
        </w:rPr>
      </w:pPr>
      <w:r>
        <w:rPr>
          <w:b/>
          <w:bCs/>
          <w:kern w:val="0"/>
          <w:sz w:val="24"/>
        </w:rPr>
        <w:t>动物生物学：</w:t>
      </w:r>
      <w:r>
        <w:rPr>
          <w:kern w:val="0"/>
          <w:sz w:val="24"/>
        </w:rPr>
        <w:t>聚焦野生动物与模式动物，以现代动物学前沿研究为核心，紧密围绕人口健康、现代农业发展及生物多样性保护等国家重大战略需求，系统开展创新性研究。在细胞编程与重编程机制解析、生殖发育动态调控网络、生物灾害爆发机理及绿色防控技术、物种濒危机制与保护策略等研究领域处于国际领先地位，引领学科发展方向；在动物分类与进化理论构建、农业虫鼠害综合防控体系完善、濒危物种拯救与种群复壮等关键领域，发挥着不可替代的支撑作用。</w:t>
      </w:r>
    </w:p>
    <w:p w14:paraId="4C405589">
      <w:pPr>
        <w:pStyle w:val="13"/>
        <w:widowControl/>
        <w:numPr>
          <w:ilvl w:val="0"/>
          <w:numId w:val="2"/>
        </w:numPr>
        <w:shd w:val="clear" w:color="auto" w:fill="FFFFFF"/>
        <w:spacing w:line="360" w:lineRule="auto"/>
        <w:ind w:left="0" w:firstLine="424" w:firstLineChars="176"/>
        <w:rPr>
          <w:rFonts w:eastAsiaTheme="minorEastAsia"/>
          <w:sz w:val="24"/>
        </w:rPr>
      </w:pPr>
      <w:r>
        <w:rPr>
          <w:b/>
          <w:bCs/>
          <w:kern w:val="0"/>
          <w:sz w:val="24"/>
        </w:rPr>
        <w:t>微生物学：</w:t>
      </w:r>
      <w:r>
        <w:rPr>
          <w:rFonts w:hint="eastAsia"/>
          <w:kern w:val="0"/>
          <w:sz w:val="24"/>
        </w:rPr>
        <w:t>本方向坚持“微生物、高科技、大产业”的战略定位，致力于成为微生物领域重要的国家战略科技力量，面向世界科技前沿、人民生命健康和经济社会可持续发展，针对具有战略意义的微生物类群，围绕微生物多样性及资源深度挖掘和病原微生物感染免疫与关键防控技术，开展前瞻性、战略性的基础研究和关键技术研究，努力促进基础理论和关键核心技术突破，带动新兴产业发展，为实现高水平科技自立自强做出重要贡献。</w:t>
      </w:r>
    </w:p>
    <w:p w14:paraId="3F38C9E0">
      <w:pPr>
        <w:spacing w:line="360" w:lineRule="auto"/>
        <w:ind w:firstLine="560" w:firstLineChars="200"/>
        <w:rPr>
          <w:rFonts w:eastAsia="黑体"/>
          <w:bCs/>
          <w:sz w:val="28"/>
          <w:szCs w:val="28"/>
        </w:rPr>
      </w:pPr>
      <w:r>
        <w:rPr>
          <w:rFonts w:eastAsia="黑体"/>
          <w:bCs/>
          <w:sz w:val="28"/>
          <w:szCs w:val="28"/>
        </w:rPr>
        <w:t>四、学制及学习年限</w:t>
      </w:r>
    </w:p>
    <w:p w14:paraId="00A5626E">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63BDD772">
      <w:pPr>
        <w:spacing w:line="360" w:lineRule="auto"/>
        <w:ind w:firstLine="560" w:firstLineChars="200"/>
        <w:rPr>
          <w:rFonts w:eastAsia="黑体"/>
          <w:bCs/>
          <w:sz w:val="28"/>
          <w:szCs w:val="28"/>
        </w:rPr>
      </w:pPr>
      <w:r>
        <w:rPr>
          <w:rFonts w:eastAsia="黑体"/>
          <w:bCs/>
          <w:sz w:val="28"/>
          <w:szCs w:val="28"/>
        </w:rPr>
        <w:t>五、培养目标</w:t>
      </w:r>
    </w:p>
    <w:p w14:paraId="04FF272E">
      <w:pPr>
        <w:spacing w:line="360" w:lineRule="auto"/>
        <w:ind w:firstLine="480"/>
        <w:rPr>
          <w:rFonts w:hint="eastAsia" w:asciiTheme="minorEastAsia" w:hAnsiTheme="minorEastAsia" w:eastAsiaTheme="minorEastAsia"/>
          <w:iCs/>
          <w:sz w:val="24"/>
        </w:rPr>
      </w:pPr>
      <w:r>
        <w:rPr>
          <w:rFonts w:hint="eastAsia" w:asciiTheme="minorEastAsia" w:hAnsiTheme="minorEastAsia" w:eastAsiaTheme="minorEastAsia"/>
          <w:iCs/>
          <w:sz w:val="24"/>
        </w:rPr>
        <w:t>培养掌握现代生物学基础理论和专业知识、具有较强科研能力和国家化视野的生物学高层次人才。</w:t>
      </w:r>
    </w:p>
    <w:p w14:paraId="4B8ECAD4">
      <w:pPr>
        <w:spacing w:line="360" w:lineRule="auto"/>
        <w:ind w:firstLine="480"/>
        <w:rPr>
          <w:rFonts w:hint="eastAsia" w:asciiTheme="minorEastAsia" w:hAnsiTheme="minorEastAsia" w:eastAsiaTheme="minorEastAsia"/>
          <w:iCs/>
          <w:sz w:val="24"/>
        </w:rPr>
      </w:pPr>
      <w:r>
        <w:rPr>
          <w:rFonts w:hint="eastAsia" w:asciiTheme="minorEastAsia" w:hAnsiTheme="minorEastAsia" w:eastAsiaTheme="minorEastAsia"/>
          <w:iCs/>
          <w:sz w:val="24"/>
        </w:rPr>
        <w:t>具体要求如下：</w:t>
      </w:r>
    </w:p>
    <w:p w14:paraId="40080CEB">
      <w:pPr>
        <w:spacing w:line="360" w:lineRule="auto"/>
        <w:ind w:firstLine="480"/>
        <w:rPr>
          <w:rFonts w:hint="eastAsia" w:asciiTheme="minorEastAsia" w:hAnsiTheme="minorEastAsia" w:eastAsiaTheme="minorEastAsia"/>
          <w:iCs/>
          <w:sz w:val="24"/>
        </w:rPr>
      </w:pPr>
      <w:r>
        <w:rPr>
          <w:rFonts w:asciiTheme="minorEastAsia" w:hAnsiTheme="minorEastAsia" w:eastAsiaTheme="minorEastAsia"/>
          <w:iCs/>
          <w:sz w:val="24"/>
        </w:rPr>
        <w:t>1.树立正确的中国特色社会主义核心价值观，具有坚定的理想信念，高尚的道德情操，优良的学术作风，高度的社会责任感。</w:t>
      </w:r>
    </w:p>
    <w:p w14:paraId="0FE46E6A">
      <w:pPr>
        <w:spacing w:line="360" w:lineRule="auto"/>
        <w:ind w:firstLine="480"/>
        <w:rPr>
          <w:rFonts w:hint="eastAsia" w:asciiTheme="minorEastAsia" w:hAnsiTheme="minorEastAsia" w:eastAsiaTheme="minorEastAsia"/>
          <w:iCs/>
          <w:sz w:val="24"/>
        </w:rPr>
      </w:pPr>
      <w:r>
        <w:rPr>
          <w:rFonts w:asciiTheme="minorEastAsia" w:hAnsiTheme="minorEastAsia" w:eastAsiaTheme="minorEastAsia"/>
          <w:iCs/>
          <w:sz w:val="24"/>
        </w:rPr>
        <w:t>2</w:t>
      </w:r>
      <w:r>
        <w:rPr>
          <w:rFonts w:hint="eastAsia" w:asciiTheme="minorEastAsia" w:hAnsiTheme="minorEastAsia" w:eastAsiaTheme="minorEastAsia"/>
          <w:iCs/>
          <w:sz w:val="24"/>
        </w:rPr>
        <w:t>．具备广博、扎实的生物学基础知识，掌握专业领域的科学理论和实验技能，熟悉研究方向的最新进展和发展趋势。</w:t>
      </w:r>
    </w:p>
    <w:p w14:paraId="496C8038">
      <w:pPr>
        <w:spacing w:line="360" w:lineRule="auto"/>
        <w:ind w:firstLine="480"/>
        <w:rPr>
          <w:rFonts w:hint="eastAsia" w:asciiTheme="minorEastAsia" w:hAnsiTheme="minorEastAsia" w:eastAsiaTheme="minorEastAsia"/>
          <w:iCs/>
          <w:sz w:val="24"/>
        </w:rPr>
      </w:pPr>
      <w:r>
        <w:rPr>
          <w:rFonts w:asciiTheme="minorEastAsia" w:hAnsiTheme="minorEastAsia" w:eastAsiaTheme="minorEastAsia"/>
          <w:iCs/>
          <w:sz w:val="24"/>
        </w:rPr>
        <w:t>3.至少掌握一门外国语，能熟练阅读本专业的外文资料，具有撰写学术论文和进行国际学术交流的能力。</w:t>
      </w:r>
    </w:p>
    <w:p w14:paraId="627FC885">
      <w:pPr>
        <w:spacing w:line="360" w:lineRule="auto"/>
        <w:ind w:firstLine="480"/>
        <w:rPr>
          <w:rFonts w:hint="eastAsia" w:asciiTheme="minorEastAsia" w:hAnsiTheme="minorEastAsia" w:eastAsiaTheme="minorEastAsia"/>
          <w:iCs/>
          <w:sz w:val="24"/>
        </w:rPr>
      </w:pPr>
      <w:r>
        <w:rPr>
          <w:rFonts w:asciiTheme="minorEastAsia" w:hAnsiTheme="minorEastAsia" w:eastAsiaTheme="minorEastAsia"/>
          <w:iCs/>
          <w:sz w:val="24"/>
        </w:rPr>
        <w:t>4</w:t>
      </w:r>
      <w:r>
        <w:rPr>
          <w:rFonts w:hint="eastAsia" w:asciiTheme="minorEastAsia" w:hAnsiTheme="minorEastAsia" w:eastAsiaTheme="minorEastAsia"/>
          <w:iCs/>
          <w:sz w:val="24"/>
        </w:rPr>
        <w:t>．掌握科学研究的全过程，具备独立进行科学研究的能力。</w:t>
      </w:r>
    </w:p>
    <w:p w14:paraId="5B3C90E6">
      <w:pPr>
        <w:spacing w:line="360" w:lineRule="auto"/>
        <w:ind w:firstLine="480"/>
        <w:rPr>
          <w:rFonts w:hint="eastAsia" w:asciiTheme="minorEastAsia" w:hAnsiTheme="minorEastAsia" w:eastAsiaTheme="minorEastAsia"/>
          <w:iCs/>
          <w:sz w:val="24"/>
        </w:rPr>
      </w:pPr>
      <w:r>
        <w:rPr>
          <w:rFonts w:asciiTheme="minorEastAsia" w:hAnsiTheme="minorEastAsia" w:eastAsiaTheme="minorEastAsia"/>
          <w:iCs/>
          <w:sz w:val="24"/>
        </w:rPr>
        <w:t>5.具有良好的团队意识和团队合作精神。</w:t>
      </w:r>
    </w:p>
    <w:p w14:paraId="3D8FA7B0">
      <w:pPr>
        <w:spacing w:line="360" w:lineRule="auto"/>
        <w:ind w:firstLine="480"/>
        <w:rPr>
          <w:rFonts w:hint="eastAsia" w:asciiTheme="minorEastAsia" w:hAnsiTheme="minorEastAsia" w:eastAsiaTheme="minorEastAsia"/>
          <w:iCs/>
          <w:sz w:val="24"/>
        </w:rPr>
      </w:pPr>
      <w:r>
        <w:rPr>
          <w:rFonts w:asciiTheme="minorEastAsia" w:hAnsiTheme="minorEastAsia" w:eastAsiaTheme="minorEastAsia"/>
          <w:iCs/>
          <w:sz w:val="24"/>
        </w:rPr>
        <w:t>6.具有健康的身体和良好的心理素质。</w:t>
      </w:r>
    </w:p>
    <w:p w14:paraId="4B20E680">
      <w:pPr>
        <w:spacing w:line="360" w:lineRule="auto"/>
        <w:ind w:firstLine="480"/>
        <w:rPr>
          <w:rFonts w:hint="eastAsia" w:asciiTheme="minorEastAsia" w:hAnsiTheme="minorEastAsia" w:eastAsiaTheme="minorEastAsia"/>
          <w:iCs/>
          <w:sz w:val="24"/>
        </w:rPr>
      </w:pPr>
      <w:r>
        <w:rPr>
          <w:rFonts w:asciiTheme="minorEastAsia" w:hAnsiTheme="minorEastAsia" w:eastAsiaTheme="minorEastAsia"/>
          <w:iCs/>
          <w:sz w:val="24"/>
        </w:rPr>
        <w:t>7</w:t>
      </w:r>
      <w:r>
        <w:rPr>
          <w:rFonts w:hint="eastAsia" w:asciiTheme="minorEastAsia" w:hAnsiTheme="minorEastAsia" w:eastAsiaTheme="minorEastAsia"/>
          <w:iCs/>
          <w:sz w:val="24"/>
        </w:rPr>
        <w:t>. 培养德智体美劳全面发展的社会主义事业接班人。</w:t>
      </w:r>
    </w:p>
    <w:p w14:paraId="483794FD">
      <w:pPr>
        <w:spacing w:line="360" w:lineRule="auto"/>
        <w:ind w:firstLine="560" w:firstLineChars="200"/>
        <w:rPr>
          <w:rFonts w:eastAsia="黑体"/>
          <w:bCs/>
          <w:sz w:val="28"/>
          <w:szCs w:val="28"/>
        </w:rPr>
      </w:pPr>
      <w:r>
        <w:rPr>
          <w:rFonts w:eastAsia="黑体"/>
          <w:bCs/>
          <w:sz w:val="28"/>
          <w:szCs w:val="28"/>
        </w:rPr>
        <w:t>六、培养方式</w:t>
      </w:r>
    </w:p>
    <w:p w14:paraId="175B9B9C">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生物学研究生的培养采取导师负责制，培养过程注重理论与实践结合，主要方式包括：</w:t>
      </w:r>
    </w:p>
    <w:p w14:paraId="306D6027">
      <w:pPr>
        <w:spacing w:line="360" w:lineRule="auto"/>
        <w:ind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课程学习</w:t>
      </w:r>
    </w:p>
    <w:p w14:paraId="6F0E7FA6">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研究生需修满至少24学分，包括公共课（思想政治、英语）、专业必修课（分子生物学、生物化学技术等）及选修课（如生物信息学、高级实验技术等）。</w:t>
      </w:r>
    </w:p>
    <w:p w14:paraId="1A43E816">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跨学科或同等学力者需补修本科主干课程（如生物化学、遗传学）。</w:t>
      </w:r>
    </w:p>
    <w:p w14:paraId="3A2B534F">
      <w:pPr>
        <w:spacing w:line="360" w:lineRule="auto"/>
        <w:ind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科研训练</w:t>
      </w:r>
    </w:p>
    <w:p w14:paraId="2B27C3D5">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研究生需参与课题研究，完成开题报告、中期考核及学位论文，发表学术论文或撰写一篇可投稿的英文论文搞。</w:t>
      </w:r>
    </w:p>
    <w:p w14:paraId="2F909CD2">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通过学术讲座（需参加10次以上）、讨论班（每两周一次）及学术报告（至少4次）提升科研交流能力。</w:t>
      </w:r>
    </w:p>
    <w:p w14:paraId="3C451B5E">
      <w:pPr>
        <w:spacing w:line="360" w:lineRule="auto"/>
        <w:ind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考核与论文</w:t>
      </w:r>
    </w:p>
    <w:p w14:paraId="4237CC1A">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实行中期筛选制度，考核不合格者需延期或淘汰。</w:t>
      </w:r>
    </w:p>
    <w:p w14:paraId="719DCAF3">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学位论文强调创新性，需通过预答辩、盲审及正式答辩。</w:t>
      </w:r>
    </w:p>
    <w:p w14:paraId="4D7FAD62">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该培养方式旨在培养具备扎实理论基础、独立科研能力及创新思维的高层次人才，适应科研、医药、农业等多领域需求。</w:t>
      </w:r>
    </w:p>
    <w:p w14:paraId="362B7207">
      <w:pPr>
        <w:spacing w:line="360" w:lineRule="auto"/>
        <w:ind w:firstLine="560" w:firstLineChars="200"/>
        <w:rPr>
          <w:rFonts w:eastAsia="黑体"/>
          <w:bCs/>
          <w:sz w:val="28"/>
          <w:szCs w:val="28"/>
        </w:rPr>
      </w:pPr>
      <w:r>
        <w:rPr>
          <w:rFonts w:eastAsia="黑体"/>
          <w:bCs/>
          <w:sz w:val="28"/>
          <w:szCs w:val="28"/>
        </w:rPr>
        <w:t>七、中期筛选</w:t>
      </w:r>
    </w:p>
    <w:p w14:paraId="3BC23FD3">
      <w:pPr>
        <w:spacing w:before="156" w:beforeLines="50" w:line="360" w:lineRule="auto"/>
        <w:ind w:firstLine="480" w:firstLineChars="200"/>
        <w:rPr>
          <w:rFonts w:eastAsiaTheme="minorEastAsia"/>
          <w:sz w:val="24"/>
        </w:rPr>
      </w:pPr>
      <w:bookmarkStart w:id="0" w:name="_Toc59002625"/>
      <w:r>
        <w:rPr>
          <w:rFonts w:eastAsiaTheme="minorEastAsia"/>
          <w:bCs/>
          <w:sz w:val="24"/>
        </w:rPr>
        <w:t>研究生完成培养方案规定的课程学习</w:t>
      </w:r>
      <w:r>
        <w:rPr>
          <w:rFonts w:hint="eastAsia" w:eastAsiaTheme="minorEastAsia"/>
          <w:bCs/>
          <w:sz w:val="24"/>
        </w:rPr>
        <w:t>、</w:t>
      </w:r>
      <w:r>
        <w:rPr>
          <w:rFonts w:eastAsiaTheme="minorEastAsia"/>
          <w:bCs/>
          <w:sz w:val="24"/>
        </w:rPr>
        <w:t>考核成绩合格</w:t>
      </w:r>
      <w:r>
        <w:rPr>
          <w:rFonts w:hint="eastAsia" w:eastAsiaTheme="minorEastAsia"/>
          <w:bCs/>
          <w:sz w:val="24"/>
        </w:rPr>
        <w:t>、</w:t>
      </w:r>
      <w:r>
        <w:rPr>
          <w:rFonts w:eastAsiaTheme="minorEastAsia"/>
          <w:bCs/>
          <w:sz w:val="24"/>
        </w:rPr>
        <w:t>获得规定的学分</w:t>
      </w:r>
      <w:r>
        <w:rPr>
          <w:rFonts w:hint="eastAsia" w:eastAsiaTheme="minorEastAsia"/>
          <w:bCs/>
          <w:sz w:val="24"/>
        </w:rPr>
        <w:t>后，</w:t>
      </w:r>
      <w:bookmarkEnd w:id="0"/>
      <w:r>
        <w:rPr>
          <w:rFonts w:hint="eastAsia" w:eastAsiaTheme="minorEastAsia"/>
          <w:bCs/>
          <w:sz w:val="24"/>
        </w:rPr>
        <w:t>按照学校相关文件组织开展中期筛选工作。</w:t>
      </w:r>
    </w:p>
    <w:p w14:paraId="26174DDB">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71299FB">
      <w:pPr>
        <w:widowControl/>
        <w:spacing w:line="360" w:lineRule="auto"/>
        <w:ind w:firstLine="480"/>
        <w:rPr>
          <w:i/>
          <w:color w:val="FF0000"/>
          <w:kern w:val="0"/>
          <w:sz w:val="18"/>
          <w:szCs w:val="18"/>
        </w:rPr>
      </w:pPr>
      <w:r>
        <w:rPr>
          <w:bCs/>
          <w:color w:val="222222"/>
          <w:kern w:val="0"/>
          <w:sz w:val="24"/>
        </w:rPr>
        <w:t>1.</w:t>
      </w:r>
      <w:r>
        <w:rPr>
          <w:rFonts w:hint="eastAsia"/>
          <w:bCs/>
          <w:color w:val="222222"/>
          <w:kern w:val="0"/>
          <w:sz w:val="24"/>
        </w:rPr>
        <w:t xml:space="preserve"> </w:t>
      </w:r>
      <w:r>
        <w:rPr>
          <w:bCs/>
          <w:color w:val="222222"/>
          <w:kern w:val="0"/>
          <w:sz w:val="24"/>
        </w:rPr>
        <w:t>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kern w:val="0"/>
          <w:sz w:val="24"/>
        </w:rPr>
        <w:t>学位（毕业）论文应当表明作者具有独立从事学术研究工作的能力，鼓励硕士研究生参与科学研究，取得创新性成果。</w:t>
      </w:r>
    </w:p>
    <w:p w14:paraId="4FAA20B4">
      <w:pPr>
        <w:widowControl/>
        <w:spacing w:line="360" w:lineRule="auto"/>
        <w:ind w:firstLine="480"/>
        <w:rPr>
          <w:color w:val="222222"/>
          <w:kern w:val="0"/>
          <w:sz w:val="18"/>
          <w:szCs w:val="18"/>
        </w:rPr>
      </w:pPr>
      <w:r>
        <w:rPr>
          <w:bCs/>
          <w:color w:val="222222"/>
          <w:kern w:val="0"/>
          <w:sz w:val="24"/>
        </w:rPr>
        <w:t>2.</w:t>
      </w:r>
      <w:r>
        <w:rPr>
          <w:rFonts w:hint="eastAsia"/>
          <w:bCs/>
          <w:color w:val="222222"/>
          <w:kern w:val="0"/>
          <w:sz w:val="24"/>
        </w:rPr>
        <w:t xml:space="preserve"> </w:t>
      </w:r>
      <w:r>
        <w:rPr>
          <w:bCs/>
          <w:color w:val="222222"/>
          <w:kern w:val="0"/>
          <w:sz w:val="24"/>
        </w:rPr>
        <w:t>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r>
        <w:rPr>
          <w:iCs/>
          <w:kern w:val="0"/>
          <w:sz w:val="24"/>
        </w:rPr>
        <w:t>原则上在入学后第3学期（最迟不超过第4学期）完成开题。开题由3-5名具有高级专业技术职务人员参加，以学术报告的方式进行。</w:t>
      </w:r>
    </w:p>
    <w:p w14:paraId="4CB57028">
      <w:pPr>
        <w:widowControl/>
        <w:spacing w:line="360" w:lineRule="auto"/>
        <w:ind w:firstLine="480"/>
        <w:rPr>
          <w:i/>
          <w:color w:val="FF0000"/>
          <w:kern w:val="0"/>
          <w:sz w:val="24"/>
        </w:rPr>
      </w:pPr>
      <w:r>
        <w:rPr>
          <w:bCs/>
          <w:color w:val="222222"/>
          <w:kern w:val="0"/>
          <w:sz w:val="24"/>
        </w:rPr>
        <w:t>3.</w:t>
      </w:r>
      <w:r>
        <w:rPr>
          <w:rFonts w:hint="eastAsia"/>
          <w:bCs/>
          <w:color w:val="222222"/>
          <w:kern w:val="0"/>
          <w:sz w:val="24"/>
        </w:rPr>
        <w:t xml:space="preserve"> </w:t>
      </w:r>
      <w:r>
        <w:rPr>
          <w:bCs/>
          <w:color w:val="222222"/>
          <w:kern w:val="0"/>
          <w:sz w:val="24"/>
        </w:rPr>
        <w:t>中期进展报告：</w:t>
      </w:r>
      <w:r>
        <w:rPr>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79C9568">
      <w:pPr>
        <w:widowControl/>
        <w:spacing w:line="360" w:lineRule="auto"/>
        <w:ind w:firstLine="480"/>
        <w:jc w:val="left"/>
        <w:rPr>
          <w:kern w:val="0"/>
          <w:sz w:val="24"/>
        </w:rPr>
      </w:pPr>
      <w:r>
        <w:rPr>
          <w:bCs/>
          <w:color w:val="222222"/>
          <w:kern w:val="0"/>
          <w:sz w:val="24"/>
        </w:rPr>
        <w:t>4.</w:t>
      </w:r>
      <w:r>
        <w:rPr>
          <w:rFonts w:hint="eastAsia"/>
          <w:bCs/>
          <w:color w:val="222222"/>
          <w:kern w:val="0"/>
          <w:sz w:val="24"/>
        </w:rPr>
        <w:t xml:space="preserve"> </w:t>
      </w:r>
      <w:r>
        <w:rPr>
          <w:bCs/>
          <w:color w:val="222222"/>
          <w:kern w:val="0"/>
          <w:sz w:val="24"/>
        </w:rPr>
        <w:t>学位申请：</w:t>
      </w:r>
      <w:r>
        <w:rPr>
          <w:kern w:val="0"/>
          <w:sz w:val="24"/>
        </w:rPr>
        <w:t>达到学位授予条件的申请人，经导师同意后，应于答辩前三个月，向所属学位评定分委员会提出学位申请，提交学位申请材料。</w:t>
      </w:r>
    </w:p>
    <w:p w14:paraId="7D1C9FAD">
      <w:pPr>
        <w:widowControl/>
        <w:spacing w:line="360" w:lineRule="auto"/>
        <w:ind w:firstLine="480"/>
        <w:rPr>
          <w:i/>
          <w:color w:val="FF0000"/>
          <w:kern w:val="0"/>
          <w:sz w:val="24"/>
        </w:rPr>
      </w:pPr>
      <w:r>
        <w:rPr>
          <w:bCs/>
          <w:color w:val="222222"/>
          <w:kern w:val="0"/>
          <w:sz w:val="24"/>
        </w:rPr>
        <w:t>5.</w:t>
      </w:r>
      <w:r>
        <w:rPr>
          <w:rFonts w:hint="eastAsia"/>
          <w:bCs/>
          <w:color w:val="222222"/>
          <w:kern w:val="0"/>
          <w:sz w:val="24"/>
        </w:rPr>
        <w:t xml:space="preserve"> </w:t>
      </w:r>
      <w:r>
        <w:rPr>
          <w:bCs/>
          <w:color w:val="222222"/>
          <w:kern w:val="0"/>
          <w:sz w:val="24"/>
        </w:rPr>
        <w:t>预答辩：</w:t>
      </w:r>
      <w:r>
        <w:rPr>
          <w:kern w:val="0"/>
          <w:sz w:val="24"/>
        </w:rPr>
        <w:t>学位申请人须进行学位论文预答辩。预答辩通过者，方可进入学位论文评阅、学位论文答辩等环节。学位（毕业）论文预答辩在正式答辩前3个月进行。</w:t>
      </w:r>
    </w:p>
    <w:p w14:paraId="4E26BB70">
      <w:pPr>
        <w:widowControl/>
        <w:spacing w:line="360" w:lineRule="auto"/>
        <w:ind w:firstLine="480"/>
        <w:rPr>
          <w:color w:val="222222"/>
          <w:kern w:val="0"/>
          <w:sz w:val="24"/>
        </w:rPr>
      </w:pPr>
      <w:r>
        <w:rPr>
          <w:bCs/>
          <w:color w:val="222222"/>
          <w:kern w:val="0"/>
          <w:sz w:val="24"/>
        </w:rPr>
        <w:t>6.</w:t>
      </w:r>
      <w:r>
        <w:rPr>
          <w:rFonts w:hint="eastAsia"/>
          <w:bCs/>
          <w:color w:val="222222"/>
          <w:kern w:val="0"/>
          <w:sz w:val="24"/>
        </w:rPr>
        <w:t xml:space="preserve"> </w:t>
      </w:r>
      <w:r>
        <w:rPr>
          <w:bCs/>
          <w:color w:val="222222"/>
          <w:kern w:val="0"/>
          <w:sz w:val="24"/>
        </w:rPr>
        <w:t>论文评阅：</w:t>
      </w:r>
      <w:r>
        <w:rPr>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3EF1A0D0">
      <w:pPr>
        <w:widowControl/>
        <w:spacing w:line="360" w:lineRule="auto"/>
        <w:ind w:firstLine="480"/>
        <w:jc w:val="left"/>
        <w:rPr>
          <w:rFonts w:eastAsiaTheme="minorEastAsia"/>
          <w:i/>
          <w:color w:val="FF0000"/>
          <w:sz w:val="24"/>
        </w:rPr>
      </w:pPr>
      <w:r>
        <w:rPr>
          <w:bCs/>
          <w:color w:val="222222"/>
          <w:kern w:val="0"/>
          <w:sz w:val="24"/>
        </w:rPr>
        <w:t>7.</w:t>
      </w:r>
      <w:r>
        <w:rPr>
          <w:rFonts w:hint="eastAsia"/>
          <w:bCs/>
          <w:color w:val="222222"/>
          <w:kern w:val="0"/>
          <w:sz w:val="24"/>
        </w:rPr>
        <w:t xml:space="preserve"> </w:t>
      </w:r>
      <w:r>
        <w:rPr>
          <w:bCs/>
          <w:color w:val="222222"/>
          <w:kern w:val="0"/>
          <w:sz w:val="24"/>
        </w:rPr>
        <w:t>答辩：学位（毕业）论文答辩按照</w:t>
      </w:r>
      <w:r>
        <w:rPr>
          <w:color w:val="222222"/>
          <w:kern w:val="0"/>
          <w:sz w:val="24"/>
        </w:rPr>
        <w:t>《河北大学博士、硕士学位授予工作实施细则》（校政字〔2025〕7号）执行。</w:t>
      </w:r>
    </w:p>
    <w:p w14:paraId="56B31F55">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30C5DC91">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31AB749A">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Cs/>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1</w:t>
      </w:r>
      <w:r>
        <w:rPr>
          <w:rFonts w:eastAsiaTheme="minorEastAsia"/>
          <w:color w:val="000000"/>
          <w:sz w:val="24"/>
        </w:rPr>
        <w:t>次。</w:t>
      </w:r>
    </w:p>
    <w:p w14:paraId="19A50E31">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C1E23E6">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5B540DF0">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42A792DE">
      <w:pPr>
        <w:spacing w:line="360" w:lineRule="auto"/>
        <w:ind w:firstLine="480" w:firstLineChars="200"/>
        <w:rPr>
          <w:rFonts w:eastAsiaTheme="minorEastAsia"/>
          <w:sz w:val="24"/>
        </w:rPr>
      </w:pPr>
      <w:r>
        <w:rPr>
          <w:rFonts w:hint="eastAsia" w:eastAsiaTheme="minorEastAsia"/>
          <w:sz w:val="24"/>
        </w:rPr>
        <w:t>研究内容上强调原创性和实际价值，注重成果的系统性和完整性，鼓励学科交叉创新，鼓励在专业领域学术期刊发表论文。</w:t>
      </w:r>
    </w:p>
    <w:p w14:paraId="31BA30F5">
      <w:pPr>
        <w:spacing w:line="360" w:lineRule="auto"/>
        <w:ind w:firstLine="560" w:firstLineChars="200"/>
        <w:rPr>
          <w:rFonts w:eastAsia="黑体"/>
          <w:bCs/>
          <w:sz w:val="28"/>
          <w:szCs w:val="28"/>
        </w:rPr>
      </w:pPr>
      <w:r>
        <w:rPr>
          <w:rFonts w:eastAsia="黑体"/>
          <w:bCs/>
          <w:sz w:val="28"/>
          <w:szCs w:val="28"/>
        </w:rPr>
        <w:t>十一、学位授予</w:t>
      </w:r>
    </w:p>
    <w:p w14:paraId="4EF4E678">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243A5DAA">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E2814F4">
      <w:pPr>
        <w:spacing w:line="360" w:lineRule="auto"/>
        <w:ind w:firstLine="480" w:firstLineChars="200"/>
        <w:rPr>
          <w:rFonts w:eastAsiaTheme="minorEastAsia"/>
          <w:sz w:val="24"/>
        </w:rPr>
      </w:pPr>
      <w:r>
        <w:rPr>
          <w:rFonts w:eastAsiaTheme="minorEastAsia"/>
          <w:sz w:val="24"/>
        </w:rPr>
        <w:t>本专业最低毕业学分为</w:t>
      </w:r>
      <w:r>
        <w:rPr>
          <w:rFonts w:hint="eastAsia" w:eastAsiaTheme="minorEastAsia"/>
          <w:sz w:val="24"/>
        </w:rPr>
        <w:t>24</w:t>
      </w:r>
      <w:r>
        <w:rPr>
          <w:rFonts w:eastAsiaTheme="minorEastAsia"/>
          <w:sz w:val="24"/>
        </w:rPr>
        <w:t>分，其中学位课</w:t>
      </w:r>
      <w:r>
        <w:rPr>
          <w:rFonts w:hint="eastAsia" w:eastAsiaTheme="minorEastAsia"/>
          <w:sz w:val="24"/>
        </w:rPr>
        <w:t>16</w:t>
      </w:r>
      <w:r>
        <w:rPr>
          <w:rFonts w:eastAsiaTheme="minorEastAsia"/>
          <w:sz w:val="24"/>
        </w:rPr>
        <w:t>学分，非学位课</w:t>
      </w:r>
      <w:r>
        <w:rPr>
          <w:rFonts w:hint="eastAsia" w:eastAsiaTheme="minorEastAsia"/>
          <w:sz w:val="24"/>
        </w:rPr>
        <w:t>7</w:t>
      </w:r>
      <w:r>
        <w:rPr>
          <w:rFonts w:eastAsiaTheme="minorEastAsia"/>
          <w:sz w:val="24"/>
        </w:rPr>
        <w:t>学分，必修环节</w:t>
      </w:r>
      <w:r>
        <w:rPr>
          <w:rFonts w:hint="eastAsia" w:eastAsiaTheme="minorEastAsia"/>
          <w:sz w:val="24"/>
        </w:rPr>
        <w:t>1</w:t>
      </w:r>
      <w:r>
        <w:rPr>
          <w:rFonts w:eastAsiaTheme="minorEastAsia"/>
          <w:sz w:val="24"/>
        </w:rPr>
        <w:t>分。</w:t>
      </w:r>
    </w:p>
    <w:p w14:paraId="12B8B873">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3BB6DA1A">
      <w:pPr>
        <w:spacing w:line="360" w:lineRule="auto"/>
        <w:rPr>
          <w:rFonts w:eastAsiaTheme="minorEastAsia"/>
          <w:b/>
          <w:bCs/>
          <w:sz w:val="24"/>
        </w:rPr>
      </w:pPr>
      <w:r>
        <w:rPr>
          <w:iCs/>
          <w:sz w:val="24"/>
        </w:rPr>
        <w:t xml:space="preserve">    课程考核方式包括考试和考查，</w:t>
      </w:r>
      <w:r>
        <w:rPr>
          <w:rFonts w:eastAsiaTheme="minorEastAsia"/>
          <w:iCs/>
          <w:sz w:val="24"/>
        </w:rPr>
        <w:t>可以采用口试、笔试或写读书报告、论文的形式，但应有—定数量的笔试（各专业根据实际情况填写）。无论采取何种考核方式，均应能真实反映学生对所学课程掌握的程度及运用知识的能力。</w:t>
      </w:r>
    </w:p>
    <w:p w14:paraId="70D9FB52">
      <w:pPr>
        <w:spacing w:after="156" w:afterLines="50" w:line="360" w:lineRule="auto"/>
        <w:jc w:val="center"/>
        <w:rPr>
          <w:rFonts w:eastAsiaTheme="minorEastAsia"/>
          <w:b/>
          <w:bCs/>
          <w:sz w:val="24"/>
        </w:rPr>
      </w:pPr>
      <w:r>
        <w:rPr>
          <w:rFonts w:hint="eastAsia" w:eastAsiaTheme="minorEastAsia"/>
          <w:b/>
          <w:bCs/>
          <w:sz w:val="24"/>
        </w:rPr>
        <w:t>生物学</w:t>
      </w:r>
      <w:r>
        <w:rPr>
          <w:rFonts w:eastAsiaTheme="minorEastAsia"/>
          <w:b/>
          <w:bCs/>
          <w:sz w:val="24"/>
        </w:rPr>
        <w:t>专业学术学位硕士研究生课程及培养环节设置一览表</w:t>
      </w:r>
    </w:p>
    <w:tbl>
      <w:tblPr>
        <w:tblStyle w:val="6"/>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39BDA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758B7DDC">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0368518B">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540CF545">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102A459D">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40BD60F1">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3C3CCD46">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0BF03F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0D18A727">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05D1452F">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857D086">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6BE78436">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2BC7FC29">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32218424">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4AD72B59">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BA6E01B">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03C88A7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ABE2DB7">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0CEC754A">
            <w:pPr>
              <w:spacing w:line="360" w:lineRule="auto"/>
              <w:jc w:val="center"/>
              <w:rPr>
                <w:b/>
                <w:color w:val="000000" w:themeColor="text1"/>
                <w:sz w:val="18"/>
                <w:szCs w:val="18"/>
                <w14:textFill>
                  <w14:solidFill>
                    <w14:schemeClr w14:val="tx1"/>
                  </w14:solidFill>
                </w14:textFill>
              </w:rPr>
            </w:pPr>
          </w:p>
        </w:tc>
        <w:tc>
          <w:tcPr>
            <w:tcW w:w="3516" w:type="dxa"/>
            <w:vAlign w:val="center"/>
          </w:tcPr>
          <w:p w14:paraId="665C4703">
            <w:pPr>
              <w:spacing w:line="360" w:lineRule="auto"/>
              <w:rPr>
                <w:sz w:val="18"/>
                <w:szCs w:val="18"/>
              </w:rPr>
            </w:pPr>
            <w:r>
              <w:rPr>
                <w:sz w:val="18"/>
                <w:szCs w:val="18"/>
              </w:rPr>
              <w:t>通用学术英语</w:t>
            </w:r>
          </w:p>
        </w:tc>
        <w:tc>
          <w:tcPr>
            <w:tcW w:w="1081" w:type="dxa"/>
            <w:vAlign w:val="center"/>
          </w:tcPr>
          <w:p w14:paraId="7D1D2197">
            <w:pPr>
              <w:spacing w:line="360" w:lineRule="auto"/>
              <w:jc w:val="center"/>
              <w:rPr>
                <w:sz w:val="18"/>
                <w:szCs w:val="18"/>
              </w:rPr>
            </w:pPr>
            <w:r>
              <w:rPr>
                <w:sz w:val="18"/>
                <w:szCs w:val="18"/>
              </w:rPr>
              <w:t>TS0000002</w:t>
            </w:r>
          </w:p>
        </w:tc>
        <w:tc>
          <w:tcPr>
            <w:tcW w:w="709" w:type="dxa"/>
            <w:vAlign w:val="center"/>
          </w:tcPr>
          <w:p w14:paraId="619EA673">
            <w:pPr>
              <w:spacing w:line="360" w:lineRule="auto"/>
              <w:jc w:val="center"/>
              <w:rPr>
                <w:sz w:val="18"/>
                <w:szCs w:val="18"/>
              </w:rPr>
            </w:pPr>
            <w:r>
              <w:rPr>
                <w:sz w:val="18"/>
                <w:szCs w:val="18"/>
              </w:rPr>
              <w:t>2</w:t>
            </w:r>
          </w:p>
        </w:tc>
        <w:tc>
          <w:tcPr>
            <w:tcW w:w="709" w:type="dxa"/>
            <w:vAlign w:val="center"/>
          </w:tcPr>
          <w:p w14:paraId="1E6468B7">
            <w:pPr>
              <w:spacing w:line="360" w:lineRule="auto"/>
              <w:jc w:val="center"/>
              <w:rPr>
                <w:sz w:val="18"/>
                <w:szCs w:val="18"/>
              </w:rPr>
            </w:pPr>
            <w:r>
              <w:rPr>
                <w:sz w:val="18"/>
                <w:szCs w:val="18"/>
              </w:rPr>
              <w:t>1</w:t>
            </w:r>
          </w:p>
        </w:tc>
        <w:tc>
          <w:tcPr>
            <w:tcW w:w="1045" w:type="dxa"/>
            <w:vAlign w:val="center"/>
          </w:tcPr>
          <w:p w14:paraId="0D11ED48">
            <w:pPr>
              <w:spacing w:line="360" w:lineRule="auto"/>
              <w:jc w:val="center"/>
              <w:rPr>
                <w:sz w:val="18"/>
                <w:szCs w:val="18"/>
              </w:rPr>
            </w:pPr>
            <w:r>
              <w:rPr>
                <w:rFonts w:hint="eastAsia"/>
                <w:sz w:val="18"/>
                <w:szCs w:val="18"/>
              </w:rPr>
              <w:t>考查</w:t>
            </w:r>
          </w:p>
        </w:tc>
      </w:tr>
      <w:tr w14:paraId="73E46C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F75EB79">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29D769C9">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4801FBEA">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9</w:t>
            </w:r>
            <w:r>
              <w:rPr>
                <w:b/>
                <w:color w:val="000000" w:themeColor="text1"/>
                <w:sz w:val="18"/>
                <w:szCs w:val="18"/>
                <w14:textFill>
                  <w14:solidFill>
                    <w14:schemeClr w14:val="tx1"/>
                  </w14:solidFill>
                </w14:textFill>
              </w:rPr>
              <w:t>学分）</w:t>
            </w:r>
          </w:p>
        </w:tc>
        <w:tc>
          <w:tcPr>
            <w:tcW w:w="3516" w:type="dxa"/>
            <w:vAlign w:val="center"/>
          </w:tcPr>
          <w:p w14:paraId="0F2A2D2E">
            <w:pPr>
              <w:spacing w:line="360" w:lineRule="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学术道德</w:t>
            </w:r>
            <w:r>
              <w:rPr>
                <w:color w:val="000000" w:themeColor="text1"/>
                <w:sz w:val="18"/>
                <w:szCs w:val="18"/>
                <w14:textFill>
                  <w14:solidFill>
                    <w14:schemeClr w14:val="tx1"/>
                  </w14:solidFill>
                </w14:textFill>
              </w:rPr>
              <w:t>与论文写作</w:t>
            </w:r>
          </w:p>
        </w:tc>
        <w:tc>
          <w:tcPr>
            <w:tcW w:w="1081" w:type="dxa"/>
            <w:vAlign w:val="center"/>
          </w:tcPr>
          <w:p w14:paraId="60140A23">
            <w:pPr>
              <w:widowControl/>
              <w:jc w:val="center"/>
              <w:textAlignment w:val="center"/>
              <w:rPr>
                <w:rFonts w:hint="default" w:eastAsia="等线"/>
                <w:i/>
                <w:color w:val="FF0000"/>
                <w:sz w:val="18"/>
                <w:szCs w:val="18"/>
                <w:lang w:val="en-US" w:eastAsia="zh-CN"/>
              </w:rPr>
            </w:pPr>
            <w:r>
              <w:rPr>
                <w:rFonts w:eastAsia="等线"/>
                <w:color w:val="000000"/>
                <w:kern w:val="0"/>
                <w:sz w:val="18"/>
                <w:szCs w:val="18"/>
                <w:lang w:bidi="ar"/>
              </w:rPr>
              <w:t>XS120</w:t>
            </w:r>
            <w:r>
              <w:rPr>
                <w:rFonts w:hint="eastAsia" w:eastAsia="等线"/>
                <w:color w:val="000000"/>
                <w:kern w:val="0"/>
                <w:sz w:val="18"/>
                <w:szCs w:val="18"/>
                <w:lang w:val="en-US" w:eastAsia="zh-CN" w:bidi="ar"/>
              </w:rPr>
              <w:t>2005</w:t>
            </w:r>
          </w:p>
        </w:tc>
        <w:tc>
          <w:tcPr>
            <w:tcW w:w="709" w:type="dxa"/>
            <w:vAlign w:val="center"/>
          </w:tcPr>
          <w:p w14:paraId="7BD5C50A">
            <w:pPr>
              <w:spacing w:line="360" w:lineRule="auto"/>
              <w:jc w:val="center"/>
              <w:rPr>
                <w:color w:val="FF0000"/>
              </w:rPr>
            </w:pPr>
            <w:r>
              <w:rPr>
                <w:rFonts w:hint="eastAsia"/>
                <w:iCs/>
              </w:rPr>
              <w:t>3</w:t>
            </w:r>
          </w:p>
        </w:tc>
        <w:tc>
          <w:tcPr>
            <w:tcW w:w="709" w:type="dxa"/>
            <w:vAlign w:val="center"/>
          </w:tcPr>
          <w:p w14:paraId="52F51927">
            <w:pPr>
              <w:spacing w:line="360" w:lineRule="auto"/>
              <w:jc w:val="center"/>
              <w:rPr>
                <w:color w:val="FF0000"/>
              </w:rPr>
            </w:pPr>
            <w:r>
              <w:rPr>
                <w:rFonts w:hint="eastAsia"/>
              </w:rPr>
              <w:t>1</w:t>
            </w:r>
          </w:p>
        </w:tc>
        <w:tc>
          <w:tcPr>
            <w:tcW w:w="1045" w:type="dxa"/>
            <w:vAlign w:val="center"/>
          </w:tcPr>
          <w:p w14:paraId="1FD2C536">
            <w:pPr>
              <w:spacing w:line="360" w:lineRule="auto"/>
              <w:jc w:val="center"/>
              <w:rPr>
                <w:i/>
                <w:color w:val="FF0000"/>
                <w:sz w:val="18"/>
                <w:szCs w:val="18"/>
              </w:rPr>
            </w:pPr>
            <w:r>
              <w:rPr>
                <w:rFonts w:hint="eastAsia"/>
                <w:color w:val="000000" w:themeColor="text1"/>
                <w:sz w:val="18"/>
                <w:szCs w:val="18"/>
                <w14:textFill>
                  <w14:solidFill>
                    <w14:schemeClr w14:val="tx1"/>
                  </w14:solidFill>
                </w14:textFill>
              </w:rPr>
              <w:t>考查</w:t>
            </w:r>
          </w:p>
        </w:tc>
      </w:tr>
      <w:tr w14:paraId="238E33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D235A12">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704329D8">
            <w:pPr>
              <w:spacing w:line="360" w:lineRule="auto"/>
              <w:jc w:val="center"/>
              <w:rPr>
                <w:b/>
                <w:color w:val="000000" w:themeColor="text1"/>
                <w:sz w:val="18"/>
                <w:szCs w:val="18"/>
                <w14:textFill>
                  <w14:solidFill>
                    <w14:schemeClr w14:val="tx1"/>
                  </w14:solidFill>
                </w14:textFill>
              </w:rPr>
            </w:pPr>
          </w:p>
        </w:tc>
        <w:tc>
          <w:tcPr>
            <w:tcW w:w="3516" w:type="dxa"/>
            <w:vAlign w:val="center"/>
          </w:tcPr>
          <w:p w14:paraId="7E7E63EF">
            <w:pPr>
              <w:adjustRightInd w:val="0"/>
              <w:snapToGrid w:val="0"/>
              <w:spacing w:line="360" w:lineRule="auto"/>
              <w:rPr>
                <w:color w:val="FF0000"/>
                <w:sz w:val="18"/>
                <w:szCs w:val="18"/>
              </w:rPr>
            </w:pPr>
            <w:r>
              <w:rPr>
                <w:rFonts w:hint="eastAsia"/>
                <w:sz w:val="18"/>
                <w:szCs w:val="18"/>
              </w:rPr>
              <w:t>生物信息学理论与实践</w:t>
            </w:r>
          </w:p>
        </w:tc>
        <w:tc>
          <w:tcPr>
            <w:tcW w:w="1081" w:type="dxa"/>
            <w:vAlign w:val="center"/>
          </w:tcPr>
          <w:p w14:paraId="51CCBFC9">
            <w:pPr>
              <w:widowControl/>
              <w:jc w:val="center"/>
              <w:textAlignment w:val="center"/>
              <w:rPr>
                <w:sz w:val="18"/>
                <w:szCs w:val="18"/>
              </w:rPr>
            </w:pPr>
            <w:r>
              <w:rPr>
                <w:rFonts w:eastAsia="等线"/>
                <w:color w:val="000000"/>
                <w:kern w:val="0"/>
                <w:sz w:val="18"/>
                <w:szCs w:val="18"/>
                <w:lang w:bidi="ar"/>
              </w:rPr>
              <w:t>XS1200002</w:t>
            </w:r>
          </w:p>
        </w:tc>
        <w:tc>
          <w:tcPr>
            <w:tcW w:w="709" w:type="dxa"/>
            <w:vAlign w:val="center"/>
          </w:tcPr>
          <w:p w14:paraId="36E65484">
            <w:pPr>
              <w:spacing w:line="360" w:lineRule="auto"/>
              <w:jc w:val="center"/>
            </w:pPr>
            <w:r>
              <w:rPr>
                <w:sz w:val="18"/>
                <w:szCs w:val="18"/>
              </w:rPr>
              <w:t>3</w:t>
            </w:r>
          </w:p>
        </w:tc>
        <w:tc>
          <w:tcPr>
            <w:tcW w:w="709" w:type="dxa"/>
            <w:vAlign w:val="center"/>
          </w:tcPr>
          <w:p w14:paraId="3D452545">
            <w:pPr>
              <w:spacing w:line="360" w:lineRule="auto"/>
              <w:jc w:val="center"/>
              <w:rPr>
                <w:color w:val="FF0000"/>
              </w:rPr>
            </w:pPr>
            <w:r>
              <w:rPr>
                <w:rFonts w:hint="eastAsia"/>
                <w:sz w:val="18"/>
                <w:szCs w:val="18"/>
              </w:rPr>
              <w:t>1</w:t>
            </w:r>
          </w:p>
        </w:tc>
        <w:tc>
          <w:tcPr>
            <w:tcW w:w="1045" w:type="dxa"/>
            <w:vAlign w:val="center"/>
          </w:tcPr>
          <w:p w14:paraId="20B38F53">
            <w:pPr>
              <w:spacing w:line="360" w:lineRule="auto"/>
              <w:jc w:val="center"/>
              <w:rPr>
                <w:color w:val="FF0000"/>
                <w:sz w:val="18"/>
                <w:szCs w:val="18"/>
              </w:rPr>
            </w:pPr>
            <w:r>
              <w:rPr>
                <w:rFonts w:hint="eastAsia"/>
                <w:sz w:val="18"/>
                <w:szCs w:val="18"/>
              </w:rPr>
              <w:t>考查</w:t>
            </w:r>
          </w:p>
        </w:tc>
      </w:tr>
      <w:tr w14:paraId="22A0E4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1485F26">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7076F2D8">
            <w:pPr>
              <w:spacing w:line="360" w:lineRule="auto"/>
              <w:jc w:val="center"/>
              <w:rPr>
                <w:b/>
                <w:color w:val="000000" w:themeColor="text1"/>
                <w:sz w:val="18"/>
                <w:szCs w:val="18"/>
                <w14:textFill>
                  <w14:solidFill>
                    <w14:schemeClr w14:val="tx1"/>
                  </w14:solidFill>
                </w14:textFill>
              </w:rPr>
            </w:pPr>
          </w:p>
        </w:tc>
        <w:tc>
          <w:tcPr>
            <w:tcW w:w="3516" w:type="dxa"/>
            <w:vAlign w:val="center"/>
          </w:tcPr>
          <w:p w14:paraId="1E4F3198">
            <w:pPr>
              <w:adjustRightInd w:val="0"/>
              <w:snapToGrid w:val="0"/>
              <w:spacing w:line="360" w:lineRule="auto"/>
              <w:rPr>
                <w:i/>
                <w:color w:val="FF0000"/>
                <w:sz w:val="18"/>
                <w:szCs w:val="18"/>
              </w:rPr>
            </w:pPr>
            <w:r>
              <w:rPr>
                <w:rFonts w:hint="eastAsia"/>
                <w:sz w:val="18"/>
                <w:szCs w:val="18"/>
              </w:rPr>
              <w:t>生命科学前沿研究</w:t>
            </w:r>
          </w:p>
        </w:tc>
        <w:tc>
          <w:tcPr>
            <w:tcW w:w="1081" w:type="dxa"/>
            <w:vAlign w:val="center"/>
          </w:tcPr>
          <w:p w14:paraId="5F2E6810">
            <w:pPr>
              <w:widowControl/>
              <w:jc w:val="center"/>
              <w:textAlignment w:val="center"/>
              <w:rPr>
                <w:rFonts w:hint="eastAsia" w:eastAsia="等线"/>
                <w:sz w:val="18"/>
                <w:szCs w:val="18"/>
                <w:lang w:eastAsia="zh-CN"/>
              </w:rPr>
            </w:pPr>
            <w:r>
              <w:rPr>
                <w:rFonts w:eastAsia="等线"/>
                <w:color w:val="000000"/>
                <w:kern w:val="0"/>
                <w:sz w:val="18"/>
                <w:szCs w:val="18"/>
                <w:lang w:bidi="ar"/>
              </w:rPr>
              <w:t>XS120000</w:t>
            </w:r>
            <w:r>
              <w:rPr>
                <w:rFonts w:hint="eastAsia" w:eastAsia="等线"/>
                <w:color w:val="000000"/>
                <w:kern w:val="0"/>
                <w:sz w:val="18"/>
                <w:szCs w:val="18"/>
                <w:lang w:val="en-US" w:eastAsia="zh-CN" w:bidi="ar"/>
              </w:rPr>
              <w:t>6</w:t>
            </w:r>
          </w:p>
        </w:tc>
        <w:tc>
          <w:tcPr>
            <w:tcW w:w="709" w:type="dxa"/>
            <w:vAlign w:val="center"/>
          </w:tcPr>
          <w:p w14:paraId="125B1178">
            <w:pPr>
              <w:spacing w:line="360" w:lineRule="auto"/>
              <w:jc w:val="center"/>
            </w:pPr>
            <w:r>
              <w:rPr>
                <w:rFonts w:hint="eastAsia"/>
                <w:sz w:val="18"/>
                <w:szCs w:val="18"/>
              </w:rPr>
              <w:t>3</w:t>
            </w:r>
          </w:p>
        </w:tc>
        <w:tc>
          <w:tcPr>
            <w:tcW w:w="709" w:type="dxa"/>
            <w:vAlign w:val="center"/>
          </w:tcPr>
          <w:p w14:paraId="4AB9F266">
            <w:pPr>
              <w:spacing w:line="360" w:lineRule="auto"/>
              <w:jc w:val="center"/>
              <w:rPr>
                <w:color w:val="FF0000"/>
              </w:rPr>
            </w:pPr>
            <w:r>
              <w:rPr>
                <w:rFonts w:hint="eastAsia"/>
                <w:sz w:val="18"/>
                <w:szCs w:val="18"/>
              </w:rPr>
              <w:t>1</w:t>
            </w:r>
          </w:p>
        </w:tc>
        <w:tc>
          <w:tcPr>
            <w:tcW w:w="1045" w:type="dxa"/>
          </w:tcPr>
          <w:p w14:paraId="5A9509AC">
            <w:pPr>
              <w:spacing w:line="360" w:lineRule="auto"/>
              <w:jc w:val="center"/>
              <w:rPr>
                <w:color w:val="FF0000"/>
                <w:sz w:val="18"/>
                <w:szCs w:val="18"/>
              </w:rPr>
            </w:pPr>
            <w:r>
              <w:rPr>
                <w:rFonts w:hint="eastAsia"/>
                <w:sz w:val="18"/>
                <w:szCs w:val="18"/>
              </w:rPr>
              <w:t>考查</w:t>
            </w:r>
          </w:p>
        </w:tc>
      </w:tr>
      <w:tr w14:paraId="4E4828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167F461">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5C16EB5A">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764FCBC9">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3</w:t>
            </w:r>
            <w:r>
              <w:rPr>
                <w:b/>
                <w:color w:val="000000" w:themeColor="text1"/>
                <w:sz w:val="18"/>
                <w:szCs w:val="18"/>
                <w14:textFill>
                  <w14:solidFill>
                    <w14:schemeClr w14:val="tx1"/>
                  </w14:solidFill>
                </w14:textFill>
              </w:rPr>
              <w:t>学分）</w:t>
            </w:r>
          </w:p>
        </w:tc>
        <w:tc>
          <w:tcPr>
            <w:tcW w:w="3516" w:type="dxa"/>
            <w:vAlign w:val="center"/>
          </w:tcPr>
          <w:p w14:paraId="6E49D407">
            <w:pPr>
              <w:spacing w:line="360" w:lineRule="auto"/>
            </w:pPr>
            <w:r>
              <w:rPr>
                <w:rFonts w:hint="eastAsia"/>
                <w:sz w:val="18"/>
                <w:szCs w:val="18"/>
              </w:rPr>
              <w:t>分子遗传与表观遗传</w:t>
            </w:r>
          </w:p>
        </w:tc>
        <w:tc>
          <w:tcPr>
            <w:tcW w:w="1081" w:type="dxa"/>
            <w:vAlign w:val="center"/>
          </w:tcPr>
          <w:p w14:paraId="2158140B">
            <w:pPr>
              <w:widowControl/>
              <w:jc w:val="center"/>
              <w:textAlignment w:val="center"/>
              <w:rPr>
                <w:color w:val="FF0000"/>
                <w:sz w:val="18"/>
                <w:szCs w:val="18"/>
              </w:rPr>
            </w:pPr>
            <w:r>
              <w:rPr>
                <w:rFonts w:eastAsia="等线"/>
                <w:color w:val="000000"/>
                <w:kern w:val="0"/>
                <w:sz w:val="18"/>
                <w:szCs w:val="18"/>
                <w:lang w:bidi="ar"/>
              </w:rPr>
              <w:t>XS1200004</w:t>
            </w:r>
          </w:p>
        </w:tc>
        <w:tc>
          <w:tcPr>
            <w:tcW w:w="709" w:type="dxa"/>
            <w:vAlign w:val="center"/>
          </w:tcPr>
          <w:p w14:paraId="4B05BB71">
            <w:pPr>
              <w:spacing w:line="360" w:lineRule="auto"/>
              <w:jc w:val="center"/>
              <w:rPr>
                <w:color w:val="FF0000"/>
              </w:rPr>
            </w:pPr>
            <w:r>
              <w:rPr>
                <w:rFonts w:hint="eastAsia"/>
                <w:sz w:val="18"/>
                <w:szCs w:val="18"/>
              </w:rPr>
              <w:t>3</w:t>
            </w:r>
          </w:p>
        </w:tc>
        <w:tc>
          <w:tcPr>
            <w:tcW w:w="709" w:type="dxa"/>
            <w:vAlign w:val="center"/>
          </w:tcPr>
          <w:p w14:paraId="35F4C8E6">
            <w:pPr>
              <w:spacing w:line="360" w:lineRule="auto"/>
              <w:jc w:val="center"/>
              <w:rPr>
                <w:color w:val="FF0000"/>
              </w:rPr>
            </w:pPr>
            <w:r>
              <w:rPr>
                <w:rFonts w:hint="eastAsia"/>
                <w:sz w:val="18"/>
                <w:szCs w:val="18"/>
              </w:rPr>
              <w:t>1</w:t>
            </w:r>
          </w:p>
        </w:tc>
        <w:tc>
          <w:tcPr>
            <w:tcW w:w="1045" w:type="dxa"/>
            <w:vAlign w:val="center"/>
          </w:tcPr>
          <w:p w14:paraId="0ACBFA26">
            <w:pPr>
              <w:spacing w:line="360" w:lineRule="auto"/>
              <w:jc w:val="center"/>
              <w:rPr>
                <w:color w:val="FF0000"/>
                <w:sz w:val="18"/>
                <w:szCs w:val="18"/>
              </w:rPr>
            </w:pPr>
            <w:r>
              <w:rPr>
                <w:sz w:val="18"/>
                <w:szCs w:val="18"/>
              </w:rPr>
              <w:t>考查</w:t>
            </w:r>
          </w:p>
        </w:tc>
      </w:tr>
      <w:tr w14:paraId="36780F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1361115">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523A249A">
            <w:pPr>
              <w:spacing w:line="360" w:lineRule="auto"/>
              <w:jc w:val="center"/>
              <w:rPr>
                <w:b/>
                <w:color w:val="000000" w:themeColor="text1"/>
                <w:sz w:val="18"/>
                <w:szCs w:val="18"/>
                <w14:textFill>
                  <w14:solidFill>
                    <w14:schemeClr w14:val="tx1"/>
                  </w14:solidFill>
                </w14:textFill>
              </w:rPr>
            </w:pPr>
          </w:p>
        </w:tc>
        <w:tc>
          <w:tcPr>
            <w:tcW w:w="3516" w:type="dxa"/>
            <w:vAlign w:val="center"/>
          </w:tcPr>
          <w:p w14:paraId="1B9AF6D9">
            <w:pPr>
              <w:spacing w:line="360" w:lineRule="auto"/>
            </w:pPr>
            <w:r>
              <w:rPr>
                <w:rFonts w:hint="eastAsia"/>
                <w:iCs/>
                <w:sz w:val="18"/>
                <w:szCs w:val="18"/>
              </w:rPr>
              <w:t>现代分子生物学</w:t>
            </w:r>
          </w:p>
        </w:tc>
        <w:tc>
          <w:tcPr>
            <w:tcW w:w="1081" w:type="dxa"/>
            <w:vAlign w:val="center"/>
          </w:tcPr>
          <w:p w14:paraId="22FCA093">
            <w:pPr>
              <w:widowControl/>
              <w:jc w:val="center"/>
              <w:textAlignment w:val="center"/>
              <w:rPr>
                <w:color w:val="FF0000"/>
                <w:sz w:val="18"/>
                <w:szCs w:val="18"/>
              </w:rPr>
            </w:pPr>
            <w:r>
              <w:rPr>
                <w:rFonts w:eastAsia="等线"/>
                <w:color w:val="000000"/>
                <w:kern w:val="0"/>
                <w:sz w:val="18"/>
                <w:szCs w:val="18"/>
                <w:lang w:bidi="ar"/>
              </w:rPr>
              <w:t>XS1200005</w:t>
            </w:r>
          </w:p>
        </w:tc>
        <w:tc>
          <w:tcPr>
            <w:tcW w:w="709" w:type="dxa"/>
            <w:vAlign w:val="center"/>
          </w:tcPr>
          <w:p w14:paraId="50A8F4A7">
            <w:pPr>
              <w:spacing w:line="360" w:lineRule="auto"/>
              <w:jc w:val="center"/>
              <w:rPr>
                <w:color w:val="FF0000"/>
              </w:rPr>
            </w:pPr>
            <w:r>
              <w:rPr>
                <w:rFonts w:hint="eastAsia"/>
                <w:sz w:val="18"/>
                <w:szCs w:val="18"/>
              </w:rPr>
              <w:t>3</w:t>
            </w:r>
          </w:p>
        </w:tc>
        <w:tc>
          <w:tcPr>
            <w:tcW w:w="709" w:type="dxa"/>
            <w:vAlign w:val="center"/>
          </w:tcPr>
          <w:p w14:paraId="7CBE8EEB">
            <w:pPr>
              <w:spacing w:line="360" w:lineRule="auto"/>
              <w:jc w:val="center"/>
              <w:rPr>
                <w:color w:val="FF0000"/>
              </w:rPr>
            </w:pPr>
            <w:r>
              <w:rPr>
                <w:rFonts w:hint="eastAsia"/>
                <w:sz w:val="18"/>
                <w:szCs w:val="18"/>
              </w:rPr>
              <w:t>1</w:t>
            </w:r>
          </w:p>
        </w:tc>
        <w:tc>
          <w:tcPr>
            <w:tcW w:w="1045" w:type="dxa"/>
          </w:tcPr>
          <w:p w14:paraId="357DCEEC">
            <w:pPr>
              <w:spacing w:line="360" w:lineRule="auto"/>
              <w:jc w:val="center"/>
              <w:rPr>
                <w:color w:val="FF0000"/>
                <w:sz w:val="18"/>
                <w:szCs w:val="18"/>
              </w:rPr>
            </w:pPr>
            <w:r>
              <w:rPr>
                <w:sz w:val="18"/>
                <w:szCs w:val="18"/>
              </w:rPr>
              <w:t>考查</w:t>
            </w:r>
          </w:p>
        </w:tc>
      </w:tr>
      <w:tr w14:paraId="2F659D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3703CE32">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280A2503">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283ABD8E">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7086C5C7">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7D5E5149">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2661503D">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7E4FEB3B">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5B0023AD">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2F6F8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19D78FB">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213706DC">
            <w:pPr>
              <w:spacing w:line="360" w:lineRule="auto"/>
              <w:jc w:val="center"/>
              <w:rPr>
                <w:b/>
                <w:color w:val="000000" w:themeColor="text1"/>
                <w:sz w:val="18"/>
                <w:szCs w:val="18"/>
                <w14:textFill>
                  <w14:solidFill>
                    <w14:schemeClr w14:val="tx1"/>
                  </w14:solidFill>
                </w14:textFill>
              </w:rPr>
            </w:pPr>
          </w:p>
        </w:tc>
        <w:tc>
          <w:tcPr>
            <w:tcW w:w="3516" w:type="dxa"/>
            <w:vAlign w:val="center"/>
          </w:tcPr>
          <w:p w14:paraId="570ED8F2">
            <w:pPr>
              <w:adjustRightIn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自然辩证法概论</w:t>
            </w:r>
          </w:p>
        </w:tc>
        <w:tc>
          <w:tcPr>
            <w:tcW w:w="1081" w:type="dxa"/>
            <w:vAlign w:val="center"/>
          </w:tcPr>
          <w:p w14:paraId="6FA5B080">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TS0000102</w:t>
            </w:r>
          </w:p>
        </w:tc>
        <w:tc>
          <w:tcPr>
            <w:tcW w:w="709" w:type="dxa"/>
            <w:vAlign w:val="center"/>
          </w:tcPr>
          <w:p w14:paraId="4271109E">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6974974">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74E9A8A0">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119EF8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B6F28F">
            <w:pPr>
              <w:spacing w:line="360" w:lineRule="auto"/>
              <w:rPr>
                <w:b/>
                <w:color w:val="000000" w:themeColor="text1"/>
                <w:sz w:val="18"/>
                <w:szCs w:val="18"/>
                <w14:textFill>
                  <w14:solidFill>
                    <w14:schemeClr w14:val="tx1"/>
                  </w14:solidFill>
                </w14:textFill>
              </w:rPr>
            </w:pPr>
          </w:p>
        </w:tc>
        <w:tc>
          <w:tcPr>
            <w:tcW w:w="1226" w:type="dxa"/>
            <w:vMerge w:val="restart"/>
            <w:vAlign w:val="center"/>
          </w:tcPr>
          <w:p w14:paraId="48C4D795">
            <w:pPr>
              <w:adjustRightInd w:val="0"/>
              <w:snapToGrid w:val="0"/>
              <w:spacing w:line="360" w:lineRule="auto"/>
              <w:jc w:val="center"/>
              <w:rPr>
                <w:rFonts w:hint="eastAsia"/>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r>
              <w:rPr>
                <w:rFonts w:hint="eastAsia"/>
                <w:b/>
                <w:color w:val="000000" w:themeColor="text1"/>
                <w:sz w:val="18"/>
                <w:szCs w:val="18"/>
                <w14:textFill>
                  <w14:solidFill>
                    <w14:schemeClr w14:val="tx1"/>
                  </w14:solidFill>
                </w14:textFill>
              </w:rPr>
              <w:t>（不区分方向；至少选修3学分）</w:t>
            </w:r>
          </w:p>
        </w:tc>
        <w:tc>
          <w:tcPr>
            <w:tcW w:w="3516" w:type="dxa"/>
            <w:vAlign w:val="center"/>
          </w:tcPr>
          <w:p w14:paraId="428F50FC">
            <w:pPr>
              <w:spacing w:line="360" w:lineRule="auto"/>
              <w:rPr>
                <w:i/>
                <w:color w:val="FF0000"/>
                <w:sz w:val="18"/>
                <w:szCs w:val="18"/>
              </w:rPr>
            </w:pPr>
            <w:r>
              <w:rPr>
                <w:rFonts w:hint="eastAsia"/>
                <w:iCs/>
                <w:sz w:val="18"/>
                <w:szCs w:val="18"/>
              </w:rPr>
              <w:t>分子生物学研究进展</w:t>
            </w:r>
          </w:p>
        </w:tc>
        <w:tc>
          <w:tcPr>
            <w:tcW w:w="1081" w:type="dxa"/>
            <w:vAlign w:val="center"/>
          </w:tcPr>
          <w:p w14:paraId="0F22B5EE">
            <w:pPr>
              <w:widowControl/>
              <w:jc w:val="center"/>
              <w:textAlignment w:val="center"/>
              <w:rPr>
                <w:color w:val="FF0000"/>
                <w:sz w:val="18"/>
                <w:szCs w:val="18"/>
              </w:rPr>
            </w:pPr>
            <w:r>
              <w:rPr>
                <w:rFonts w:eastAsia="等线"/>
                <w:color w:val="000000"/>
                <w:kern w:val="0"/>
                <w:sz w:val="18"/>
                <w:szCs w:val="18"/>
                <w:lang w:bidi="ar"/>
              </w:rPr>
              <w:t>XS1200201</w:t>
            </w:r>
          </w:p>
        </w:tc>
        <w:tc>
          <w:tcPr>
            <w:tcW w:w="709" w:type="dxa"/>
            <w:vAlign w:val="center"/>
          </w:tcPr>
          <w:p w14:paraId="41AA31E5">
            <w:pPr>
              <w:spacing w:line="360" w:lineRule="auto"/>
              <w:jc w:val="center"/>
              <w:rPr>
                <w:color w:val="FF0000"/>
              </w:rPr>
            </w:pPr>
            <w:r>
              <w:rPr>
                <w:rFonts w:hint="eastAsia"/>
                <w:sz w:val="18"/>
                <w:szCs w:val="18"/>
              </w:rPr>
              <w:t>3</w:t>
            </w:r>
          </w:p>
        </w:tc>
        <w:tc>
          <w:tcPr>
            <w:tcW w:w="709" w:type="dxa"/>
            <w:vAlign w:val="center"/>
          </w:tcPr>
          <w:p w14:paraId="3948EE24">
            <w:pPr>
              <w:spacing w:line="360" w:lineRule="auto"/>
              <w:jc w:val="center"/>
              <w:rPr>
                <w:color w:val="FF0000"/>
              </w:rPr>
            </w:pPr>
            <w:r>
              <w:rPr>
                <w:rFonts w:hint="eastAsia"/>
                <w:sz w:val="18"/>
                <w:szCs w:val="18"/>
              </w:rPr>
              <w:t>1</w:t>
            </w:r>
          </w:p>
        </w:tc>
        <w:tc>
          <w:tcPr>
            <w:tcW w:w="1045" w:type="dxa"/>
          </w:tcPr>
          <w:p w14:paraId="08E69997">
            <w:pPr>
              <w:adjustRightInd w:val="0"/>
              <w:snapToGrid w:val="0"/>
              <w:spacing w:line="360" w:lineRule="auto"/>
              <w:jc w:val="center"/>
              <w:rPr>
                <w:color w:val="000000" w:themeColor="text1"/>
                <w:sz w:val="18"/>
                <w:szCs w:val="18"/>
                <w14:textFill>
                  <w14:solidFill>
                    <w14:schemeClr w14:val="tx1"/>
                  </w14:solidFill>
                </w14:textFill>
              </w:rPr>
            </w:pPr>
            <w:r>
              <w:rPr>
                <w:sz w:val="18"/>
                <w:szCs w:val="18"/>
              </w:rPr>
              <w:t>考查</w:t>
            </w:r>
          </w:p>
        </w:tc>
      </w:tr>
      <w:tr w14:paraId="653FD6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C2F886">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44C4F4C3">
            <w:pPr>
              <w:adjustRightInd w:val="0"/>
              <w:snapToGrid w:val="0"/>
              <w:spacing w:line="360" w:lineRule="auto"/>
              <w:jc w:val="center"/>
              <w:rPr>
                <w:b/>
                <w:color w:val="FF0000"/>
                <w:sz w:val="18"/>
                <w:szCs w:val="18"/>
              </w:rPr>
            </w:pPr>
          </w:p>
        </w:tc>
        <w:tc>
          <w:tcPr>
            <w:tcW w:w="3516" w:type="dxa"/>
            <w:vAlign w:val="center"/>
          </w:tcPr>
          <w:p w14:paraId="52EEACA3">
            <w:pPr>
              <w:spacing w:line="360" w:lineRule="auto"/>
              <w:rPr>
                <w:i/>
                <w:color w:val="FF0000"/>
                <w:sz w:val="18"/>
                <w:szCs w:val="18"/>
              </w:rPr>
            </w:pPr>
            <w:r>
              <w:rPr>
                <w:rFonts w:hint="eastAsia"/>
                <w:iCs/>
                <w:sz w:val="18"/>
                <w:szCs w:val="18"/>
              </w:rPr>
              <w:t>分子生物学研究技术</w:t>
            </w:r>
          </w:p>
        </w:tc>
        <w:tc>
          <w:tcPr>
            <w:tcW w:w="1081" w:type="dxa"/>
            <w:vAlign w:val="center"/>
          </w:tcPr>
          <w:p w14:paraId="2961D437">
            <w:pPr>
              <w:widowControl/>
              <w:jc w:val="center"/>
              <w:textAlignment w:val="center"/>
              <w:rPr>
                <w:color w:val="FF0000"/>
                <w:sz w:val="18"/>
                <w:szCs w:val="18"/>
              </w:rPr>
            </w:pPr>
            <w:r>
              <w:rPr>
                <w:rFonts w:eastAsia="等线"/>
                <w:color w:val="000000"/>
                <w:kern w:val="0"/>
                <w:sz w:val="18"/>
                <w:szCs w:val="18"/>
                <w:lang w:bidi="ar"/>
              </w:rPr>
              <w:t>XS1200202</w:t>
            </w:r>
          </w:p>
        </w:tc>
        <w:tc>
          <w:tcPr>
            <w:tcW w:w="709" w:type="dxa"/>
            <w:vAlign w:val="center"/>
          </w:tcPr>
          <w:p w14:paraId="29170425">
            <w:pPr>
              <w:spacing w:line="360" w:lineRule="auto"/>
              <w:jc w:val="center"/>
              <w:rPr>
                <w:color w:val="FF0000"/>
              </w:rPr>
            </w:pPr>
            <w:r>
              <w:rPr>
                <w:rFonts w:hint="eastAsia"/>
                <w:sz w:val="18"/>
                <w:szCs w:val="18"/>
              </w:rPr>
              <w:t>3</w:t>
            </w:r>
          </w:p>
        </w:tc>
        <w:tc>
          <w:tcPr>
            <w:tcW w:w="709" w:type="dxa"/>
            <w:vAlign w:val="center"/>
          </w:tcPr>
          <w:p w14:paraId="7306C1D3">
            <w:pPr>
              <w:spacing w:line="360" w:lineRule="auto"/>
              <w:jc w:val="center"/>
              <w:rPr>
                <w:color w:val="FF0000"/>
              </w:rPr>
            </w:pPr>
            <w:r>
              <w:rPr>
                <w:rFonts w:hint="eastAsia"/>
                <w:sz w:val="18"/>
                <w:szCs w:val="18"/>
              </w:rPr>
              <w:t>1</w:t>
            </w:r>
          </w:p>
        </w:tc>
        <w:tc>
          <w:tcPr>
            <w:tcW w:w="1045" w:type="dxa"/>
          </w:tcPr>
          <w:p w14:paraId="6546B94E">
            <w:pPr>
              <w:adjustRightInd w:val="0"/>
              <w:snapToGrid w:val="0"/>
              <w:spacing w:line="360" w:lineRule="auto"/>
              <w:jc w:val="center"/>
              <w:rPr>
                <w:color w:val="000000" w:themeColor="text1"/>
                <w:sz w:val="18"/>
                <w:szCs w:val="18"/>
                <w14:textFill>
                  <w14:solidFill>
                    <w14:schemeClr w14:val="tx1"/>
                  </w14:solidFill>
                </w14:textFill>
              </w:rPr>
            </w:pPr>
            <w:r>
              <w:rPr>
                <w:sz w:val="18"/>
                <w:szCs w:val="18"/>
              </w:rPr>
              <w:t>考查</w:t>
            </w:r>
          </w:p>
        </w:tc>
      </w:tr>
      <w:tr w14:paraId="3006D4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1C8A69">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2AF6C1E0">
            <w:pPr>
              <w:spacing w:line="360" w:lineRule="auto"/>
              <w:jc w:val="center"/>
              <w:rPr>
                <w:b/>
                <w:color w:val="000000" w:themeColor="text1"/>
                <w:sz w:val="18"/>
                <w:szCs w:val="18"/>
                <w14:textFill>
                  <w14:solidFill>
                    <w14:schemeClr w14:val="tx1"/>
                  </w14:solidFill>
                </w14:textFill>
              </w:rPr>
            </w:pPr>
          </w:p>
        </w:tc>
        <w:tc>
          <w:tcPr>
            <w:tcW w:w="3516" w:type="dxa"/>
            <w:vAlign w:val="center"/>
          </w:tcPr>
          <w:p w14:paraId="57787F26">
            <w:pPr>
              <w:adjustRightInd w:val="0"/>
              <w:snapToGrid w:val="0"/>
              <w:spacing w:line="360" w:lineRule="auto"/>
              <w:rPr>
                <w:i/>
                <w:color w:val="FF0000"/>
                <w:sz w:val="18"/>
                <w:szCs w:val="18"/>
              </w:rPr>
            </w:pPr>
            <w:r>
              <w:rPr>
                <w:rFonts w:hint="eastAsia"/>
                <w:iCs/>
                <w:sz w:val="18"/>
                <w:szCs w:val="18"/>
              </w:rPr>
              <w:t>生物化学研究技术</w:t>
            </w:r>
          </w:p>
        </w:tc>
        <w:tc>
          <w:tcPr>
            <w:tcW w:w="1081" w:type="dxa"/>
            <w:vAlign w:val="center"/>
          </w:tcPr>
          <w:p w14:paraId="44B2A74D">
            <w:pPr>
              <w:widowControl/>
              <w:jc w:val="center"/>
              <w:textAlignment w:val="center"/>
              <w:rPr>
                <w:color w:val="FF0000"/>
                <w:sz w:val="18"/>
                <w:szCs w:val="18"/>
              </w:rPr>
            </w:pPr>
            <w:r>
              <w:rPr>
                <w:rFonts w:eastAsia="等线"/>
                <w:color w:val="000000"/>
                <w:kern w:val="0"/>
                <w:sz w:val="18"/>
                <w:szCs w:val="18"/>
                <w:lang w:bidi="ar"/>
              </w:rPr>
              <w:t>XS1200203</w:t>
            </w:r>
          </w:p>
        </w:tc>
        <w:tc>
          <w:tcPr>
            <w:tcW w:w="709" w:type="dxa"/>
            <w:vAlign w:val="center"/>
          </w:tcPr>
          <w:p w14:paraId="14C90E4A">
            <w:pPr>
              <w:spacing w:line="360" w:lineRule="auto"/>
              <w:jc w:val="center"/>
              <w:rPr>
                <w:color w:val="FF0000"/>
                <w:sz w:val="18"/>
                <w:szCs w:val="18"/>
              </w:rPr>
            </w:pPr>
            <w:r>
              <w:rPr>
                <w:rFonts w:hint="eastAsia"/>
                <w:sz w:val="18"/>
                <w:szCs w:val="18"/>
              </w:rPr>
              <w:t>3</w:t>
            </w:r>
          </w:p>
        </w:tc>
        <w:tc>
          <w:tcPr>
            <w:tcW w:w="709" w:type="dxa"/>
            <w:vAlign w:val="center"/>
          </w:tcPr>
          <w:p w14:paraId="0035F425">
            <w:pPr>
              <w:spacing w:line="360" w:lineRule="auto"/>
              <w:jc w:val="center"/>
              <w:rPr>
                <w:i/>
                <w:color w:val="FF0000"/>
                <w:sz w:val="18"/>
                <w:szCs w:val="18"/>
              </w:rPr>
            </w:pPr>
            <w:r>
              <w:rPr>
                <w:rFonts w:hint="eastAsia"/>
                <w:sz w:val="18"/>
                <w:szCs w:val="18"/>
              </w:rPr>
              <w:t>1</w:t>
            </w:r>
          </w:p>
        </w:tc>
        <w:tc>
          <w:tcPr>
            <w:tcW w:w="1045" w:type="dxa"/>
          </w:tcPr>
          <w:p w14:paraId="30E3D8F4">
            <w:pPr>
              <w:spacing w:line="360" w:lineRule="auto"/>
              <w:jc w:val="center"/>
              <w:rPr>
                <w:color w:val="000000" w:themeColor="text1"/>
                <w:sz w:val="18"/>
                <w:szCs w:val="18"/>
                <w14:textFill>
                  <w14:solidFill>
                    <w14:schemeClr w14:val="tx1"/>
                  </w14:solidFill>
                </w14:textFill>
              </w:rPr>
            </w:pPr>
            <w:r>
              <w:rPr>
                <w:sz w:val="18"/>
                <w:szCs w:val="18"/>
              </w:rPr>
              <w:t>考查</w:t>
            </w:r>
          </w:p>
        </w:tc>
      </w:tr>
      <w:tr w14:paraId="6BAE8E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6B17CF">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3C7D18FF">
            <w:pPr>
              <w:spacing w:line="360" w:lineRule="auto"/>
              <w:jc w:val="center"/>
              <w:rPr>
                <w:b/>
                <w:color w:val="000000" w:themeColor="text1"/>
                <w:sz w:val="18"/>
                <w:szCs w:val="18"/>
                <w14:textFill>
                  <w14:solidFill>
                    <w14:schemeClr w14:val="tx1"/>
                  </w14:solidFill>
                </w14:textFill>
              </w:rPr>
            </w:pPr>
          </w:p>
        </w:tc>
        <w:tc>
          <w:tcPr>
            <w:tcW w:w="3516" w:type="dxa"/>
            <w:vAlign w:val="center"/>
          </w:tcPr>
          <w:p w14:paraId="2634BC57">
            <w:pPr>
              <w:adjustRightInd w:val="0"/>
              <w:snapToGrid w:val="0"/>
              <w:spacing w:line="360" w:lineRule="auto"/>
              <w:rPr>
                <w:i/>
                <w:color w:val="FF0000"/>
                <w:sz w:val="18"/>
                <w:szCs w:val="18"/>
              </w:rPr>
            </w:pPr>
            <w:r>
              <w:rPr>
                <w:rFonts w:hint="eastAsia"/>
                <w:iCs/>
                <w:sz w:val="18"/>
                <w:szCs w:val="18"/>
              </w:rPr>
              <w:t>分子系统学原理与方法</w:t>
            </w:r>
          </w:p>
        </w:tc>
        <w:tc>
          <w:tcPr>
            <w:tcW w:w="1081" w:type="dxa"/>
            <w:vAlign w:val="center"/>
          </w:tcPr>
          <w:p w14:paraId="502A16F1">
            <w:pPr>
              <w:widowControl/>
              <w:jc w:val="center"/>
              <w:textAlignment w:val="center"/>
              <w:rPr>
                <w:i/>
                <w:color w:val="FF0000"/>
                <w:sz w:val="18"/>
                <w:szCs w:val="18"/>
              </w:rPr>
            </w:pPr>
            <w:r>
              <w:rPr>
                <w:rFonts w:eastAsia="等线"/>
                <w:color w:val="000000"/>
                <w:kern w:val="0"/>
                <w:sz w:val="18"/>
                <w:szCs w:val="18"/>
                <w:lang w:bidi="ar"/>
              </w:rPr>
              <w:t>XS1200204</w:t>
            </w:r>
          </w:p>
        </w:tc>
        <w:tc>
          <w:tcPr>
            <w:tcW w:w="709" w:type="dxa"/>
            <w:vAlign w:val="center"/>
          </w:tcPr>
          <w:p w14:paraId="79BF045F">
            <w:pPr>
              <w:spacing w:line="360" w:lineRule="auto"/>
              <w:jc w:val="center"/>
              <w:rPr>
                <w:i/>
                <w:color w:val="FF0000"/>
                <w:sz w:val="18"/>
                <w:szCs w:val="18"/>
              </w:rPr>
            </w:pPr>
            <w:r>
              <w:rPr>
                <w:rFonts w:hint="eastAsia"/>
                <w:sz w:val="18"/>
                <w:szCs w:val="18"/>
              </w:rPr>
              <w:t>3</w:t>
            </w:r>
          </w:p>
        </w:tc>
        <w:tc>
          <w:tcPr>
            <w:tcW w:w="709" w:type="dxa"/>
            <w:vAlign w:val="center"/>
          </w:tcPr>
          <w:p w14:paraId="3017B523">
            <w:pPr>
              <w:spacing w:line="360" w:lineRule="auto"/>
              <w:jc w:val="center"/>
              <w:rPr>
                <w:i/>
                <w:color w:val="FF0000"/>
                <w:sz w:val="18"/>
                <w:szCs w:val="18"/>
              </w:rPr>
            </w:pPr>
            <w:r>
              <w:rPr>
                <w:rFonts w:hint="eastAsia"/>
                <w:sz w:val="18"/>
                <w:szCs w:val="18"/>
              </w:rPr>
              <w:t>1</w:t>
            </w:r>
          </w:p>
        </w:tc>
        <w:tc>
          <w:tcPr>
            <w:tcW w:w="1045" w:type="dxa"/>
          </w:tcPr>
          <w:p w14:paraId="188CC6AD">
            <w:pPr>
              <w:spacing w:line="360" w:lineRule="auto"/>
              <w:jc w:val="center"/>
              <w:rPr>
                <w:color w:val="000000" w:themeColor="text1"/>
                <w:sz w:val="18"/>
                <w:szCs w:val="18"/>
                <w14:textFill>
                  <w14:solidFill>
                    <w14:schemeClr w14:val="tx1"/>
                  </w14:solidFill>
                </w14:textFill>
              </w:rPr>
            </w:pPr>
            <w:r>
              <w:rPr>
                <w:sz w:val="18"/>
                <w:szCs w:val="18"/>
              </w:rPr>
              <w:t>考查</w:t>
            </w:r>
          </w:p>
        </w:tc>
      </w:tr>
      <w:tr w14:paraId="1C6257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2AAF6EC">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13CF785B">
            <w:pPr>
              <w:spacing w:line="360" w:lineRule="auto"/>
              <w:jc w:val="center"/>
              <w:rPr>
                <w:b/>
                <w:color w:val="000000" w:themeColor="text1"/>
                <w:sz w:val="18"/>
                <w:szCs w:val="18"/>
                <w14:textFill>
                  <w14:solidFill>
                    <w14:schemeClr w14:val="tx1"/>
                  </w14:solidFill>
                </w14:textFill>
              </w:rPr>
            </w:pPr>
          </w:p>
        </w:tc>
        <w:tc>
          <w:tcPr>
            <w:tcW w:w="3516" w:type="dxa"/>
            <w:vAlign w:val="center"/>
          </w:tcPr>
          <w:p w14:paraId="1948EC84">
            <w:pPr>
              <w:adjustRightInd w:val="0"/>
              <w:snapToGrid w:val="0"/>
              <w:spacing w:line="360" w:lineRule="auto"/>
              <w:rPr>
                <w:i/>
                <w:color w:val="FF0000"/>
                <w:sz w:val="18"/>
                <w:szCs w:val="18"/>
              </w:rPr>
            </w:pPr>
            <w:r>
              <w:rPr>
                <w:rFonts w:hint="eastAsia"/>
                <w:sz w:val="18"/>
                <w:szCs w:val="18"/>
              </w:rPr>
              <w:t>生物统计学</w:t>
            </w:r>
          </w:p>
        </w:tc>
        <w:tc>
          <w:tcPr>
            <w:tcW w:w="1081" w:type="dxa"/>
            <w:vAlign w:val="center"/>
          </w:tcPr>
          <w:p w14:paraId="1DA632F0">
            <w:pPr>
              <w:widowControl/>
              <w:jc w:val="center"/>
              <w:textAlignment w:val="center"/>
              <w:rPr>
                <w:i/>
                <w:color w:val="FF0000"/>
                <w:sz w:val="18"/>
                <w:szCs w:val="18"/>
              </w:rPr>
            </w:pPr>
            <w:r>
              <w:rPr>
                <w:rFonts w:eastAsia="等线"/>
                <w:color w:val="000000"/>
                <w:kern w:val="0"/>
                <w:sz w:val="18"/>
                <w:szCs w:val="18"/>
                <w:lang w:bidi="ar"/>
              </w:rPr>
              <w:t>XS1200205</w:t>
            </w:r>
          </w:p>
        </w:tc>
        <w:tc>
          <w:tcPr>
            <w:tcW w:w="709" w:type="dxa"/>
            <w:vAlign w:val="center"/>
          </w:tcPr>
          <w:p w14:paraId="0BFCD065">
            <w:pPr>
              <w:spacing w:line="360" w:lineRule="auto"/>
              <w:jc w:val="center"/>
              <w:rPr>
                <w:i/>
                <w:color w:val="FF0000"/>
                <w:sz w:val="18"/>
                <w:szCs w:val="18"/>
              </w:rPr>
            </w:pPr>
            <w:r>
              <w:rPr>
                <w:rFonts w:hint="eastAsia"/>
                <w:sz w:val="18"/>
                <w:szCs w:val="18"/>
              </w:rPr>
              <w:t>3</w:t>
            </w:r>
          </w:p>
        </w:tc>
        <w:tc>
          <w:tcPr>
            <w:tcW w:w="709" w:type="dxa"/>
            <w:vAlign w:val="center"/>
          </w:tcPr>
          <w:p w14:paraId="7CD376CC">
            <w:pPr>
              <w:spacing w:line="360" w:lineRule="auto"/>
              <w:jc w:val="center"/>
              <w:rPr>
                <w:i/>
                <w:color w:val="FF0000"/>
                <w:sz w:val="18"/>
                <w:szCs w:val="18"/>
              </w:rPr>
            </w:pPr>
            <w:r>
              <w:rPr>
                <w:sz w:val="18"/>
                <w:szCs w:val="18"/>
              </w:rPr>
              <w:t>1</w:t>
            </w:r>
          </w:p>
        </w:tc>
        <w:tc>
          <w:tcPr>
            <w:tcW w:w="1045" w:type="dxa"/>
          </w:tcPr>
          <w:p w14:paraId="57817495">
            <w:pPr>
              <w:spacing w:line="360" w:lineRule="auto"/>
              <w:jc w:val="center"/>
              <w:rPr>
                <w:color w:val="000000" w:themeColor="text1"/>
                <w:sz w:val="18"/>
                <w:szCs w:val="18"/>
                <w14:textFill>
                  <w14:solidFill>
                    <w14:schemeClr w14:val="tx1"/>
                  </w14:solidFill>
                </w14:textFill>
              </w:rPr>
            </w:pPr>
            <w:r>
              <w:rPr>
                <w:rFonts w:hint="eastAsia"/>
                <w:sz w:val="18"/>
                <w:szCs w:val="18"/>
              </w:rPr>
              <w:t>考查</w:t>
            </w:r>
          </w:p>
        </w:tc>
      </w:tr>
      <w:tr w14:paraId="1E6232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3BE5F75">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3960C8B9">
            <w:pPr>
              <w:spacing w:line="360" w:lineRule="auto"/>
              <w:jc w:val="center"/>
              <w:rPr>
                <w:b/>
                <w:color w:val="000000" w:themeColor="text1"/>
                <w:sz w:val="18"/>
                <w:szCs w:val="18"/>
                <w14:textFill>
                  <w14:solidFill>
                    <w14:schemeClr w14:val="tx1"/>
                  </w14:solidFill>
                </w14:textFill>
              </w:rPr>
            </w:pPr>
          </w:p>
        </w:tc>
        <w:tc>
          <w:tcPr>
            <w:tcW w:w="3516" w:type="dxa"/>
          </w:tcPr>
          <w:p w14:paraId="5101240B">
            <w:pPr>
              <w:spacing w:line="360" w:lineRule="auto"/>
              <w:jc w:val="left"/>
              <w:rPr>
                <w:iCs/>
                <w:sz w:val="18"/>
                <w:szCs w:val="18"/>
              </w:rPr>
            </w:pPr>
            <w:r>
              <w:rPr>
                <w:rFonts w:hint="eastAsia"/>
                <w:iCs/>
                <w:sz w:val="18"/>
                <w:szCs w:val="18"/>
              </w:rPr>
              <w:t>微生物学及应用</w:t>
            </w:r>
          </w:p>
        </w:tc>
        <w:tc>
          <w:tcPr>
            <w:tcW w:w="1081" w:type="dxa"/>
            <w:vAlign w:val="center"/>
          </w:tcPr>
          <w:p w14:paraId="33D094BC">
            <w:pPr>
              <w:widowControl/>
              <w:jc w:val="center"/>
              <w:textAlignment w:val="center"/>
              <w:rPr>
                <w:iCs/>
                <w:sz w:val="18"/>
                <w:szCs w:val="18"/>
              </w:rPr>
            </w:pPr>
            <w:r>
              <w:rPr>
                <w:rFonts w:eastAsia="等线"/>
                <w:color w:val="000000"/>
                <w:kern w:val="0"/>
                <w:sz w:val="18"/>
                <w:szCs w:val="18"/>
                <w:lang w:bidi="ar"/>
              </w:rPr>
              <w:t>XS1200206</w:t>
            </w:r>
          </w:p>
        </w:tc>
        <w:tc>
          <w:tcPr>
            <w:tcW w:w="709" w:type="dxa"/>
          </w:tcPr>
          <w:p w14:paraId="63E6C8DC">
            <w:pPr>
              <w:spacing w:line="360" w:lineRule="auto"/>
              <w:jc w:val="center"/>
              <w:rPr>
                <w:iCs/>
                <w:sz w:val="18"/>
                <w:szCs w:val="18"/>
              </w:rPr>
            </w:pPr>
            <w:r>
              <w:rPr>
                <w:rFonts w:hint="eastAsia"/>
                <w:iCs/>
                <w:sz w:val="18"/>
                <w:szCs w:val="18"/>
              </w:rPr>
              <w:t>3</w:t>
            </w:r>
          </w:p>
        </w:tc>
        <w:tc>
          <w:tcPr>
            <w:tcW w:w="709" w:type="dxa"/>
          </w:tcPr>
          <w:p w14:paraId="27B49496">
            <w:pPr>
              <w:spacing w:line="360" w:lineRule="auto"/>
              <w:jc w:val="center"/>
              <w:rPr>
                <w:iCs/>
                <w:sz w:val="18"/>
                <w:szCs w:val="18"/>
              </w:rPr>
            </w:pPr>
            <w:r>
              <w:rPr>
                <w:rFonts w:hint="eastAsia"/>
                <w:iCs/>
                <w:sz w:val="18"/>
                <w:szCs w:val="18"/>
              </w:rPr>
              <w:t>1</w:t>
            </w:r>
          </w:p>
        </w:tc>
        <w:tc>
          <w:tcPr>
            <w:tcW w:w="1045" w:type="dxa"/>
          </w:tcPr>
          <w:p w14:paraId="55B51136">
            <w:pPr>
              <w:spacing w:line="360" w:lineRule="auto"/>
              <w:jc w:val="center"/>
              <w:rPr>
                <w:color w:val="000000" w:themeColor="text1"/>
                <w:sz w:val="18"/>
                <w:szCs w:val="18"/>
                <w14:textFill>
                  <w14:solidFill>
                    <w14:schemeClr w14:val="tx1"/>
                  </w14:solidFill>
                </w14:textFill>
              </w:rPr>
            </w:pPr>
            <w:r>
              <w:rPr>
                <w:rFonts w:hint="eastAsia"/>
              </w:rPr>
              <w:t>考查</w:t>
            </w:r>
          </w:p>
        </w:tc>
      </w:tr>
      <w:tr w14:paraId="333973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7D6BFAFB">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3288596F">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33DBC0AE">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107BA662">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tcPr>
          <w:p w14:paraId="72AAC8E7">
            <w:pPr>
              <w:spacing w:line="360" w:lineRule="auto"/>
              <w:jc w:val="center"/>
              <w:rPr>
                <w:color w:val="000000" w:themeColor="text1"/>
                <w:sz w:val="18"/>
                <w:szCs w:val="18"/>
                <w14:textFill>
                  <w14:solidFill>
                    <w14:schemeClr w14:val="tx1"/>
                  </w14:solidFill>
                </w14:textFill>
              </w:rPr>
            </w:pPr>
          </w:p>
        </w:tc>
        <w:tc>
          <w:tcPr>
            <w:tcW w:w="709" w:type="dxa"/>
          </w:tcPr>
          <w:p w14:paraId="1CEA34D0">
            <w:pPr>
              <w:spacing w:line="360" w:lineRule="auto"/>
              <w:jc w:val="center"/>
              <w:rPr>
                <w:color w:val="000000" w:themeColor="text1"/>
                <w:sz w:val="18"/>
                <w:szCs w:val="18"/>
                <w14:textFill>
                  <w14:solidFill>
                    <w14:schemeClr w14:val="tx1"/>
                  </w14:solidFill>
                </w14:textFill>
              </w:rPr>
            </w:pPr>
            <w:r>
              <w:t>0</w:t>
            </w:r>
          </w:p>
        </w:tc>
        <w:tc>
          <w:tcPr>
            <w:tcW w:w="709" w:type="dxa"/>
          </w:tcPr>
          <w:p w14:paraId="5FF8E2CE">
            <w:pPr>
              <w:spacing w:line="360" w:lineRule="auto"/>
              <w:jc w:val="center"/>
              <w:rPr>
                <w:color w:val="000000" w:themeColor="text1"/>
                <w:sz w:val="18"/>
                <w:szCs w:val="18"/>
                <w14:textFill>
                  <w14:solidFill>
                    <w14:schemeClr w14:val="tx1"/>
                  </w14:solidFill>
                </w14:textFill>
              </w:rPr>
            </w:pPr>
            <w:r>
              <w:t>1</w:t>
            </w:r>
          </w:p>
        </w:tc>
        <w:tc>
          <w:tcPr>
            <w:tcW w:w="1045" w:type="dxa"/>
            <w:vMerge w:val="restart"/>
            <w:vAlign w:val="center"/>
          </w:tcPr>
          <w:p w14:paraId="6A21F178">
            <w:pPr>
              <w:spacing w:line="360" w:lineRule="auto"/>
              <w:jc w:val="center"/>
              <w:rPr>
                <w:i/>
                <w:color w:val="FF0000"/>
                <w:sz w:val="18"/>
                <w:szCs w:val="18"/>
              </w:rPr>
            </w:pPr>
          </w:p>
        </w:tc>
      </w:tr>
      <w:tr w14:paraId="3BCC12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E0BB0C5">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61894450">
            <w:pPr>
              <w:spacing w:line="360" w:lineRule="auto"/>
              <w:jc w:val="center"/>
              <w:rPr>
                <w:b/>
                <w:color w:val="000000" w:themeColor="text1"/>
                <w:sz w:val="18"/>
                <w:szCs w:val="18"/>
                <w14:textFill>
                  <w14:solidFill>
                    <w14:schemeClr w14:val="tx1"/>
                  </w14:solidFill>
                </w14:textFill>
              </w:rPr>
            </w:pPr>
          </w:p>
        </w:tc>
        <w:tc>
          <w:tcPr>
            <w:tcW w:w="3516" w:type="dxa"/>
            <w:vAlign w:val="center"/>
          </w:tcPr>
          <w:p w14:paraId="6A0EAD97">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tcPr>
          <w:p w14:paraId="502675B6">
            <w:pPr>
              <w:spacing w:line="360" w:lineRule="auto"/>
              <w:jc w:val="center"/>
              <w:rPr>
                <w:color w:val="000000" w:themeColor="text1"/>
                <w:sz w:val="18"/>
                <w:szCs w:val="18"/>
                <w14:textFill>
                  <w14:solidFill>
                    <w14:schemeClr w14:val="tx1"/>
                  </w14:solidFill>
                </w14:textFill>
              </w:rPr>
            </w:pPr>
          </w:p>
        </w:tc>
        <w:tc>
          <w:tcPr>
            <w:tcW w:w="709" w:type="dxa"/>
          </w:tcPr>
          <w:p w14:paraId="6E7EAA9F">
            <w:pPr>
              <w:spacing w:line="360" w:lineRule="auto"/>
              <w:jc w:val="center"/>
              <w:rPr>
                <w:color w:val="000000" w:themeColor="text1"/>
                <w:sz w:val="18"/>
                <w:szCs w:val="18"/>
                <w14:textFill>
                  <w14:solidFill>
                    <w14:schemeClr w14:val="tx1"/>
                  </w14:solidFill>
                </w14:textFill>
              </w:rPr>
            </w:pPr>
            <w:r>
              <w:t>1</w:t>
            </w:r>
          </w:p>
        </w:tc>
        <w:tc>
          <w:tcPr>
            <w:tcW w:w="709" w:type="dxa"/>
          </w:tcPr>
          <w:p w14:paraId="0C6477FF">
            <w:pPr>
              <w:spacing w:line="360" w:lineRule="auto"/>
              <w:jc w:val="center"/>
              <w:rPr>
                <w:color w:val="000000" w:themeColor="text1"/>
                <w:sz w:val="18"/>
                <w:szCs w:val="18"/>
                <w14:textFill>
                  <w14:solidFill>
                    <w14:schemeClr w14:val="tx1"/>
                  </w14:solidFill>
                </w14:textFill>
              </w:rPr>
            </w:pPr>
            <w:r>
              <w:t>1-</w:t>
            </w:r>
            <w:r>
              <w:rPr>
                <w:rFonts w:hint="eastAsia"/>
              </w:rPr>
              <w:t>6</w:t>
            </w:r>
          </w:p>
        </w:tc>
        <w:tc>
          <w:tcPr>
            <w:tcW w:w="1045" w:type="dxa"/>
            <w:vMerge w:val="continue"/>
            <w:vAlign w:val="center"/>
          </w:tcPr>
          <w:p w14:paraId="055C2A36">
            <w:pPr>
              <w:spacing w:line="360" w:lineRule="auto"/>
              <w:jc w:val="center"/>
              <w:rPr>
                <w:color w:val="000000" w:themeColor="text1"/>
                <w:sz w:val="18"/>
                <w:szCs w:val="18"/>
                <w14:textFill>
                  <w14:solidFill>
                    <w14:schemeClr w14:val="tx1"/>
                  </w14:solidFill>
                </w14:textFill>
              </w:rPr>
            </w:pPr>
          </w:p>
        </w:tc>
      </w:tr>
      <w:tr w14:paraId="05F65E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484AF4D">
            <w:pPr>
              <w:spacing w:line="360" w:lineRule="auto"/>
              <w:rPr>
                <w:b/>
                <w:color w:val="000000" w:themeColor="text1"/>
                <w:sz w:val="18"/>
                <w:szCs w:val="18"/>
                <w14:textFill>
                  <w14:solidFill>
                    <w14:schemeClr w14:val="tx1"/>
                  </w14:solidFill>
                </w14:textFill>
              </w:rPr>
            </w:pPr>
          </w:p>
        </w:tc>
        <w:tc>
          <w:tcPr>
            <w:tcW w:w="1226" w:type="dxa"/>
            <w:vMerge w:val="restart"/>
            <w:vAlign w:val="center"/>
          </w:tcPr>
          <w:p w14:paraId="6145E0EE">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50D300FF">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49DA1E1D">
            <w:pPr>
              <w:spacing w:line="360" w:lineRule="auto"/>
              <w:jc w:val="center"/>
              <w:rPr>
                <w:color w:val="000000" w:themeColor="text1"/>
                <w:sz w:val="18"/>
                <w:szCs w:val="18"/>
                <w14:textFill>
                  <w14:solidFill>
                    <w14:schemeClr w14:val="tx1"/>
                  </w14:solidFill>
                </w14:textFill>
              </w:rPr>
            </w:pPr>
          </w:p>
        </w:tc>
        <w:tc>
          <w:tcPr>
            <w:tcW w:w="709" w:type="dxa"/>
            <w:vAlign w:val="center"/>
          </w:tcPr>
          <w:p w14:paraId="4FC21274">
            <w:pPr>
              <w:spacing w:line="360" w:lineRule="auto"/>
              <w:jc w:val="center"/>
              <w:rPr>
                <w:color w:val="000000" w:themeColor="text1"/>
                <w:sz w:val="18"/>
                <w:szCs w:val="18"/>
                <w14:textFill>
                  <w14:solidFill>
                    <w14:schemeClr w14:val="tx1"/>
                  </w14:solidFill>
                </w14:textFill>
              </w:rPr>
            </w:pPr>
          </w:p>
        </w:tc>
        <w:tc>
          <w:tcPr>
            <w:tcW w:w="709" w:type="dxa"/>
            <w:vAlign w:val="center"/>
          </w:tcPr>
          <w:p w14:paraId="634AD6C3">
            <w:pPr>
              <w:spacing w:line="360" w:lineRule="auto"/>
              <w:jc w:val="center"/>
              <w:rPr>
                <w:iCs/>
                <w:sz w:val="18"/>
                <w:szCs w:val="18"/>
              </w:rPr>
            </w:pPr>
            <w:r>
              <w:rPr>
                <w:rFonts w:hint="eastAsia"/>
                <w:iCs/>
                <w:sz w:val="18"/>
                <w:szCs w:val="18"/>
              </w:rPr>
              <w:t>2</w:t>
            </w:r>
          </w:p>
        </w:tc>
        <w:tc>
          <w:tcPr>
            <w:tcW w:w="1045" w:type="dxa"/>
            <w:vMerge w:val="restart"/>
            <w:vAlign w:val="center"/>
          </w:tcPr>
          <w:p w14:paraId="491DE2E3">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1A95F576">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1446FE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A46045">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580E1D6B">
            <w:pPr>
              <w:spacing w:line="360" w:lineRule="auto"/>
              <w:jc w:val="center"/>
              <w:rPr>
                <w:b/>
                <w:color w:val="000000" w:themeColor="text1"/>
                <w:sz w:val="18"/>
                <w:szCs w:val="18"/>
                <w14:textFill>
                  <w14:solidFill>
                    <w14:schemeClr w14:val="tx1"/>
                  </w14:solidFill>
                </w14:textFill>
              </w:rPr>
            </w:pPr>
          </w:p>
        </w:tc>
        <w:tc>
          <w:tcPr>
            <w:tcW w:w="3516" w:type="dxa"/>
            <w:vAlign w:val="center"/>
          </w:tcPr>
          <w:p w14:paraId="308B705B">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70622EC5">
            <w:pPr>
              <w:spacing w:line="360" w:lineRule="auto"/>
              <w:jc w:val="center"/>
              <w:rPr>
                <w:color w:val="000000" w:themeColor="text1"/>
                <w:sz w:val="18"/>
                <w:szCs w:val="18"/>
                <w14:textFill>
                  <w14:solidFill>
                    <w14:schemeClr w14:val="tx1"/>
                  </w14:solidFill>
                </w14:textFill>
              </w:rPr>
            </w:pPr>
          </w:p>
        </w:tc>
        <w:tc>
          <w:tcPr>
            <w:tcW w:w="709" w:type="dxa"/>
            <w:vAlign w:val="center"/>
          </w:tcPr>
          <w:p w14:paraId="01A921FF">
            <w:pPr>
              <w:spacing w:line="360" w:lineRule="auto"/>
              <w:jc w:val="center"/>
              <w:rPr>
                <w:color w:val="000000" w:themeColor="text1"/>
                <w:sz w:val="18"/>
                <w:szCs w:val="18"/>
                <w14:textFill>
                  <w14:solidFill>
                    <w14:schemeClr w14:val="tx1"/>
                  </w14:solidFill>
                </w14:textFill>
              </w:rPr>
            </w:pPr>
          </w:p>
        </w:tc>
        <w:tc>
          <w:tcPr>
            <w:tcW w:w="709" w:type="dxa"/>
            <w:vAlign w:val="center"/>
          </w:tcPr>
          <w:p w14:paraId="5089F2CD">
            <w:pPr>
              <w:spacing w:line="360" w:lineRule="auto"/>
              <w:jc w:val="center"/>
              <w:rPr>
                <w:iCs/>
                <w:sz w:val="18"/>
                <w:szCs w:val="18"/>
              </w:rPr>
            </w:pPr>
            <w:r>
              <w:rPr>
                <w:rFonts w:hint="eastAsia"/>
                <w:iCs/>
                <w:sz w:val="18"/>
                <w:szCs w:val="18"/>
              </w:rPr>
              <w:t>2</w:t>
            </w:r>
          </w:p>
        </w:tc>
        <w:tc>
          <w:tcPr>
            <w:tcW w:w="1045" w:type="dxa"/>
            <w:vMerge w:val="continue"/>
            <w:vAlign w:val="center"/>
          </w:tcPr>
          <w:p w14:paraId="57348108">
            <w:pPr>
              <w:spacing w:line="360" w:lineRule="auto"/>
              <w:jc w:val="center"/>
              <w:rPr>
                <w:color w:val="000000" w:themeColor="text1"/>
                <w:sz w:val="18"/>
                <w:szCs w:val="18"/>
                <w14:textFill>
                  <w14:solidFill>
                    <w14:schemeClr w14:val="tx1"/>
                  </w14:solidFill>
                </w14:textFill>
              </w:rPr>
            </w:pPr>
          </w:p>
        </w:tc>
      </w:tr>
      <w:tr w14:paraId="257D77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8D1304">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791F2F35">
            <w:pPr>
              <w:spacing w:line="360" w:lineRule="auto"/>
              <w:jc w:val="center"/>
              <w:rPr>
                <w:b/>
                <w:color w:val="000000" w:themeColor="text1"/>
                <w:sz w:val="18"/>
                <w:szCs w:val="18"/>
                <w14:textFill>
                  <w14:solidFill>
                    <w14:schemeClr w14:val="tx1"/>
                  </w14:solidFill>
                </w14:textFill>
              </w:rPr>
            </w:pPr>
          </w:p>
        </w:tc>
        <w:tc>
          <w:tcPr>
            <w:tcW w:w="3516" w:type="dxa"/>
            <w:vAlign w:val="center"/>
          </w:tcPr>
          <w:p w14:paraId="3C62EB48">
            <w:pPr>
              <w:spacing w:line="360" w:lineRule="auto"/>
              <w:rPr>
                <w:sz w:val="18"/>
                <w:szCs w:val="18"/>
              </w:rPr>
            </w:pPr>
            <w:r>
              <w:rPr>
                <w:sz w:val="18"/>
                <w:szCs w:val="18"/>
              </w:rPr>
              <w:t>论文中期进展报告</w:t>
            </w:r>
          </w:p>
        </w:tc>
        <w:tc>
          <w:tcPr>
            <w:tcW w:w="1081" w:type="dxa"/>
            <w:vAlign w:val="center"/>
          </w:tcPr>
          <w:p w14:paraId="39E910A2">
            <w:pPr>
              <w:spacing w:line="360" w:lineRule="auto"/>
              <w:jc w:val="center"/>
              <w:rPr>
                <w:color w:val="000000" w:themeColor="text1"/>
                <w:sz w:val="18"/>
                <w:szCs w:val="18"/>
                <w14:textFill>
                  <w14:solidFill>
                    <w14:schemeClr w14:val="tx1"/>
                  </w14:solidFill>
                </w14:textFill>
              </w:rPr>
            </w:pPr>
          </w:p>
        </w:tc>
        <w:tc>
          <w:tcPr>
            <w:tcW w:w="709" w:type="dxa"/>
            <w:vAlign w:val="center"/>
          </w:tcPr>
          <w:p w14:paraId="3D2FEAC6">
            <w:pPr>
              <w:spacing w:line="360" w:lineRule="auto"/>
              <w:jc w:val="center"/>
              <w:rPr>
                <w:color w:val="000000" w:themeColor="text1"/>
                <w:sz w:val="18"/>
                <w:szCs w:val="18"/>
                <w14:textFill>
                  <w14:solidFill>
                    <w14:schemeClr w14:val="tx1"/>
                  </w14:solidFill>
                </w14:textFill>
              </w:rPr>
            </w:pPr>
          </w:p>
        </w:tc>
        <w:tc>
          <w:tcPr>
            <w:tcW w:w="709" w:type="dxa"/>
            <w:vAlign w:val="center"/>
          </w:tcPr>
          <w:p w14:paraId="724E7230">
            <w:pPr>
              <w:spacing w:line="360" w:lineRule="auto"/>
              <w:jc w:val="center"/>
              <w:rPr>
                <w:iCs/>
                <w:sz w:val="18"/>
                <w:szCs w:val="18"/>
              </w:rPr>
            </w:pPr>
            <w:r>
              <w:rPr>
                <w:rFonts w:hint="eastAsia"/>
                <w:iCs/>
                <w:sz w:val="18"/>
                <w:szCs w:val="18"/>
              </w:rPr>
              <w:t>4</w:t>
            </w:r>
          </w:p>
        </w:tc>
        <w:tc>
          <w:tcPr>
            <w:tcW w:w="1045" w:type="dxa"/>
            <w:vMerge w:val="continue"/>
          </w:tcPr>
          <w:p w14:paraId="467F877C">
            <w:pPr>
              <w:spacing w:line="360" w:lineRule="auto"/>
              <w:jc w:val="center"/>
              <w:rPr>
                <w:color w:val="000000" w:themeColor="text1"/>
                <w:sz w:val="18"/>
                <w:szCs w:val="18"/>
                <w14:textFill>
                  <w14:solidFill>
                    <w14:schemeClr w14:val="tx1"/>
                  </w14:solidFill>
                </w14:textFill>
              </w:rPr>
            </w:pPr>
          </w:p>
        </w:tc>
      </w:tr>
      <w:tr w14:paraId="50A6A3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524FCB">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45CBF30A">
            <w:pPr>
              <w:spacing w:line="360" w:lineRule="auto"/>
              <w:jc w:val="center"/>
              <w:rPr>
                <w:b/>
                <w:color w:val="000000" w:themeColor="text1"/>
                <w:sz w:val="18"/>
                <w:szCs w:val="18"/>
                <w14:textFill>
                  <w14:solidFill>
                    <w14:schemeClr w14:val="tx1"/>
                  </w14:solidFill>
                </w14:textFill>
              </w:rPr>
            </w:pPr>
          </w:p>
        </w:tc>
        <w:tc>
          <w:tcPr>
            <w:tcW w:w="3516" w:type="dxa"/>
            <w:vAlign w:val="center"/>
          </w:tcPr>
          <w:p w14:paraId="3C37ADBC">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3F10DCBD">
            <w:pPr>
              <w:spacing w:line="360" w:lineRule="auto"/>
              <w:jc w:val="center"/>
              <w:rPr>
                <w:color w:val="000000" w:themeColor="text1"/>
                <w:sz w:val="18"/>
                <w:szCs w:val="18"/>
                <w14:textFill>
                  <w14:solidFill>
                    <w14:schemeClr w14:val="tx1"/>
                  </w14:solidFill>
                </w14:textFill>
              </w:rPr>
            </w:pPr>
          </w:p>
        </w:tc>
        <w:tc>
          <w:tcPr>
            <w:tcW w:w="709" w:type="dxa"/>
            <w:vAlign w:val="center"/>
          </w:tcPr>
          <w:p w14:paraId="04F11787">
            <w:pPr>
              <w:spacing w:line="360" w:lineRule="auto"/>
              <w:jc w:val="center"/>
              <w:rPr>
                <w:color w:val="000000" w:themeColor="text1"/>
                <w:sz w:val="18"/>
                <w:szCs w:val="18"/>
                <w14:textFill>
                  <w14:solidFill>
                    <w14:schemeClr w14:val="tx1"/>
                  </w14:solidFill>
                </w14:textFill>
              </w:rPr>
            </w:pPr>
          </w:p>
        </w:tc>
        <w:tc>
          <w:tcPr>
            <w:tcW w:w="709" w:type="dxa"/>
            <w:vAlign w:val="center"/>
          </w:tcPr>
          <w:p w14:paraId="302059DB">
            <w:pPr>
              <w:spacing w:line="360" w:lineRule="auto"/>
              <w:jc w:val="center"/>
              <w:rPr>
                <w:iCs/>
                <w:sz w:val="18"/>
                <w:szCs w:val="18"/>
              </w:rPr>
            </w:pPr>
            <w:r>
              <w:rPr>
                <w:rFonts w:hint="eastAsia"/>
                <w:iCs/>
                <w:sz w:val="18"/>
                <w:szCs w:val="18"/>
              </w:rPr>
              <w:t>6</w:t>
            </w:r>
          </w:p>
        </w:tc>
        <w:tc>
          <w:tcPr>
            <w:tcW w:w="1045" w:type="dxa"/>
            <w:vMerge w:val="continue"/>
          </w:tcPr>
          <w:p w14:paraId="6423E8CB">
            <w:pPr>
              <w:spacing w:line="360" w:lineRule="auto"/>
              <w:jc w:val="center"/>
              <w:rPr>
                <w:color w:val="000000" w:themeColor="text1"/>
                <w:sz w:val="18"/>
                <w:szCs w:val="18"/>
                <w14:textFill>
                  <w14:solidFill>
                    <w14:schemeClr w14:val="tx1"/>
                  </w14:solidFill>
                </w14:textFill>
              </w:rPr>
            </w:pPr>
          </w:p>
        </w:tc>
      </w:tr>
      <w:tr w14:paraId="5B5C7C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3D9DF67">
            <w:pPr>
              <w:spacing w:line="360" w:lineRule="auto"/>
              <w:rPr>
                <w:color w:val="000000" w:themeColor="text1"/>
                <w:sz w:val="18"/>
                <w:szCs w:val="18"/>
                <w14:textFill>
                  <w14:solidFill>
                    <w14:schemeClr w14:val="tx1"/>
                  </w14:solidFill>
                </w14:textFill>
              </w:rPr>
            </w:pPr>
          </w:p>
        </w:tc>
        <w:tc>
          <w:tcPr>
            <w:tcW w:w="1226" w:type="dxa"/>
            <w:vMerge w:val="continue"/>
          </w:tcPr>
          <w:p w14:paraId="785C3DB8">
            <w:pPr>
              <w:spacing w:line="360" w:lineRule="auto"/>
              <w:jc w:val="center"/>
              <w:rPr>
                <w:color w:val="000000" w:themeColor="text1"/>
                <w:sz w:val="18"/>
                <w:szCs w:val="18"/>
                <w14:textFill>
                  <w14:solidFill>
                    <w14:schemeClr w14:val="tx1"/>
                  </w14:solidFill>
                </w14:textFill>
              </w:rPr>
            </w:pPr>
          </w:p>
        </w:tc>
        <w:tc>
          <w:tcPr>
            <w:tcW w:w="3516" w:type="dxa"/>
            <w:vAlign w:val="center"/>
          </w:tcPr>
          <w:p w14:paraId="05B8AABE">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187AE7E9">
            <w:pPr>
              <w:spacing w:line="360" w:lineRule="auto"/>
              <w:jc w:val="center"/>
              <w:rPr>
                <w:color w:val="000000" w:themeColor="text1"/>
                <w:sz w:val="18"/>
                <w:szCs w:val="18"/>
                <w14:textFill>
                  <w14:solidFill>
                    <w14:schemeClr w14:val="tx1"/>
                  </w14:solidFill>
                </w14:textFill>
              </w:rPr>
            </w:pPr>
          </w:p>
        </w:tc>
        <w:tc>
          <w:tcPr>
            <w:tcW w:w="709" w:type="dxa"/>
            <w:vAlign w:val="center"/>
          </w:tcPr>
          <w:p w14:paraId="3E1F818E">
            <w:pPr>
              <w:spacing w:line="360" w:lineRule="auto"/>
              <w:jc w:val="center"/>
              <w:rPr>
                <w:color w:val="000000" w:themeColor="text1"/>
                <w:sz w:val="18"/>
                <w:szCs w:val="18"/>
                <w14:textFill>
                  <w14:solidFill>
                    <w14:schemeClr w14:val="tx1"/>
                  </w14:solidFill>
                </w14:textFill>
              </w:rPr>
            </w:pPr>
          </w:p>
        </w:tc>
        <w:tc>
          <w:tcPr>
            <w:tcW w:w="709" w:type="dxa"/>
            <w:vAlign w:val="center"/>
          </w:tcPr>
          <w:p w14:paraId="59B9E8FF">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4C2C5242">
            <w:pPr>
              <w:spacing w:line="360" w:lineRule="auto"/>
              <w:jc w:val="center"/>
              <w:rPr>
                <w:color w:val="000000" w:themeColor="text1"/>
                <w:sz w:val="18"/>
                <w:szCs w:val="18"/>
                <w14:textFill>
                  <w14:solidFill>
                    <w14:schemeClr w14:val="tx1"/>
                  </w14:solidFill>
                </w14:textFill>
              </w:rPr>
            </w:pPr>
          </w:p>
        </w:tc>
      </w:tr>
      <w:tr w14:paraId="66CB8C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29C1BE">
            <w:pPr>
              <w:spacing w:line="360" w:lineRule="auto"/>
              <w:rPr>
                <w:color w:val="000000" w:themeColor="text1"/>
                <w:sz w:val="18"/>
                <w:szCs w:val="18"/>
                <w14:textFill>
                  <w14:solidFill>
                    <w14:schemeClr w14:val="tx1"/>
                  </w14:solidFill>
                </w14:textFill>
              </w:rPr>
            </w:pPr>
          </w:p>
        </w:tc>
        <w:tc>
          <w:tcPr>
            <w:tcW w:w="1226" w:type="dxa"/>
            <w:vMerge w:val="continue"/>
          </w:tcPr>
          <w:p w14:paraId="0AFA4528">
            <w:pPr>
              <w:spacing w:line="360" w:lineRule="auto"/>
              <w:jc w:val="center"/>
              <w:rPr>
                <w:color w:val="000000" w:themeColor="text1"/>
                <w:sz w:val="18"/>
                <w:szCs w:val="18"/>
                <w14:textFill>
                  <w14:solidFill>
                    <w14:schemeClr w14:val="tx1"/>
                  </w14:solidFill>
                </w14:textFill>
              </w:rPr>
            </w:pPr>
          </w:p>
        </w:tc>
        <w:tc>
          <w:tcPr>
            <w:tcW w:w="3516" w:type="dxa"/>
            <w:vAlign w:val="center"/>
          </w:tcPr>
          <w:p w14:paraId="3E3BCCAC">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1727C4B8">
            <w:pPr>
              <w:spacing w:line="360" w:lineRule="auto"/>
              <w:jc w:val="center"/>
              <w:rPr>
                <w:color w:val="000000" w:themeColor="text1"/>
                <w:sz w:val="18"/>
                <w:szCs w:val="18"/>
                <w14:textFill>
                  <w14:solidFill>
                    <w14:schemeClr w14:val="tx1"/>
                  </w14:solidFill>
                </w14:textFill>
              </w:rPr>
            </w:pPr>
          </w:p>
        </w:tc>
        <w:tc>
          <w:tcPr>
            <w:tcW w:w="709" w:type="dxa"/>
            <w:vAlign w:val="center"/>
          </w:tcPr>
          <w:p w14:paraId="6BB27F56">
            <w:pPr>
              <w:spacing w:line="360" w:lineRule="auto"/>
              <w:jc w:val="center"/>
              <w:rPr>
                <w:color w:val="000000" w:themeColor="text1"/>
                <w:sz w:val="18"/>
                <w:szCs w:val="18"/>
                <w14:textFill>
                  <w14:solidFill>
                    <w14:schemeClr w14:val="tx1"/>
                  </w14:solidFill>
                </w14:textFill>
              </w:rPr>
            </w:pPr>
          </w:p>
        </w:tc>
        <w:tc>
          <w:tcPr>
            <w:tcW w:w="709" w:type="dxa"/>
            <w:vAlign w:val="center"/>
          </w:tcPr>
          <w:p w14:paraId="39CC04CC">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62E0D801">
            <w:pPr>
              <w:spacing w:line="360" w:lineRule="auto"/>
              <w:jc w:val="center"/>
              <w:rPr>
                <w:color w:val="000000" w:themeColor="text1"/>
                <w:sz w:val="18"/>
                <w:szCs w:val="18"/>
                <w14:textFill>
                  <w14:solidFill>
                    <w14:schemeClr w14:val="tx1"/>
                  </w14:solidFill>
                </w14:textFill>
              </w:rPr>
            </w:pPr>
          </w:p>
        </w:tc>
      </w:tr>
    </w:tbl>
    <w:p w14:paraId="29DFF142">
      <w:pPr>
        <w:spacing w:line="360" w:lineRule="auto"/>
        <w:ind w:firstLine="480" w:firstLineChars="200"/>
        <w:rPr>
          <w:rFonts w:eastAsiaTheme="minorEastAsia"/>
          <w:bCs/>
          <w:sz w:val="24"/>
        </w:rPr>
      </w:pPr>
      <w:r>
        <w:rPr>
          <w:rFonts w:eastAsiaTheme="minorEastAsia"/>
          <w:bCs/>
          <w:sz w:val="24"/>
        </w:rPr>
        <w:t>*公共外语课程按入学时的外国语考试科目修读相关语种。</w:t>
      </w:r>
    </w:p>
    <w:p w14:paraId="0F373DDB">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554CBBF8">
      <w:pPr>
        <w:spacing w:line="360" w:lineRule="auto"/>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7BD408E2">
      <w:pPr>
        <w:spacing w:line="360" w:lineRule="auto"/>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1065C69B">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7D7E9A"/>
    <w:multiLevelType w:val="multilevel"/>
    <w:tmpl w:val="337D7E9A"/>
    <w:lvl w:ilvl="0" w:tentative="0">
      <w:start w:val="3"/>
      <w:numFmt w:val="japaneseCounting"/>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6D484241"/>
    <w:multiLevelType w:val="multilevel"/>
    <w:tmpl w:val="6D484241"/>
    <w:lvl w:ilvl="0" w:tentative="0">
      <w:start w:val="1"/>
      <w:numFmt w:val="decimal"/>
      <w:lvlText w:val="%1、"/>
      <w:lvlJc w:val="left"/>
      <w:pPr>
        <w:ind w:left="720" w:hanging="720"/>
      </w:pPr>
      <w:rPr>
        <w:rFonts w:hint="default" w:ascii="Times New Roman" w:hAnsi="Times New Roman" w:cs="Times New Roman"/>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63D"/>
    <w:rsid w:val="00061F41"/>
    <w:rsid w:val="00071ACD"/>
    <w:rsid w:val="00071EA9"/>
    <w:rsid w:val="000F04E4"/>
    <w:rsid w:val="00144487"/>
    <w:rsid w:val="00182C6A"/>
    <w:rsid w:val="001A489D"/>
    <w:rsid w:val="001B0E92"/>
    <w:rsid w:val="001D055D"/>
    <w:rsid w:val="001E4B58"/>
    <w:rsid w:val="001E7DAF"/>
    <w:rsid w:val="00213074"/>
    <w:rsid w:val="002238B1"/>
    <w:rsid w:val="0023079E"/>
    <w:rsid w:val="002444AD"/>
    <w:rsid w:val="00252795"/>
    <w:rsid w:val="00271D21"/>
    <w:rsid w:val="002D02F0"/>
    <w:rsid w:val="002D0A98"/>
    <w:rsid w:val="00307D83"/>
    <w:rsid w:val="00342C0B"/>
    <w:rsid w:val="003815D9"/>
    <w:rsid w:val="003C264D"/>
    <w:rsid w:val="003F63E3"/>
    <w:rsid w:val="00424C39"/>
    <w:rsid w:val="0044122A"/>
    <w:rsid w:val="00442D44"/>
    <w:rsid w:val="004C1990"/>
    <w:rsid w:val="00514184"/>
    <w:rsid w:val="0052438D"/>
    <w:rsid w:val="00564F6E"/>
    <w:rsid w:val="00676060"/>
    <w:rsid w:val="00682945"/>
    <w:rsid w:val="006847FC"/>
    <w:rsid w:val="006C0CDC"/>
    <w:rsid w:val="006C780B"/>
    <w:rsid w:val="007162DC"/>
    <w:rsid w:val="00783E90"/>
    <w:rsid w:val="007845A1"/>
    <w:rsid w:val="00787F1F"/>
    <w:rsid w:val="007A280C"/>
    <w:rsid w:val="007A554C"/>
    <w:rsid w:val="007D6E7D"/>
    <w:rsid w:val="007E2AA4"/>
    <w:rsid w:val="008905AF"/>
    <w:rsid w:val="008976DA"/>
    <w:rsid w:val="008A6516"/>
    <w:rsid w:val="008D206E"/>
    <w:rsid w:val="008E11ED"/>
    <w:rsid w:val="008F1F8D"/>
    <w:rsid w:val="00905D83"/>
    <w:rsid w:val="00907930"/>
    <w:rsid w:val="00914F40"/>
    <w:rsid w:val="00924EC2"/>
    <w:rsid w:val="00955D01"/>
    <w:rsid w:val="0098473D"/>
    <w:rsid w:val="00985647"/>
    <w:rsid w:val="009B11B3"/>
    <w:rsid w:val="00A07890"/>
    <w:rsid w:val="00A14DCC"/>
    <w:rsid w:val="00A33265"/>
    <w:rsid w:val="00AE3247"/>
    <w:rsid w:val="00B06B99"/>
    <w:rsid w:val="00B13ABD"/>
    <w:rsid w:val="00B61251"/>
    <w:rsid w:val="00B64120"/>
    <w:rsid w:val="00B94971"/>
    <w:rsid w:val="00BA036E"/>
    <w:rsid w:val="00BA7857"/>
    <w:rsid w:val="00BF1BF2"/>
    <w:rsid w:val="00BF7A3B"/>
    <w:rsid w:val="00C01A85"/>
    <w:rsid w:val="00C31DAD"/>
    <w:rsid w:val="00C63272"/>
    <w:rsid w:val="00C946BE"/>
    <w:rsid w:val="00CC5CD7"/>
    <w:rsid w:val="00CD1E97"/>
    <w:rsid w:val="00D006A9"/>
    <w:rsid w:val="00D14066"/>
    <w:rsid w:val="00D14716"/>
    <w:rsid w:val="00D3188A"/>
    <w:rsid w:val="00DA1142"/>
    <w:rsid w:val="00DD6DD9"/>
    <w:rsid w:val="00DD756F"/>
    <w:rsid w:val="00DF60D5"/>
    <w:rsid w:val="00DF763D"/>
    <w:rsid w:val="00E07BF6"/>
    <w:rsid w:val="00E44A6F"/>
    <w:rsid w:val="00E55826"/>
    <w:rsid w:val="00E70526"/>
    <w:rsid w:val="00EF7551"/>
    <w:rsid w:val="00EF76ED"/>
    <w:rsid w:val="00F27F61"/>
    <w:rsid w:val="00F32283"/>
    <w:rsid w:val="00F93D20"/>
    <w:rsid w:val="00FA548A"/>
    <w:rsid w:val="00FB29E8"/>
    <w:rsid w:val="00FD10CE"/>
    <w:rsid w:val="0CEA1955"/>
    <w:rsid w:val="0D8F4B10"/>
    <w:rsid w:val="130C0F93"/>
    <w:rsid w:val="164E5AC3"/>
    <w:rsid w:val="3A285BC0"/>
    <w:rsid w:val="422A26BF"/>
    <w:rsid w:val="48F8350A"/>
    <w:rsid w:val="51895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0"/>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4"/>
    <w:basedOn w:val="1"/>
    <w:link w:val="11"/>
    <w:qFormat/>
    <w:uiPriority w:val="9"/>
    <w:pPr>
      <w:widowControl/>
      <w:spacing w:before="100" w:beforeAutospacing="1" w:after="100" w:afterAutospacing="1"/>
      <w:jc w:val="left"/>
      <w:outlineLvl w:val="3"/>
    </w:pPr>
    <w:rPr>
      <w:rFonts w:ascii="宋体" w:hAnsi="宋体" w:cs="宋体"/>
      <w:b/>
      <w:bCs/>
      <w:kern w:val="0"/>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customStyle="1" w:styleId="9">
    <w:name w:val="ds-markdown-cite"/>
    <w:basedOn w:val="7"/>
    <w:qFormat/>
    <w:uiPriority w:val="0"/>
  </w:style>
  <w:style w:type="character" w:customStyle="1" w:styleId="10">
    <w:name w:val="标题 3 字符"/>
    <w:basedOn w:val="7"/>
    <w:link w:val="2"/>
    <w:qFormat/>
    <w:uiPriority w:val="9"/>
    <w:rPr>
      <w:rFonts w:ascii="宋体" w:hAnsi="宋体" w:eastAsia="宋体" w:cs="宋体"/>
      <w:b/>
      <w:bCs/>
      <w:kern w:val="0"/>
      <w:sz w:val="27"/>
      <w:szCs w:val="27"/>
    </w:rPr>
  </w:style>
  <w:style w:type="character" w:customStyle="1" w:styleId="11">
    <w:name w:val="标题 4 字符"/>
    <w:basedOn w:val="7"/>
    <w:link w:val="3"/>
    <w:qFormat/>
    <w:uiPriority w:val="9"/>
    <w:rPr>
      <w:rFonts w:ascii="宋体" w:hAnsi="宋体" w:eastAsia="宋体" w:cs="宋体"/>
      <w:b/>
      <w:bCs/>
      <w:kern w:val="0"/>
      <w:sz w:val="24"/>
      <w:szCs w:val="24"/>
    </w:rPr>
  </w:style>
  <w:style w:type="paragraph" w:customStyle="1" w:styleId="12">
    <w:name w:val="ds-markdown-paragraph"/>
    <w:basedOn w:val="1"/>
    <w:qFormat/>
    <w:uiPriority w:val="0"/>
    <w:pPr>
      <w:widowControl/>
      <w:spacing w:before="100" w:beforeAutospacing="1" w:after="100" w:afterAutospacing="1"/>
      <w:jc w:val="left"/>
    </w:pPr>
    <w:rPr>
      <w:rFonts w:ascii="宋体" w:hAnsi="宋体" w:cs="宋体"/>
      <w:kern w:val="0"/>
      <w:sz w:val="24"/>
    </w:rPr>
  </w:style>
  <w:style w:type="paragraph" w:styleId="13">
    <w:name w:val="List Paragraph"/>
    <w:basedOn w:val="1"/>
    <w:qFormat/>
    <w:uiPriority w:val="34"/>
    <w:pPr>
      <w:ind w:firstLine="420" w:firstLineChars="200"/>
    </w:pPr>
  </w:style>
  <w:style w:type="character" w:customStyle="1" w:styleId="14">
    <w:name w:val="页眉 字符"/>
    <w:basedOn w:val="7"/>
    <w:link w:val="5"/>
    <w:qFormat/>
    <w:uiPriority w:val="99"/>
    <w:rPr>
      <w:rFonts w:ascii="Times New Roman" w:hAnsi="Times New Roman" w:eastAsia="宋体" w:cs="Times New Roman"/>
      <w:sz w:val="18"/>
      <w:szCs w:val="18"/>
    </w:rPr>
  </w:style>
  <w:style w:type="character" w:customStyle="1" w:styleId="15">
    <w:name w:val="页脚 字符"/>
    <w:basedOn w:val="7"/>
    <w:link w:val="4"/>
    <w:qFormat/>
    <w:uiPriority w:val="99"/>
    <w:rPr>
      <w:rFonts w:ascii="Times New Roman" w:hAnsi="Times New Roman" w:eastAsia="宋体" w:cs="Times New Roman"/>
      <w:sz w:val="18"/>
      <w:szCs w:val="18"/>
    </w:rPr>
  </w:style>
  <w:style w:type="paragraph" w:customStyle="1" w:styleId="16">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3463</Words>
  <Characters>3633</Characters>
  <Lines>27</Lines>
  <Paragraphs>7</Paragraphs>
  <TotalTime>2</TotalTime>
  <ScaleCrop>false</ScaleCrop>
  <LinksUpToDate>false</LinksUpToDate>
  <CharactersWithSpaces>3655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2025-04-24T09:33:00Z</dcterms:created>
  <dc:creator>LC</dc:creator>
  <cp:lastModifiedBy>可儿</cp:lastModifiedBy>
  <cp:lastPrinted>2025-05-13T00:37:00Z</cp:lastPrinted>
  <dcterms:modified xsi:type="dcterms:W3CDTF">2025-07-09T03:28:24Z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f5d10e365a75d6903594708137748de56d666e56045a2727db238c4549b35c03</vt:lpwstr>
  </property>
  <property fmtid="{D5CDD505-2E9C-101B-9397-08002B2CF9AE}" pid="3" name="KSOTemplateDocerSaveRecord">
    <vt:lpwstr>eyJoZGlkIjoiZTc1ZjU4ZGM4MmRlYjBkMGFiM2M0MTg2NzI5ZTI4NzUiLCJ1c2VySWQiOiIzMjM0MDI2NTMifQ==</vt:lpwstr>
  </property>
  <property fmtid="{D5CDD505-2E9C-101B-9397-08002B2CF9AE}" pid="4" name="KSOProductBuildVer">
    <vt:lpwstr>2052-12.1.0.21915</vt:lpwstr>
  </property>
  <property fmtid="{D5CDD505-2E9C-101B-9397-08002B2CF9AE}" pid="5" name="ICV">
    <vt:lpwstr>75AB32BF4676433FBD30BF1A08A95043_12</vt:lpwstr>
  </property>
</Properties>
</file>