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89DD3">
      <w:pPr>
        <w:ind w:left="321" w:leftChars="153" w:right="227"/>
        <w:jc w:val="center"/>
        <w:rPr>
          <w:rFonts w:eastAsia="黑体"/>
          <w:b/>
          <w:bCs/>
          <w:sz w:val="36"/>
          <w:szCs w:val="36"/>
        </w:rPr>
      </w:pPr>
      <w:bookmarkStart w:id="0" w:name="OLE_LINK7"/>
      <w:bookmarkStart w:id="1" w:name="OLE_LINK6"/>
      <w:r>
        <w:rPr>
          <w:rFonts w:hint="eastAsia" w:eastAsia="黑体"/>
          <w:b/>
          <w:bCs/>
          <w:sz w:val="36"/>
          <w:szCs w:val="36"/>
        </w:rPr>
        <w:t>资源利用与植物保护</w:t>
      </w:r>
      <w:r>
        <w:rPr>
          <w:rFonts w:eastAsia="黑体"/>
          <w:b/>
          <w:bCs/>
          <w:sz w:val="36"/>
          <w:szCs w:val="36"/>
        </w:rPr>
        <w:t>专业全日制专业学位硕士研究生培养方案</w:t>
      </w:r>
    </w:p>
    <w:p w14:paraId="6B47C3BE">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生命科学学院</w:t>
      </w:r>
      <w:r>
        <w:rPr>
          <w:rFonts w:eastAsia="黑体"/>
          <w:b/>
          <w:bCs/>
          <w:sz w:val="28"/>
          <w:szCs w:val="28"/>
        </w:rPr>
        <w:t>学院)</w:t>
      </w:r>
    </w:p>
    <w:p w14:paraId="139B138F">
      <w:pPr>
        <w:spacing w:line="360" w:lineRule="auto"/>
        <w:ind w:firstLine="560"/>
        <w:rPr>
          <w:rFonts w:eastAsia="黑体"/>
          <w:bCs/>
          <w:sz w:val="28"/>
          <w:szCs w:val="28"/>
        </w:rPr>
      </w:pPr>
      <w:r>
        <w:rPr>
          <w:rFonts w:eastAsia="黑体"/>
          <w:bCs/>
          <w:sz w:val="28"/>
          <w:szCs w:val="28"/>
        </w:rPr>
        <w:t>一、专业名称、代码</w:t>
      </w:r>
    </w:p>
    <w:p w14:paraId="23E9A8DD">
      <w:pPr>
        <w:widowControl/>
        <w:spacing w:line="360" w:lineRule="auto"/>
        <w:ind w:firstLine="480" w:firstLineChars="200"/>
        <w:jc w:val="left"/>
        <w:rPr>
          <w:color w:val="222222"/>
          <w:kern w:val="0"/>
          <w:sz w:val="24"/>
        </w:rPr>
      </w:pPr>
      <w:r>
        <w:rPr>
          <w:rFonts w:hint="eastAsia"/>
          <w:color w:val="222222"/>
          <w:kern w:val="0"/>
          <w:sz w:val="24"/>
        </w:rPr>
        <w:t>专业名称：资源利用与植物保护</w:t>
      </w:r>
    </w:p>
    <w:p w14:paraId="0A021E32">
      <w:pPr>
        <w:widowControl/>
        <w:spacing w:line="360" w:lineRule="auto"/>
        <w:ind w:firstLine="480" w:firstLineChars="200"/>
        <w:jc w:val="left"/>
        <w:rPr>
          <w:color w:val="222222"/>
          <w:kern w:val="0"/>
          <w:sz w:val="24"/>
        </w:rPr>
      </w:pPr>
      <w:r>
        <w:rPr>
          <w:rFonts w:hint="eastAsia"/>
          <w:color w:val="222222"/>
          <w:kern w:val="0"/>
          <w:sz w:val="24"/>
        </w:rPr>
        <w:t>专业代码：</w:t>
      </w:r>
      <w:r>
        <w:rPr>
          <w:color w:val="222222"/>
          <w:kern w:val="0"/>
          <w:sz w:val="24"/>
        </w:rPr>
        <w:t>095132</w:t>
      </w:r>
    </w:p>
    <w:p w14:paraId="61C2FA35">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6C191DF6">
      <w:pPr>
        <w:spacing w:line="360" w:lineRule="auto"/>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资源利用与植物保护专业是我校于2016年9月获批设立，具有农业硕士专业学位授予权的新兴学科，是河北大学在农业领域发展的重要布局之一。自2018年起，该专业正式招收首届硕士研究生，标志着我校在农业资源利用与植物保护领域的研究和人才培养迈入了新阶段。经过几年的建设与发展，该专业已逐步形成了较为完善的人才培养体系和科研平台，现已成为河北大学具有显著优势和鲜明特色的重点发展专业之一。</w:t>
      </w:r>
    </w:p>
    <w:p w14:paraId="400343F9">
      <w:pPr>
        <w:spacing w:line="360" w:lineRule="auto"/>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本专业在农业资源高效利用技术的开发与应用方面具备突出优势，聚焦于动物、植物、微生物资源的可持续开发利用、病虫害绿色防控等研究方向，紧密围绕农业生态系统的优化与提升，致力于为现代农业提供系统解决方案。依托河北大学多学科交叉融合的科研基础，结合生物学、环境科学、生态学与工程技术等学科优势，逐步形成了以服务区域农业发展为导向、以科技创新为支撑的高水平研究特色。</w:t>
      </w:r>
    </w:p>
    <w:p w14:paraId="70465E4A">
      <w:pPr>
        <w:spacing w:line="360" w:lineRule="auto"/>
        <w:ind w:firstLine="560" w:firstLineChars="200"/>
        <w:rPr>
          <w:rFonts w:eastAsia="黑体"/>
          <w:bCs/>
          <w:sz w:val="28"/>
          <w:szCs w:val="28"/>
        </w:rPr>
      </w:pPr>
      <w:r>
        <w:rPr>
          <w:rFonts w:eastAsia="黑体"/>
          <w:bCs/>
          <w:sz w:val="28"/>
          <w:szCs w:val="28"/>
        </w:rPr>
        <w:t>三、研究方向</w:t>
      </w:r>
    </w:p>
    <w:p w14:paraId="3E7C5070">
      <w:pPr>
        <w:spacing w:line="360" w:lineRule="auto"/>
        <w:ind w:firstLine="540" w:firstLineChars="225"/>
        <w:rPr>
          <w:rFonts w:eastAsiaTheme="minorEastAsia"/>
          <w:color w:val="000000"/>
          <w:sz w:val="24"/>
        </w:rPr>
      </w:pPr>
      <w:r>
        <w:rPr>
          <w:rFonts w:eastAsiaTheme="minorEastAsia"/>
          <w:color w:val="000000"/>
          <w:sz w:val="24"/>
        </w:rPr>
        <w:t>农业硕士专业学位点的主要研究方向为：动物资源利用、植物资源利用和微生物资源利用三个方向。</w:t>
      </w:r>
    </w:p>
    <w:p w14:paraId="39BCC19A">
      <w:pPr>
        <w:spacing w:line="360" w:lineRule="auto"/>
        <w:ind w:firstLine="448" w:firstLineChars="186"/>
        <w:rPr>
          <w:rFonts w:eastAsiaTheme="minorEastAsia"/>
          <w:b/>
          <w:color w:val="000000"/>
          <w:sz w:val="24"/>
        </w:rPr>
      </w:pPr>
      <w:r>
        <w:rPr>
          <w:rFonts w:eastAsiaTheme="minorEastAsia"/>
          <w:b/>
          <w:color w:val="000000"/>
          <w:sz w:val="24"/>
        </w:rPr>
        <w:t>1、动物资源利用方向</w:t>
      </w:r>
    </w:p>
    <w:p w14:paraId="3AFAD0FF">
      <w:pPr>
        <w:spacing w:line="360" w:lineRule="auto"/>
        <w:ind w:firstLine="446" w:firstLineChars="186"/>
        <w:rPr>
          <w:rFonts w:eastAsiaTheme="minorEastAsia"/>
          <w:color w:val="000000"/>
          <w:sz w:val="24"/>
        </w:rPr>
      </w:pPr>
      <w:r>
        <w:rPr>
          <w:rFonts w:eastAsiaTheme="minorEastAsia"/>
          <w:color w:val="000000"/>
          <w:sz w:val="24"/>
        </w:rPr>
        <w:t>本方向主要围绕动物资源的开发与生态利用，重点开展以下几个方面的研究工作：（1）害虫生物防治技术研发：聚焦主要农业害虫的生物防控措施与机制研究，探索基于天敌昆虫、寄生性昆虫、昆虫病原微生物等多样化的绿色防治策略；</w:t>
      </w:r>
    </w:p>
    <w:p w14:paraId="36E1CB61">
      <w:pPr>
        <w:numPr>
          <w:ilvl w:val="0"/>
          <w:numId w:val="1"/>
        </w:numPr>
        <w:spacing w:line="360" w:lineRule="auto"/>
        <w:rPr>
          <w:rFonts w:eastAsiaTheme="minorEastAsia"/>
          <w:color w:val="000000"/>
          <w:sz w:val="24"/>
        </w:rPr>
      </w:pPr>
      <w:r>
        <w:rPr>
          <w:rFonts w:eastAsiaTheme="minorEastAsia"/>
          <w:color w:val="000000"/>
          <w:sz w:val="24"/>
        </w:rPr>
        <w:t>外来入侵物种生态机制研究与综合治理：系统分析入侵物种的入侵路径与扩散规律，研究其对本地物种及生态系统结构的影响机制，并开发科学有效的综合防控技术；（3）昆虫资源开发与利用：探索蝇蛆等昆虫资源的养殖模式与技术路径，开展动物性蛋白饲料的开发研究；同时推动蝗虫等经济昆虫资源的产业化利用，服务农业可持续发展；（4）水生动物健康养殖技术研发：以水生动物的生殖生物学、养殖生物学、营养与免疫机制、疾病发生规律为基础，应用现代分子生物学、生物工程等技术手段，开展苗种培育、绿色饲料研发、水产动物疫病防控与健康养殖模式研究与推广。</w:t>
      </w:r>
    </w:p>
    <w:p w14:paraId="257B0274">
      <w:pPr>
        <w:spacing w:line="360" w:lineRule="auto"/>
        <w:ind w:firstLine="448" w:firstLineChars="186"/>
        <w:rPr>
          <w:rFonts w:eastAsiaTheme="minorEastAsia"/>
          <w:b/>
          <w:color w:val="000000"/>
          <w:sz w:val="24"/>
        </w:rPr>
      </w:pPr>
      <w:r>
        <w:rPr>
          <w:rFonts w:eastAsiaTheme="minorEastAsia"/>
          <w:b/>
          <w:color w:val="000000"/>
          <w:sz w:val="24"/>
        </w:rPr>
        <w:t>2、植物资源利用方向</w:t>
      </w:r>
    </w:p>
    <w:p w14:paraId="6D3D8EEC">
      <w:pPr>
        <w:spacing w:line="360" w:lineRule="auto"/>
        <w:ind w:firstLine="480" w:firstLineChars="200"/>
        <w:rPr>
          <w:rFonts w:eastAsiaTheme="minorEastAsia"/>
          <w:color w:val="000000"/>
          <w:sz w:val="24"/>
        </w:rPr>
      </w:pPr>
      <w:r>
        <w:rPr>
          <w:rFonts w:eastAsiaTheme="minorEastAsia"/>
          <w:color w:val="000000"/>
          <w:sz w:val="24"/>
        </w:rPr>
        <w:t>本方向聚焦植物资源的筛选、育种及其在农业与生态系统中的综合应用，主要开展以下研究：（1）生态修复植物资源筛选与应用：筛选适用于障碍性土壤生态修复的先锋地被植物和湿地生态修复植物材料，推动生态系统功能恢复；（2）</w:t>
      </w:r>
    </w:p>
    <w:p w14:paraId="2668A2AF">
      <w:pPr>
        <w:spacing w:line="360" w:lineRule="auto"/>
        <w:rPr>
          <w:rFonts w:eastAsiaTheme="minorEastAsia"/>
          <w:color w:val="000000"/>
          <w:sz w:val="24"/>
        </w:rPr>
      </w:pPr>
      <w:r>
        <w:rPr>
          <w:rFonts w:eastAsiaTheme="minorEastAsia"/>
          <w:color w:val="000000"/>
          <w:sz w:val="24"/>
        </w:rPr>
        <w:t>作物抗逆性与种质创新研究：围绕抗虫棉、耐盐碱大豆等重点作物，开展新型植物育种材料与转基因材料的筛选与应用研究，提升作物的环境适应性和产量潜力；</w:t>
      </w:r>
    </w:p>
    <w:p w14:paraId="173DEA22">
      <w:pPr>
        <w:numPr>
          <w:ilvl w:val="0"/>
          <w:numId w:val="1"/>
        </w:numPr>
        <w:spacing w:line="360" w:lineRule="auto"/>
        <w:rPr>
          <w:rFonts w:eastAsiaTheme="minorEastAsia"/>
          <w:color w:val="000000"/>
          <w:sz w:val="24"/>
        </w:rPr>
      </w:pPr>
      <w:r>
        <w:rPr>
          <w:rFonts w:eastAsiaTheme="minorEastAsia"/>
          <w:color w:val="000000"/>
          <w:sz w:val="24"/>
        </w:rPr>
        <w:t>草地农业与牧草资源利用：研究牧草资源在生态循环农业中的高效利用模式，推动草地农业与畜牧业的协调发展；（4）功能性植物资源开发：挖掘和开发具有饲用功能的植物添加材料，提升动物营养品质；同时加强河北道地药用植物的综合丰产技术研究，服务地方中药材产业发展。</w:t>
      </w:r>
    </w:p>
    <w:p w14:paraId="252DBCB7">
      <w:pPr>
        <w:spacing w:line="360" w:lineRule="auto"/>
        <w:ind w:firstLine="448" w:firstLineChars="186"/>
        <w:rPr>
          <w:rFonts w:eastAsiaTheme="minorEastAsia"/>
          <w:b/>
          <w:color w:val="000000"/>
          <w:sz w:val="24"/>
        </w:rPr>
      </w:pPr>
      <w:r>
        <w:rPr>
          <w:rFonts w:eastAsiaTheme="minorEastAsia"/>
          <w:b/>
          <w:color w:val="000000"/>
          <w:sz w:val="24"/>
        </w:rPr>
        <w:t>3、微生物资源利用方向</w:t>
      </w:r>
    </w:p>
    <w:p w14:paraId="16552EDF">
      <w:pPr>
        <w:pStyle w:val="2"/>
        <w:adjustRightInd w:val="0"/>
        <w:spacing w:line="360" w:lineRule="auto"/>
        <w:ind w:firstLine="446" w:firstLineChars="186"/>
        <w:rPr>
          <w:rFonts w:ascii="Times New Roman" w:hAnsi="Times New Roman" w:eastAsiaTheme="minorEastAsia"/>
          <w:color w:val="000000"/>
          <w:kern w:val="2"/>
          <w:sz w:val="24"/>
          <w:szCs w:val="24"/>
        </w:rPr>
      </w:pPr>
      <w:r>
        <w:rPr>
          <w:rFonts w:ascii="Times New Roman" w:hAnsi="Times New Roman" w:eastAsiaTheme="minorEastAsia"/>
          <w:color w:val="000000"/>
          <w:kern w:val="2"/>
          <w:sz w:val="24"/>
          <w:szCs w:val="24"/>
        </w:rPr>
        <w:t>本方向聚焦于微生物资源的发掘与农业应用，致力于推动土壤健康、农业废弃物循环利用与病虫害绿色防控等关键问题的解决。主要研究内容包括：（1）土壤微生态修复与改良技术：利用微生态调控技术，针对不同类型的污染和退化土壤，筛选高效专用微生物菌株，用于修复土壤微生态环境、分解化肥农药残留、改善土壤结构和肥力；（2）农业废弃物资源化利用：开发适用于秸秆、畜禽粪便等农业废弃物的高效发酵微生物菌剂，用于生产发酵饲料、蘑菇栽培料及生物有机肥，实现农业废弃物的绿色循环利用；（3）微生物菌剂研制与应用：研发用于土壤修复、植物病虫害防控、作物促生的专用微生物菌剂，推动其在绿色农业和生态农业中的广泛应用；（4）食（药）用真菌与微生物药物研发：开展食用及药用真菌的高效栽培技术研究，并进行微生物农药及新型微生物药物的筛选与应用，为现代农业提供绿色替代产品与解决方案。</w:t>
      </w:r>
    </w:p>
    <w:p w14:paraId="72110539">
      <w:pPr>
        <w:pStyle w:val="2"/>
        <w:adjustRightInd w:val="0"/>
        <w:spacing w:line="360" w:lineRule="auto"/>
        <w:ind w:firstLine="446" w:firstLineChars="186"/>
        <w:rPr>
          <w:rFonts w:ascii="Times New Roman" w:hAnsi="Times New Roman" w:eastAsiaTheme="minorEastAsia"/>
          <w:color w:val="000000"/>
          <w:kern w:val="2"/>
          <w:sz w:val="24"/>
          <w:szCs w:val="24"/>
        </w:rPr>
      </w:pPr>
      <w:r>
        <w:rPr>
          <w:rFonts w:ascii="Times New Roman" w:hAnsi="Times New Roman" w:eastAsiaTheme="minorEastAsia"/>
          <w:sz w:val="24"/>
          <w:szCs w:val="24"/>
        </w:rPr>
        <w:t>以上三个方向相辅相成，协同构建了以“资源高效利用、环境生态保护、农业可持续发展”为核心的多元化研究体系，服务于国家绿色农业战略和京津冀生态农业示范区的建设目标。</w:t>
      </w:r>
    </w:p>
    <w:p w14:paraId="4F67CE87">
      <w:pPr>
        <w:spacing w:line="360" w:lineRule="auto"/>
        <w:ind w:firstLine="560" w:firstLineChars="200"/>
        <w:rPr>
          <w:rFonts w:eastAsia="黑体"/>
          <w:bCs/>
          <w:sz w:val="28"/>
          <w:szCs w:val="28"/>
        </w:rPr>
      </w:pPr>
      <w:r>
        <w:rPr>
          <w:rFonts w:eastAsia="黑体"/>
          <w:bCs/>
          <w:sz w:val="28"/>
          <w:szCs w:val="28"/>
        </w:rPr>
        <w:t>四、学制及学习年限</w:t>
      </w:r>
    </w:p>
    <w:p w14:paraId="020F8BDC">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35C99A8B">
      <w:pPr>
        <w:spacing w:line="360" w:lineRule="auto"/>
        <w:ind w:firstLine="560" w:firstLineChars="200"/>
        <w:rPr>
          <w:rFonts w:eastAsia="黑体"/>
          <w:bCs/>
          <w:sz w:val="28"/>
          <w:szCs w:val="28"/>
        </w:rPr>
      </w:pPr>
      <w:r>
        <w:rPr>
          <w:rFonts w:eastAsia="黑体"/>
          <w:bCs/>
          <w:sz w:val="28"/>
          <w:szCs w:val="28"/>
        </w:rPr>
        <w:t>五、培养目标</w:t>
      </w:r>
    </w:p>
    <w:p w14:paraId="37EEF98E">
      <w:pPr>
        <w:spacing w:line="360" w:lineRule="auto"/>
        <w:ind w:firstLine="480"/>
        <w:rPr>
          <w:rFonts w:asciiTheme="minorEastAsia" w:hAnsiTheme="minorEastAsia" w:eastAsiaTheme="minorEastAsia"/>
          <w:sz w:val="24"/>
        </w:rPr>
      </w:pPr>
      <w:r>
        <w:rPr>
          <w:rFonts w:hint="eastAsia" w:asciiTheme="minorEastAsia" w:hAnsiTheme="minorEastAsia" w:eastAsiaTheme="minorEastAsia"/>
          <w:sz w:val="24"/>
        </w:rPr>
        <w:t>1、树立正确的中国特色社会主义核心价值观，具有坚定的理想信念，高尚的道德情操，优良的学术作风，高度的社会责任感。</w:t>
      </w:r>
    </w:p>
    <w:p w14:paraId="3A526A5F">
      <w:pPr>
        <w:spacing w:line="360" w:lineRule="auto"/>
        <w:ind w:firstLine="480"/>
        <w:rPr>
          <w:rFonts w:asciiTheme="minorEastAsia" w:hAnsiTheme="minorEastAsia" w:eastAsiaTheme="minorEastAsia"/>
          <w:sz w:val="24"/>
        </w:rPr>
      </w:pPr>
      <w:r>
        <w:rPr>
          <w:rFonts w:hint="eastAsia" w:asciiTheme="minorEastAsia" w:hAnsiTheme="minorEastAsia" w:eastAsiaTheme="minorEastAsia"/>
          <w:sz w:val="24"/>
        </w:rPr>
        <w:t>2、掌握所从事的农业资源利用领域的基础理论、系统的专业知识与技能，掌握农业相关学科知识及有关的农业法律、法规的基本知识；具有独立获取和处理知识、信息的能力及观察、分析和解决实际问题的能力；具有熟练的计算机网络操作技能和农业技术经济分析能力；具有从事科学研究工作或独立担负专门技术工作的能力。</w:t>
      </w:r>
    </w:p>
    <w:p w14:paraId="0EDF4FA6">
      <w:pPr>
        <w:spacing w:line="360" w:lineRule="auto"/>
        <w:ind w:firstLine="480"/>
        <w:rPr>
          <w:rFonts w:asciiTheme="minorEastAsia" w:hAnsiTheme="minorEastAsia" w:eastAsiaTheme="minorEastAsia"/>
          <w:sz w:val="24"/>
        </w:rPr>
      </w:pPr>
      <w:r>
        <w:rPr>
          <w:rFonts w:hint="eastAsia" w:asciiTheme="minorEastAsia" w:hAnsiTheme="minorEastAsia" w:eastAsiaTheme="minorEastAsia"/>
          <w:sz w:val="24"/>
        </w:rPr>
        <w:t>3、掌握一门外国语。要求能较熟练地阅读本专业的外文资料，具有一定的写译能力和基本的听、说能力。掌握一门外国语，能较熟练地阅读本专业的外文资料，具有撰写学术论文和进行国际学术交流的能力。</w:t>
      </w:r>
    </w:p>
    <w:p w14:paraId="78B1E70C">
      <w:pPr>
        <w:spacing w:line="360" w:lineRule="auto"/>
        <w:ind w:firstLine="480"/>
        <w:rPr>
          <w:rFonts w:asciiTheme="minorEastAsia" w:hAnsiTheme="minorEastAsia" w:eastAsiaTheme="minorEastAsia"/>
          <w:sz w:val="24"/>
        </w:rPr>
      </w:pPr>
      <w:r>
        <w:rPr>
          <w:rFonts w:hint="eastAsia" w:asciiTheme="minorEastAsia" w:hAnsiTheme="minorEastAsia" w:eastAsiaTheme="minorEastAsia"/>
          <w:sz w:val="24"/>
        </w:rPr>
        <w:t>4、具有良好的团队意识和团队合作精神。</w:t>
      </w:r>
    </w:p>
    <w:p w14:paraId="33EEC0C2">
      <w:pPr>
        <w:spacing w:line="360" w:lineRule="auto"/>
        <w:ind w:firstLine="480"/>
        <w:rPr>
          <w:rFonts w:asciiTheme="minorEastAsia" w:hAnsiTheme="minorEastAsia" w:eastAsiaTheme="minorEastAsia"/>
          <w:sz w:val="24"/>
        </w:rPr>
      </w:pPr>
      <w:r>
        <w:rPr>
          <w:rFonts w:hint="eastAsia" w:asciiTheme="minorEastAsia" w:hAnsiTheme="minorEastAsia" w:eastAsiaTheme="minorEastAsia"/>
          <w:sz w:val="24"/>
        </w:rPr>
        <w:t>5、具有健康的身体和良好的心理素质。</w:t>
      </w:r>
    </w:p>
    <w:p w14:paraId="6474C4B8">
      <w:pPr>
        <w:spacing w:line="360" w:lineRule="auto"/>
        <w:ind w:firstLine="480"/>
        <w:rPr>
          <w:rFonts w:asciiTheme="minorEastAsia" w:hAnsiTheme="minorEastAsia" w:eastAsiaTheme="minorEastAsia"/>
          <w:sz w:val="24"/>
        </w:rPr>
      </w:pPr>
      <w:r>
        <w:rPr>
          <w:rFonts w:hint="eastAsia" w:asciiTheme="minorEastAsia" w:hAnsiTheme="minorEastAsia" w:eastAsiaTheme="minorEastAsia"/>
          <w:sz w:val="24"/>
        </w:rPr>
        <w:t>6、 培养德智体美劳全面发展的社会主义事业接班人。</w:t>
      </w:r>
    </w:p>
    <w:p w14:paraId="7335F7AE">
      <w:pPr>
        <w:spacing w:line="360" w:lineRule="auto"/>
        <w:ind w:firstLine="560" w:firstLineChars="200"/>
        <w:rPr>
          <w:rFonts w:eastAsia="黑体"/>
          <w:bCs/>
          <w:sz w:val="28"/>
          <w:szCs w:val="28"/>
        </w:rPr>
      </w:pPr>
      <w:r>
        <w:rPr>
          <w:rFonts w:eastAsia="黑体"/>
          <w:bCs/>
          <w:sz w:val="28"/>
          <w:szCs w:val="28"/>
        </w:rPr>
        <w:t>六、培养方式</w:t>
      </w:r>
    </w:p>
    <w:p w14:paraId="41074BF8">
      <w:pPr>
        <w:spacing w:line="360" w:lineRule="auto"/>
        <w:ind w:firstLine="480" w:firstLineChars="200"/>
        <w:rPr>
          <w:rFonts w:eastAsiaTheme="minorEastAsia"/>
          <w:bCs/>
          <w:sz w:val="24"/>
        </w:rPr>
      </w:pPr>
      <w:r>
        <w:rPr>
          <w:rFonts w:hint="eastAsia" w:eastAsiaTheme="minorEastAsia"/>
          <w:bCs/>
          <w:sz w:val="24"/>
        </w:rPr>
        <w:t>1. 实行双导师制，理论与实践相结合</w:t>
      </w:r>
    </w:p>
    <w:p w14:paraId="274DA087">
      <w:pPr>
        <w:spacing w:line="360" w:lineRule="auto"/>
        <w:ind w:firstLine="480" w:firstLineChars="200"/>
        <w:rPr>
          <w:rFonts w:eastAsiaTheme="minorEastAsia"/>
          <w:bCs/>
          <w:sz w:val="24"/>
        </w:rPr>
      </w:pPr>
      <w:r>
        <w:rPr>
          <w:rFonts w:hint="eastAsia" w:eastAsiaTheme="minorEastAsia"/>
          <w:bCs/>
          <w:sz w:val="24"/>
        </w:rPr>
        <w:t>实行校内导师和校外实践单位双导师制。安排学生到校外导师单位或者农业科研机构、植物保护等农业生物技术相关的企业、生态环境修复等相关企业进行实习，增强其实践能力和应用技能。</w:t>
      </w:r>
    </w:p>
    <w:p w14:paraId="02408EC9">
      <w:pPr>
        <w:spacing w:line="360" w:lineRule="auto"/>
        <w:ind w:firstLine="480" w:firstLineChars="200"/>
        <w:rPr>
          <w:rFonts w:eastAsiaTheme="minorEastAsia"/>
          <w:bCs/>
          <w:sz w:val="24"/>
        </w:rPr>
      </w:pPr>
      <w:r>
        <w:rPr>
          <w:rFonts w:hint="eastAsia" w:eastAsiaTheme="minorEastAsia"/>
          <w:bCs/>
          <w:sz w:val="24"/>
        </w:rPr>
        <w:t>课程设置：开设基础理论课程，如植物生态学、草地科学、土壤学、植物保护学、微生物资源开发利用等，同时增加实践课程的比重，如田间实验、实验室技术、数据分析等。</w:t>
      </w:r>
    </w:p>
    <w:p w14:paraId="0E6A52C0">
      <w:pPr>
        <w:spacing w:line="360" w:lineRule="auto"/>
        <w:ind w:firstLine="480" w:firstLineChars="200"/>
        <w:rPr>
          <w:rFonts w:eastAsiaTheme="minorEastAsia"/>
          <w:bCs/>
          <w:sz w:val="24"/>
        </w:rPr>
      </w:pPr>
      <w:r>
        <w:rPr>
          <w:rFonts w:hint="eastAsia" w:eastAsiaTheme="minorEastAsia"/>
          <w:bCs/>
          <w:sz w:val="24"/>
        </w:rPr>
        <w:t>2. 跨学科融合</w:t>
      </w:r>
    </w:p>
    <w:p w14:paraId="7AB01C20">
      <w:pPr>
        <w:spacing w:line="360" w:lineRule="auto"/>
        <w:ind w:firstLine="480" w:firstLineChars="200"/>
        <w:rPr>
          <w:rFonts w:eastAsiaTheme="minorEastAsia"/>
          <w:bCs/>
          <w:sz w:val="24"/>
        </w:rPr>
      </w:pPr>
      <w:r>
        <w:rPr>
          <w:rFonts w:hint="eastAsia" w:eastAsiaTheme="minorEastAsia"/>
          <w:bCs/>
          <w:sz w:val="24"/>
        </w:rPr>
        <w:t>结合生物学、生态学、环境科学、农业工程等相关学科，开设跨学科的课程，培养学生的综合素养和创新思维。</w:t>
      </w:r>
    </w:p>
    <w:p w14:paraId="39D05ABE">
      <w:pPr>
        <w:spacing w:line="360" w:lineRule="auto"/>
        <w:ind w:firstLine="480" w:firstLineChars="200"/>
        <w:rPr>
          <w:rFonts w:eastAsiaTheme="minorEastAsia"/>
          <w:bCs/>
          <w:sz w:val="24"/>
        </w:rPr>
      </w:pPr>
      <w:r>
        <w:rPr>
          <w:rFonts w:hint="eastAsia" w:eastAsiaTheme="minorEastAsia"/>
          <w:bCs/>
          <w:sz w:val="24"/>
        </w:rPr>
        <w:t>3. 研究能力提升</w:t>
      </w:r>
    </w:p>
    <w:p w14:paraId="0A12978F">
      <w:pPr>
        <w:spacing w:line="360" w:lineRule="auto"/>
        <w:ind w:firstLine="480" w:firstLineChars="200"/>
        <w:rPr>
          <w:rFonts w:eastAsiaTheme="minorEastAsia"/>
          <w:bCs/>
          <w:sz w:val="24"/>
        </w:rPr>
      </w:pPr>
      <w:r>
        <w:rPr>
          <w:rFonts w:hint="eastAsia" w:eastAsiaTheme="minorEastAsia"/>
          <w:bCs/>
          <w:sz w:val="24"/>
        </w:rPr>
        <w:t>科研训练：鼓励学生参与导师的科研项目，提供科研方法论的课程和培训，培养其独立进行科学研究的能力。</w:t>
      </w:r>
    </w:p>
    <w:p w14:paraId="7F17E858">
      <w:pPr>
        <w:spacing w:line="360" w:lineRule="auto"/>
        <w:ind w:firstLine="480" w:firstLineChars="200"/>
        <w:rPr>
          <w:rFonts w:eastAsiaTheme="minorEastAsia"/>
          <w:bCs/>
          <w:sz w:val="24"/>
        </w:rPr>
      </w:pPr>
      <w:r>
        <w:rPr>
          <w:rFonts w:hint="eastAsia" w:eastAsiaTheme="minorEastAsia"/>
          <w:bCs/>
          <w:sz w:val="24"/>
        </w:rPr>
        <w:t>学术交流：组织学术讲座、研讨会，鼓励学生参加国内外学术会议，提升其学术视野和交流能力。</w:t>
      </w:r>
    </w:p>
    <w:p w14:paraId="71966E21">
      <w:pPr>
        <w:spacing w:line="360" w:lineRule="auto"/>
        <w:ind w:firstLine="480" w:firstLineChars="200"/>
        <w:rPr>
          <w:rFonts w:eastAsiaTheme="minorEastAsia"/>
          <w:bCs/>
          <w:sz w:val="24"/>
        </w:rPr>
      </w:pPr>
      <w:r>
        <w:rPr>
          <w:rFonts w:hint="eastAsia" w:eastAsiaTheme="minorEastAsia"/>
          <w:bCs/>
          <w:sz w:val="24"/>
        </w:rPr>
        <w:t>4.个性化培养</w:t>
      </w:r>
    </w:p>
    <w:p w14:paraId="2DE17067">
      <w:pPr>
        <w:spacing w:line="360" w:lineRule="auto"/>
        <w:ind w:firstLine="480" w:firstLineChars="200"/>
        <w:rPr>
          <w:rFonts w:eastAsiaTheme="minorEastAsia"/>
          <w:bCs/>
          <w:sz w:val="24"/>
        </w:rPr>
      </w:pPr>
      <w:r>
        <w:rPr>
          <w:rFonts w:hint="eastAsia" w:eastAsiaTheme="minorEastAsia"/>
          <w:bCs/>
          <w:sz w:val="24"/>
        </w:rPr>
        <w:t>导师制：推行导师制，根据学生的兴趣和职业规划提供个性化的培养方案，鼓励自主学习和研究。</w:t>
      </w:r>
    </w:p>
    <w:p w14:paraId="4ADB4A45">
      <w:pPr>
        <w:spacing w:line="360" w:lineRule="auto"/>
        <w:ind w:firstLine="480" w:firstLineChars="200"/>
        <w:rPr>
          <w:rFonts w:eastAsiaTheme="minorEastAsia"/>
          <w:bCs/>
          <w:sz w:val="24"/>
        </w:rPr>
      </w:pPr>
      <w:r>
        <w:rPr>
          <w:rFonts w:hint="eastAsia" w:eastAsiaTheme="minorEastAsia"/>
          <w:bCs/>
          <w:sz w:val="24"/>
        </w:rPr>
        <w:t>职业规划指导：定期进行职业发展指导，帮助学生规划未来的就业方向，如科研、教育、政策制定等。</w:t>
      </w:r>
    </w:p>
    <w:p w14:paraId="251ADBF2">
      <w:pPr>
        <w:spacing w:line="360" w:lineRule="auto"/>
        <w:ind w:firstLine="480" w:firstLineChars="200"/>
        <w:rPr>
          <w:rFonts w:eastAsiaTheme="minorEastAsia"/>
          <w:bCs/>
          <w:sz w:val="24"/>
        </w:rPr>
      </w:pPr>
      <w:r>
        <w:rPr>
          <w:rFonts w:hint="eastAsia" w:eastAsiaTheme="minorEastAsia"/>
          <w:bCs/>
          <w:sz w:val="24"/>
        </w:rPr>
        <w:t>5. 评价与反馈</w:t>
      </w:r>
    </w:p>
    <w:p w14:paraId="49A55A37">
      <w:pPr>
        <w:spacing w:line="360" w:lineRule="auto"/>
        <w:ind w:firstLine="480" w:firstLineChars="200"/>
        <w:rPr>
          <w:rFonts w:eastAsiaTheme="minorEastAsia"/>
          <w:bCs/>
          <w:sz w:val="24"/>
        </w:rPr>
      </w:pPr>
      <w:r>
        <w:rPr>
          <w:rFonts w:hint="eastAsia" w:eastAsiaTheme="minorEastAsia"/>
          <w:bCs/>
          <w:sz w:val="24"/>
        </w:rPr>
        <w:t>动态评价：建立多元化的评价体系，不仅考核学术成绩，还包括实践能力、团队合作、创新能力等方面。</w:t>
      </w:r>
    </w:p>
    <w:p w14:paraId="445EB337">
      <w:pPr>
        <w:spacing w:line="360" w:lineRule="auto"/>
        <w:ind w:firstLine="480" w:firstLineChars="200"/>
        <w:rPr>
          <w:rFonts w:eastAsiaTheme="minorEastAsia"/>
          <w:bCs/>
          <w:sz w:val="24"/>
        </w:rPr>
      </w:pPr>
      <w:r>
        <w:rPr>
          <w:rFonts w:hint="eastAsia" w:eastAsiaTheme="minorEastAsia"/>
          <w:bCs/>
          <w:sz w:val="24"/>
        </w:rPr>
        <w:t>反馈机制：定期收集学生对课程和培养方式的反馈，及时调整和优化教学内容和方法。</w:t>
      </w:r>
    </w:p>
    <w:p w14:paraId="77C80A94">
      <w:pPr>
        <w:spacing w:line="360" w:lineRule="auto"/>
        <w:ind w:firstLine="480" w:firstLineChars="200"/>
        <w:rPr>
          <w:rFonts w:eastAsiaTheme="minorEastAsia"/>
          <w:bCs/>
          <w:sz w:val="24"/>
        </w:rPr>
      </w:pPr>
      <w:r>
        <w:rPr>
          <w:rFonts w:hint="eastAsia" w:eastAsiaTheme="minorEastAsia"/>
          <w:bCs/>
          <w:sz w:val="24"/>
        </w:rPr>
        <w:t>通过以上多维度的培养方式，资源利用与植物保护专业的硕士研究生将能够更好地掌握专业知识，提高实践能力，具备解决实际问题的能力，为未来的职业发展奠定坚实基础。</w:t>
      </w:r>
    </w:p>
    <w:p w14:paraId="5A0DCEED">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63F19590">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46B05081">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12A2FFC3">
      <w:pPr>
        <w:widowControl/>
        <w:spacing w:line="360" w:lineRule="auto"/>
        <w:ind w:firstLine="480"/>
        <w:jc w:val="left"/>
        <w:rPr>
          <w:color w:val="000000" w:themeColor="text1"/>
          <w:kern w:val="0"/>
          <w:sz w:val="24"/>
        </w:rPr>
      </w:pPr>
      <w:r>
        <w:rPr>
          <w:bCs/>
          <w:color w:val="222222"/>
          <w:kern w:val="0"/>
          <w:sz w:val="24"/>
        </w:rPr>
        <w:t>1.总体要求：</w:t>
      </w:r>
      <w:r>
        <w:rPr>
          <w:color w:val="000000" w:themeColor="text1"/>
          <w:kern w:val="0"/>
          <w:sz w:val="24"/>
        </w:rPr>
        <w:t>按照《河北大学关于开展2025版研究生培养方案修订工作的指导意见》（校政字</w:t>
      </w:r>
      <w:r>
        <w:rPr>
          <w:rFonts w:eastAsiaTheme="minorEastAsia"/>
          <w:bCs/>
          <w:sz w:val="24"/>
        </w:rPr>
        <w:t>〔2025〕9号</w:t>
      </w:r>
      <w:r>
        <w:rPr>
          <w:color w:val="000000" w:themeColor="text1"/>
          <w:kern w:val="0"/>
          <w:sz w:val="24"/>
        </w:rPr>
        <w:t>）规定，硕士研究生论文开题与答辩时间间隔原则上不少于12个月。学位（毕业）论文应当表明作者具有独立从事学术研究工作的能力，鼓励硕士研究生参与科学研究，取得创新性成果。专业学位硕士研究生必须在导师指导下独立完成学位（毕业）论文。学位（毕业）论文应着眼于解决实际问题，重在反映学生运用所学理论与知识综合解决实践问题的能力，不得抄袭和剽窃他人成果。</w:t>
      </w:r>
    </w:p>
    <w:p w14:paraId="59612420">
      <w:pPr>
        <w:widowControl/>
        <w:spacing w:line="360" w:lineRule="auto"/>
        <w:ind w:firstLine="480"/>
        <w:jc w:val="left"/>
        <w:rPr>
          <w:color w:val="000000" w:themeColor="text1"/>
          <w:kern w:val="0"/>
          <w:sz w:val="24"/>
        </w:rPr>
      </w:pPr>
      <w:r>
        <w:rPr>
          <w:color w:val="000000" w:themeColor="text1"/>
          <w:kern w:val="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30DD79CB">
      <w:pPr>
        <w:widowControl/>
        <w:spacing w:line="360" w:lineRule="auto"/>
        <w:ind w:firstLine="480"/>
        <w:jc w:val="left"/>
        <w:rPr>
          <w:color w:val="000000" w:themeColor="text1"/>
          <w:kern w:val="0"/>
          <w:sz w:val="24"/>
        </w:rPr>
      </w:pPr>
      <w:r>
        <w:rPr>
          <w:color w:val="000000" w:themeColor="text1"/>
          <w:kern w:val="0"/>
          <w:sz w:val="24"/>
        </w:rPr>
        <w:t>原则上在入学后第3学期完成开题。开题由3-5名具有高级专业技术职务人员参加，以学术报告的方式进行。</w:t>
      </w:r>
    </w:p>
    <w:p w14:paraId="419002A9">
      <w:pPr>
        <w:widowControl/>
        <w:spacing w:line="360" w:lineRule="auto"/>
        <w:ind w:firstLine="480"/>
        <w:jc w:val="left"/>
        <w:rPr>
          <w:color w:val="000000" w:themeColor="text1"/>
          <w:kern w:val="0"/>
          <w:sz w:val="24"/>
        </w:rPr>
      </w:pPr>
      <w:r>
        <w:rPr>
          <w:color w:val="000000" w:themeColor="text1"/>
          <w:kern w:val="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514791DF">
      <w:pPr>
        <w:widowControl/>
        <w:spacing w:line="360" w:lineRule="auto"/>
        <w:ind w:firstLine="480"/>
        <w:jc w:val="left"/>
        <w:rPr>
          <w:color w:val="000000" w:themeColor="text1"/>
          <w:kern w:val="0"/>
          <w:sz w:val="24"/>
        </w:rPr>
      </w:pPr>
      <w:r>
        <w:rPr>
          <w:color w:val="000000" w:themeColor="text1"/>
          <w:kern w:val="0"/>
          <w:sz w:val="24"/>
        </w:rPr>
        <w:t>4.学位申请：达到学位授予条件的申请人，经导师同意后，应于答辩前三个月，向所属学位评定分委员会提出学位申请，提交学位申请材料。</w:t>
      </w:r>
    </w:p>
    <w:p w14:paraId="2E61E3B2">
      <w:pPr>
        <w:widowControl/>
        <w:spacing w:line="360" w:lineRule="auto"/>
        <w:ind w:firstLine="480"/>
        <w:jc w:val="left"/>
        <w:rPr>
          <w:color w:val="000000" w:themeColor="text1"/>
          <w:kern w:val="0"/>
          <w:sz w:val="24"/>
        </w:rPr>
      </w:pPr>
      <w:r>
        <w:rPr>
          <w:color w:val="000000" w:themeColor="text1"/>
          <w:kern w:val="0"/>
          <w:sz w:val="24"/>
        </w:rPr>
        <w:t>5.预答辩：学位申请人须进行学位论文预答辩。预答辩通过者，方可进入学位论文评阅、学位论文答辩等环节。学位（毕业）论文预答辩在正式答辩前3个月进行。</w:t>
      </w:r>
    </w:p>
    <w:p w14:paraId="76FF236B">
      <w:pPr>
        <w:widowControl/>
        <w:spacing w:line="360" w:lineRule="auto"/>
        <w:ind w:firstLine="480"/>
        <w:jc w:val="left"/>
        <w:rPr>
          <w:color w:val="222222"/>
          <w:kern w:val="0"/>
          <w:sz w:val="24"/>
        </w:rPr>
      </w:pPr>
      <w:r>
        <w:rPr>
          <w:color w:val="000000" w:themeColor="text1"/>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w:t>
      </w:r>
      <w:r>
        <w:rPr>
          <w:color w:val="222222"/>
          <w:kern w:val="0"/>
          <w:sz w:val="24"/>
        </w:rPr>
        <w:t>》（校政字〔2025〕8号）执行。</w:t>
      </w:r>
    </w:p>
    <w:p w14:paraId="2BABA301">
      <w:pPr>
        <w:widowControl/>
        <w:spacing w:line="360" w:lineRule="auto"/>
        <w:ind w:firstLine="480"/>
        <w:jc w:val="left"/>
        <w:rPr>
          <w:rFonts w:eastAsiaTheme="minorEastAsia"/>
          <w:i/>
          <w:color w:val="FF0000"/>
          <w:sz w:val="24"/>
        </w:rPr>
      </w:pPr>
      <w:r>
        <w:rPr>
          <w:b/>
          <w:bCs/>
          <w:color w:val="222222"/>
          <w:kern w:val="0"/>
          <w:sz w:val="24"/>
        </w:rPr>
        <w:t>7.答辩：</w:t>
      </w:r>
      <w:r>
        <w:rPr>
          <w:bCs/>
          <w:color w:val="222222"/>
          <w:kern w:val="0"/>
          <w:sz w:val="24"/>
        </w:rPr>
        <w:t>学位（毕业）论文答辩按照</w:t>
      </w:r>
      <w:r>
        <w:rPr>
          <w:color w:val="222222"/>
          <w:kern w:val="0"/>
          <w:sz w:val="24"/>
        </w:rPr>
        <w:t>《河北大学博士、硕士学位授予工作实施细则》（校政字〔2025〕7号）执行。</w:t>
      </w:r>
    </w:p>
    <w:p w14:paraId="1BDD41D5">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3C3FABAC">
      <w:pPr>
        <w:spacing w:line="360" w:lineRule="auto"/>
        <w:ind w:firstLine="480" w:firstLineChars="200"/>
        <w:rPr>
          <w:rFonts w:ascii="宋体" w:hAnsi="宋体" w:cs="宋体"/>
          <w:bCs/>
          <w:sz w:val="24"/>
        </w:rPr>
      </w:pPr>
      <w:r>
        <w:rPr>
          <w:rFonts w:hint="eastAsia" w:ascii="宋体" w:hAnsi="宋体" w:cs="宋体"/>
          <w:bCs/>
          <w:sz w:val="24"/>
        </w:rPr>
        <w:t>1. 课程学习。研究生在规定修业年限内完成培养方案规定的课程学习，考核成绩合格，获得规定的学分。</w:t>
      </w:r>
    </w:p>
    <w:p w14:paraId="65729E68">
      <w:pPr>
        <w:spacing w:line="360" w:lineRule="auto"/>
        <w:ind w:firstLine="480" w:firstLineChars="200"/>
        <w:rPr>
          <w:rFonts w:ascii="宋体" w:hAnsi="宋体" w:cs="宋体"/>
          <w:bCs/>
          <w:sz w:val="24"/>
          <w:szCs w:val="22"/>
        </w:rPr>
      </w:pPr>
      <w:r>
        <w:rPr>
          <w:rFonts w:hint="eastAsia" w:ascii="宋体" w:hAnsi="宋体" w:cs="宋体"/>
          <w:bCs/>
          <w:sz w:val="24"/>
        </w:rPr>
        <w:t>2. 学术/实践活动。研究生在读期间至少需要完成两类活动中的一类：</w:t>
      </w:r>
    </w:p>
    <w:p w14:paraId="7E0A8C01">
      <w:pPr>
        <w:spacing w:line="360" w:lineRule="auto"/>
        <w:ind w:firstLine="480" w:firstLineChars="200"/>
        <w:rPr>
          <w:bCs/>
          <w:color w:val="FF0000"/>
          <w:kern w:val="0"/>
          <w:sz w:val="24"/>
        </w:rPr>
      </w:pPr>
      <w:r>
        <w:rPr>
          <w:rFonts w:hint="eastAsia" w:ascii="宋体" w:hAnsi="宋体" w:cs="宋体"/>
          <w:bCs/>
          <w:kern w:val="0"/>
          <w:sz w:val="24"/>
        </w:rPr>
        <w:t>（1）学术活动：研究生在读期间参加不少于10次学术活动，并撰写学术报告小结；以主讲人或宣讲人身份，参加在校内外举行的学术报告或学术讲座不少于1次。</w:t>
      </w:r>
    </w:p>
    <w:p w14:paraId="351B6325">
      <w:pPr>
        <w:spacing w:line="360" w:lineRule="auto"/>
        <w:ind w:firstLine="480" w:firstLineChars="200"/>
        <w:rPr>
          <w:rFonts w:eastAsiaTheme="minorEastAsia"/>
          <w:i/>
          <w:color w:val="FF0000"/>
          <w:sz w:val="24"/>
        </w:rPr>
      </w:pPr>
      <w:r>
        <w:rPr>
          <w:bCs/>
          <w:kern w:val="0"/>
          <w:sz w:val="24"/>
        </w:rPr>
        <w:t>（2）实践活动：参与本专业相关的社会实践，由相关单位出具相关实践证明材料；或组织开展与本专业相关的调查、考察等活动，并提交相关报告。</w:t>
      </w:r>
    </w:p>
    <w:p w14:paraId="756EF072">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16A0DC6B">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5C4D8CAA">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033120DC">
      <w:pPr>
        <w:spacing w:line="360" w:lineRule="auto"/>
        <w:ind w:firstLine="480" w:firstLineChars="200"/>
        <w:rPr>
          <w:bCs/>
          <w:sz w:val="24"/>
        </w:rPr>
      </w:pPr>
      <w:r>
        <w:rPr>
          <w:bCs/>
          <w:sz w:val="24"/>
        </w:rPr>
        <w:t>学术论文：在国际或国内学术期刊上发表研究成果，推动学术交流与知识传播。</w:t>
      </w:r>
    </w:p>
    <w:p w14:paraId="1ED4992C">
      <w:pPr>
        <w:spacing w:line="360" w:lineRule="auto"/>
        <w:ind w:firstLine="480" w:firstLineChars="200"/>
        <w:rPr>
          <w:bCs/>
          <w:sz w:val="24"/>
        </w:rPr>
      </w:pPr>
      <w:r>
        <w:rPr>
          <w:bCs/>
          <w:sz w:val="24"/>
        </w:rPr>
        <w:t>技术专利：申请与研究相关的技术</w:t>
      </w:r>
      <w:r>
        <w:rPr>
          <w:rFonts w:hint="eastAsia"/>
          <w:bCs/>
          <w:sz w:val="24"/>
        </w:rPr>
        <w:t>、材料、或是方法</w:t>
      </w:r>
      <w:r>
        <w:rPr>
          <w:bCs/>
          <w:sz w:val="24"/>
        </w:rPr>
        <w:t>专利，保护创新成果，促进技术转化。</w:t>
      </w:r>
    </w:p>
    <w:p w14:paraId="2B41E1F5">
      <w:pPr>
        <w:spacing w:line="360" w:lineRule="auto"/>
        <w:ind w:firstLine="480" w:firstLineChars="200"/>
        <w:rPr>
          <w:bCs/>
          <w:sz w:val="24"/>
        </w:rPr>
      </w:pPr>
      <w:r>
        <w:rPr>
          <w:bCs/>
          <w:sz w:val="24"/>
        </w:rPr>
        <w:t>科普宣传材料：制作宣传手册、视频等，普及</w:t>
      </w:r>
      <w:r>
        <w:rPr>
          <w:rFonts w:hint="eastAsia"/>
          <w:bCs/>
          <w:sz w:val="24"/>
        </w:rPr>
        <w:t>农业</w:t>
      </w:r>
      <w:r>
        <w:rPr>
          <w:bCs/>
          <w:sz w:val="24"/>
        </w:rPr>
        <w:t>相关知识</w:t>
      </w:r>
      <w:r>
        <w:rPr>
          <w:rFonts w:hint="eastAsia"/>
          <w:bCs/>
          <w:sz w:val="24"/>
        </w:rPr>
        <w:t>。</w:t>
      </w:r>
    </w:p>
    <w:p w14:paraId="44BB2165">
      <w:pPr>
        <w:spacing w:line="360" w:lineRule="auto"/>
        <w:ind w:firstLine="560" w:firstLineChars="200"/>
        <w:rPr>
          <w:rFonts w:eastAsia="黑体"/>
          <w:bCs/>
          <w:sz w:val="28"/>
          <w:szCs w:val="28"/>
        </w:rPr>
      </w:pPr>
      <w:r>
        <w:rPr>
          <w:rFonts w:eastAsia="黑体"/>
          <w:bCs/>
          <w:sz w:val="28"/>
          <w:szCs w:val="28"/>
        </w:rPr>
        <w:t>十一、学位授予</w:t>
      </w:r>
    </w:p>
    <w:p w14:paraId="7DA7CD5C">
      <w:pPr>
        <w:spacing w:line="360" w:lineRule="auto"/>
        <w:ind w:firstLine="480" w:firstLineChars="20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rFonts w:hint="eastAsia"/>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0FF97631">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48A32713">
      <w:pPr>
        <w:spacing w:line="360" w:lineRule="auto"/>
        <w:ind w:firstLine="480" w:firstLineChars="200"/>
        <w:rPr>
          <w:rFonts w:eastAsiaTheme="minorEastAsia"/>
          <w:bCs/>
          <w:sz w:val="24"/>
        </w:rPr>
      </w:pPr>
      <w:r>
        <w:rPr>
          <w:rFonts w:eastAsiaTheme="minorEastAsia"/>
          <w:bCs/>
          <w:sz w:val="24"/>
        </w:rPr>
        <w:t>本专业最低毕业学分为28分，其中学位课20学分，非学位课8学分。</w:t>
      </w:r>
    </w:p>
    <w:p w14:paraId="15970F92">
      <w:pPr>
        <w:spacing w:line="360" w:lineRule="auto"/>
        <w:ind w:firstLine="480" w:firstLineChars="200"/>
        <w:rPr>
          <w:color w:val="000000"/>
          <w:sz w:val="24"/>
        </w:rPr>
      </w:pPr>
      <w:r>
        <w:rPr>
          <w:rFonts w:eastAsiaTheme="minorEastAsia"/>
          <w:color w:val="000000"/>
          <w:sz w:val="24"/>
        </w:rPr>
        <w:t>课程考试不设补考环节，</w:t>
      </w:r>
      <w:r>
        <w:rPr>
          <w:color w:val="000000"/>
          <w:sz w:val="24"/>
        </w:rPr>
        <w:t>考试成绩低于60分的需重修。</w:t>
      </w:r>
    </w:p>
    <w:p w14:paraId="3ECB3332">
      <w:pPr>
        <w:spacing w:line="360" w:lineRule="auto"/>
        <w:rPr>
          <w:color w:val="FF0000"/>
          <w:sz w:val="24"/>
        </w:rPr>
      </w:pPr>
    </w:p>
    <w:p w14:paraId="7627FEE5">
      <w:pPr>
        <w:spacing w:line="360" w:lineRule="auto"/>
        <w:rPr>
          <w:rFonts w:eastAsiaTheme="minorEastAsia"/>
          <w:color w:val="FF0000"/>
          <w:sz w:val="24"/>
        </w:rPr>
      </w:pPr>
    </w:p>
    <w:p w14:paraId="18014A2E">
      <w:pPr>
        <w:spacing w:line="360" w:lineRule="auto"/>
        <w:rPr>
          <w:rFonts w:eastAsiaTheme="minorEastAsia"/>
          <w:color w:val="FF0000"/>
          <w:sz w:val="24"/>
        </w:rPr>
      </w:pPr>
    </w:p>
    <w:p w14:paraId="2BC287C9">
      <w:pPr>
        <w:spacing w:line="360" w:lineRule="auto"/>
        <w:rPr>
          <w:rFonts w:eastAsiaTheme="minorEastAsia"/>
          <w:color w:val="FF0000"/>
          <w:sz w:val="24"/>
        </w:rPr>
      </w:pPr>
    </w:p>
    <w:p w14:paraId="6A8D4E8F">
      <w:pPr>
        <w:spacing w:line="360" w:lineRule="auto"/>
        <w:rPr>
          <w:rFonts w:eastAsiaTheme="minorEastAsia"/>
          <w:color w:val="FF0000"/>
          <w:sz w:val="24"/>
        </w:rPr>
      </w:pPr>
    </w:p>
    <w:p w14:paraId="3DC5E11B">
      <w:pPr>
        <w:spacing w:line="360" w:lineRule="auto"/>
        <w:rPr>
          <w:rFonts w:eastAsiaTheme="minorEastAsia"/>
          <w:color w:val="FF0000"/>
          <w:sz w:val="24"/>
        </w:rPr>
      </w:pPr>
    </w:p>
    <w:p w14:paraId="137ED117">
      <w:pPr>
        <w:spacing w:afterLines="50" w:line="440" w:lineRule="exact"/>
        <w:ind w:firstLine="482" w:firstLineChars="200"/>
        <w:jc w:val="center"/>
        <w:rPr>
          <w:rFonts w:eastAsiaTheme="minorEastAsia"/>
          <w:b/>
          <w:bCs/>
          <w:sz w:val="24"/>
        </w:rPr>
      </w:pPr>
      <w:r>
        <w:rPr>
          <w:rFonts w:hint="eastAsia" w:eastAsiaTheme="minorEastAsia"/>
          <w:b/>
          <w:bCs/>
          <w:sz w:val="24"/>
        </w:rPr>
        <w:t>资源利用与植物保护</w:t>
      </w:r>
      <w:r>
        <w:rPr>
          <w:rFonts w:eastAsiaTheme="minorEastAsia"/>
          <w:b/>
          <w:bCs/>
          <w:sz w:val="24"/>
        </w:rPr>
        <w:t>专业全日制专业学位硕士研究生课程及培养环节设置一览表</w:t>
      </w:r>
    </w:p>
    <w:tbl>
      <w:tblPr>
        <w:tblStyle w:val="7"/>
        <w:tblW w:w="943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21"/>
        <w:gridCol w:w="1418"/>
        <w:gridCol w:w="3353"/>
        <w:gridCol w:w="1081"/>
        <w:gridCol w:w="709"/>
        <w:gridCol w:w="709"/>
        <w:gridCol w:w="1146"/>
      </w:tblGrid>
      <w:tr w14:paraId="157B7C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439" w:type="dxa"/>
            <w:gridSpan w:val="2"/>
            <w:vAlign w:val="center"/>
          </w:tcPr>
          <w:p w14:paraId="0D304A5B">
            <w:pPr>
              <w:jc w:val="center"/>
              <w:rPr>
                <w:b/>
                <w:color w:val="000000" w:themeColor="text1"/>
                <w:szCs w:val="21"/>
              </w:rPr>
            </w:pPr>
            <w:r>
              <w:rPr>
                <w:b/>
                <w:color w:val="000000" w:themeColor="text1"/>
                <w:szCs w:val="21"/>
              </w:rPr>
              <w:t>课程类别</w:t>
            </w:r>
          </w:p>
        </w:tc>
        <w:tc>
          <w:tcPr>
            <w:tcW w:w="3353" w:type="dxa"/>
            <w:vAlign w:val="center"/>
          </w:tcPr>
          <w:p w14:paraId="595B9FB6">
            <w:pPr>
              <w:jc w:val="center"/>
              <w:rPr>
                <w:b/>
                <w:color w:val="000000" w:themeColor="text1"/>
                <w:szCs w:val="21"/>
              </w:rPr>
            </w:pPr>
            <w:r>
              <w:rPr>
                <w:b/>
                <w:color w:val="000000" w:themeColor="text1"/>
                <w:szCs w:val="21"/>
              </w:rPr>
              <w:t>课程说明</w:t>
            </w:r>
          </w:p>
        </w:tc>
        <w:tc>
          <w:tcPr>
            <w:tcW w:w="1081" w:type="dxa"/>
            <w:vAlign w:val="center"/>
          </w:tcPr>
          <w:p w14:paraId="04164C50">
            <w:pPr>
              <w:jc w:val="center"/>
              <w:rPr>
                <w:b/>
                <w:color w:val="000000" w:themeColor="text1"/>
                <w:szCs w:val="21"/>
              </w:rPr>
            </w:pPr>
            <w:r>
              <w:rPr>
                <w:b/>
                <w:color w:val="000000" w:themeColor="text1"/>
                <w:szCs w:val="21"/>
              </w:rPr>
              <w:t>课程号</w:t>
            </w:r>
          </w:p>
        </w:tc>
        <w:tc>
          <w:tcPr>
            <w:tcW w:w="709" w:type="dxa"/>
            <w:vAlign w:val="center"/>
          </w:tcPr>
          <w:p w14:paraId="6A701C7D">
            <w:pPr>
              <w:jc w:val="center"/>
              <w:rPr>
                <w:b/>
                <w:color w:val="000000" w:themeColor="text1"/>
                <w:szCs w:val="21"/>
              </w:rPr>
            </w:pPr>
            <w:r>
              <w:rPr>
                <w:b/>
                <w:color w:val="000000" w:themeColor="text1"/>
                <w:szCs w:val="21"/>
              </w:rPr>
              <w:t>学分</w:t>
            </w:r>
          </w:p>
        </w:tc>
        <w:tc>
          <w:tcPr>
            <w:tcW w:w="709" w:type="dxa"/>
            <w:vAlign w:val="center"/>
          </w:tcPr>
          <w:p w14:paraId="4420C62E">
            <w:pPr>
              <w:jc w:val="center"/>
              <w:rPr>
                <w:b/>
                <w:color w:val="000000" w:themeColor="text1"/>
                <w:szCs w:val="21"/>
              </w:rPr>
            </w:pPr>
            <w:r>
              <w:rPr>
                <w:b/>
                <w:color w:val="000000" w:themeColor="text1"/>
                <w:szCs w:val="21"/>
              </w:rPr>
              <w:t>学期</w:t>
            </w:r>
          </w:p>
        </w:tc>
        <w:tc>
          <w:tcPr>
            <w:tcW w:w="1146" w:type="dxa"/>
            <w:vAlign w:val="center"/>
          </w:tcPr>
          <w:p w14:paraId="07FC0A68">
            <w:pPr>
              <w:jc w:val="center"/>
              <w:rPr>
                <w:b/>
                <w:color w:val="000000" w:themeColor="text1"/>
                <w:szCs w:val="21"/>
              </w:rPr>
            </w:pPr>
            <w:r>
              <w:rPr>
                <w:rFonts w:hint="eastAsia"/>
                <w:b/>
                <w:color w:val="000000" w:themeColor="text1"/>
                <w:szCs w:val="21"/>
              </w:rPr>
              <w:t>备注</w:t>
            </w:r>
          </w:p>
        </w:tc>
      </w:tr>
      <w:tr w14:paraId="77397C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1021" w:type="dxa"/>
            <w:vMerge w:val="restart"/>
            <w:vAlign w:val="center"/>
          </w:tcPr>
          <w:p w14:paraId="2B3DBE46">
            <w:pPr>
              <w:jc w:val="center"/>
              <w:rPr>
                <w:b/>
                <w:color w:val="000000" w:themeColor="text1"/>
                <w:sz w:val="18"/>
                <w:szCs w:val="18"/>
              </w:rPr>
            </w:pPr>
            <w:r>
              <w:rPr>
                <w:b/>
                <w:color w:val="000000" w:themeColor="text1"/>
                <w:sz w:val="18"/>
                <w:szCs w:val="18"/>
              </w:rPr>
              <w:t>学位课</w:t>
            </w:r>
          </w:p>
          <w:p w14:paraId="6F323ADD">
            <w:pPr>
              <w:jc w:val="center"/>
              <w:rPr>
                <w:b/>
                <w:color w:val="000000" w:themeColor="text1"/>
                <w:sz w:val="18"/>
                <w:szCs w:val="18"/>
              </w:rPr>
            </w:pPr>
            <w:r>
              <w:rPr>
                <w:rFonts w:hint="eastAsia"/>
                <w:b/>
                <w:color w:val="000000" w:themeColor="text1"/>
                <w:sz w:val="18"/>
                <w:szCs w:val="18"/>
              </w:rPr>
              <w:t>(</w:t>
            </w:r>
            <w:r>
              <w:rPr>
                <w:b/>
                <w:color w:val="000000" w:themeColor="text1"/>
                <w:sz w:val="18"/>
                <w:szCs w:val="18"/>
              </w:rPr>
              <w:t>20</w:t>
            </w:r>
            <w:r>
              <w:rPr>
                <w:rFonts w:hint="eastAsia"/>
                <w:b/>
                <w:color w:val="000000" w:themeColor="text1"/>
                <w:sz w:val="18"/>
                <w:szCs w:val="18"/>
              </w:rPr>
              <w:t>学分)</w:t>
            </w:r>
          </w:p>
        </w:tc>
        <w:tc>
          <w:tcPr>
            <w:tcW w:w="1418" w:type="dxa"/>
            <w:vMerge w:val="restart"/>
            <w:vAlign w:val="center"/>
          </w:tcPr>
          <w:p w14:paraId="3F80FF78">
            <w:pPr>
              <w:jc w:val="center"/>
              <w:rPr>
                <w:b/>
                <w:color w:val="000000" w:themeColor="text1"/>
                <w:sz w:val="18"/>
                <w:szCs w:val="18"/>
              </w:rPr>
            </w:pPr>
            <w:r>
              <w:rPr>
                <w:b/>
                <w:color w:val="000000" w:themeColor="text1"/>
                <w:sz w:val="18"/>
                <w:szCs w:val="18"/>
              </w:rPr>
              <w:t>公共必修课</w:t>
            </w:r>
          </w:p>
          <w:p w14:paraId="6BE740A4">
            <w:pPr>
              <w:jc w:val="center"/>
              <w:rPr>
                <w:b/>
                <w:color w:val="000000" w:themeColor="text1"/>
                <w:sz w:val="18"/>
                <w:szCs w:val="18"/>
              </w:rPr>
            </w:pPr>
            <w:r>
              <w:rPr>
                <w:rFonts w:hint="eastAsia"/>
                <w:b/>
                <w:color w:val="000000" w:themeColor="text1"/>
                <w:sz w:val="18"/>
                <w:szCs w:val="18"/>
              </w:rPr>
              <w:t>（4学分）</w:t>
            </w:r>
          </w:p>
        </w:tc>
        <w:tc>
          <w:tcPr>
            <w:tcW w:w="3353" w:type="dxa"/>
            <w:vAlign w:val="center"/>
          </w:tcPr>
          <w:p w14:paraId="39A68D62">
            <w:pPr>
              <w:rPr>
                <w:color w:val="000000" w:themeColor="text1"/>
                <w:sz w:val="18"/>
                <w:szCs w:val="18"/>
              </w:rPr>
            </w:pPr>
            <w:r>
              <w:rPr>
                <w:rFonts w:hint="eastAsia"/>
                <w:color w:val="000000" w:themeColor="text1"/>
                <w:sz w:val="18"/>
                <w:szCs w:val="18"/>
              </w:rPr>
              <w:t>新时代</w:t>
            </w:r>
            <w:r>
              <w:rPr>
                <w:color w:val="000000" w:themeColor="text1"/>
                <w:sz w:val="18"/>
                <w:szCs w:val="18"/>
              </w:rPr>
              <w:t>中国特色社会主义理论与实践</w:t>
            </w:r>
          </w:p>
        </w:tc>
        <w:tc>
          <w:tcPr>
            <w:tcW w:w="1081" w:type="dxa"/>
            <w:vAlign w:val="center"/>
          </w:tcPr>
          <w:p w14:paraId="170BB62B">
            <w:pPr>
              <w:jc w:val="center"/>
              <w:rPr>
                <w:color w:val="000000" w:themeColor="text1"/>
                <w:sz w:val="18"/>
                <w:szCs w:val="18"/>
              </w:rPr>
            </w:pPr>
            <w:r>
              <w:rPr>
                <w:color w:val="000000" w:themeColor="text1"/>
                <w:sz w:val="18"/>
                <w:szCs w:val="18"/>
              </w:rPr>
              <w:t>T</w:t>
            </w:r>
            <w:r>
              <w:rPr>
                <w:rFonts w:hint="eastAsia"/>
                <w:color w:val="000000" w:themeColor="text1"/>
                <w:sz w:val="18"/>
                <w:szCs w:val="18"/>
              </w:rPr>
              <w:t>S</w:t>
            </w:r>
            <w:r>
              <w:rPr>
                <w:color w:val="000000" w:themeColor="text1"/>
                <w:sz w:val="18"/>
                <w:szCs w:val="18"/>
              </w:rPr>
              <w:t>0000001</w:t>
            </w:r>
          </w:p>
        </w:tc>
        <w:tc>
          <w:tcPr>
            <w:tcW w:w="709" w:type="dxa"/>
            <w:vAlign w:val="center"/>
          </w:tcPr>
          <w:p w14:paraId="55D52B77">
            <w:pPr>
              <w:jc w:val="center"/>
              <w:rPr>
                <w:color w:val="000000" w:themeColor="text1"/>
                <w:sz w:val="18"/>
                <w:szCs w:val="18"/>
              </w:rPr>
            </w:pPr>
            <w:r>
              <w:rPr>
                <w:color w:val="000000" w:themeColor="text1"/>
                <w:sz w:val="18"/>
                <w:szCs w:val="18"/>
              </w:rPr>
              <w:t>2</w:t>
            </w:r>
          </w:p>
        </w:tc>
        <w:tc>
          <w:tcPr>
            <w:tcW w:w="709" w:type="dxa"/>
            <w:vAlign w:val="center"/>
          </w:tcPr>
          <w:p w14:paraId="735E44A1">
            <w:pPr>
              <w:jc w:val="center"/>
              <w:rPr>
                <w:color w:val="000000" w:themeColor="text1"/>
                <w:sz w:val="18"/>
                <w:szCs w:val="18"/>
              </w:rPr>
            </w:pPr>
            <w:r>
              <w:rPr>
                <w:color w:val="000000" w:themeColor="text1"/>
                <w:sz w:val="18"/>
                <w:szCs w:val="18"/>
              </w:rPr>
              <w:t>1</w:t>
            </w:r>
          </w:p>
        </w:tc>
        <w:tc>
          <w:tcPr>
            <w:tcW w:w="1146" w:type="dxa"/>
            <w:vAlign w:val="center"/>
          </w:tcPr>
          <w:p w14:paraId="4676D18C">
            <w:pPr>
              <w:jc w:val="center"/>
              <w:rPr>
                <w:color w:val="000000" w:themeColor="text1"/>
                <w:sz w:val="18"/>
                <w:szCs w:val="18"/>
              </w:rPr>
            </w:pPr>
            <w:r>
              <w:rPr>
                <w:rFonts w:hint="eastAsia"/>
                <w:color w:val="000000" w:themeColor="text1"/>
                <w:sz w:val="18"/>
                <w:szCs w:val="18"/>
              </w:rPr>
              <w:t>考查</w:t>
            </w:r>
          </w:p>
        </w:tc>
      </w:tr>
      <w:tr w14:paraId="52617E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1021" w:type="dxa"/>
            <w:vMerge w:val="continue"/>
            <w:vAlign w:val="center"/>
          </w:tcPr>
          <w:p w14:paraId="1AA8F3E0">
            <w:pPr>
              <w:jc w:val="center"/>
              <w:rPr>
                <w:b/>
                <w:color w:val="000000" w:themeColor="text1"/>
                <w:sz w:val="18"/>
                <w:szCs w:val="18"/>
              </w:rPr>
            </w:pPr>
          </w:p>
        </w:tc>
        <w:tc>
          <w:tcPr>
            <w:tcW w:w="1418" w:type="dxa"/>
            <w:vMerge w:val="continue"/>
            <w:vAlign w:val="center"/>
          </w:tcPr>
          <w:p w14:paraId="2D23D74C">
            <w:pPr>
              <w:jc w:val="center"/>
              <w:rPr>
                <w:b/>
                <w:color w:val="000000" w:themeColor="text1"/>
                <w:sz w:val="18"/>
                <w:szCs w:val="18"/>
              </w:rPr>
            </w:pPr>
          </w:p>
        </w:tc>
        <w:tc>
          <w:tcPr>
            <w:tcW w:w="3353" w:type="dxa"/>
            <w:vAlign w:val="center"/>
          </w:tcPr>
          <w:p w14:paraId="3F90974A">
            <w:pPr>
              <w:rPr>
                <w:sz w:val="18"/>
                <w:szCs w:val="18"/>
              </w:rPr>
            </w:pPr>
            <w:r>
              <w:rPr>
                <w:rFonts w:hint="eastAsia"/>
                <w:sz w:val="18"/>
                <w:szCs w:val="18"/>
              </w:rPr>
              <w:t>通用学术英语</w:t>
            </w:r>
          </w:p>
        </w:tc>
        <w:tc>
          <w:tcPr>
            <w:tcW w:w="1081" w:type="dxa"/>
            <w:vAlign w:val="center"/>
          </w:tcPr>
          <w:p w14:paraId="4C207677">
            <w:pPr>
              <w:jc w:val="center"/>
              <w:rPr>
                <w:color w:val="FF0000"/>
                <w:sz w:val="18"/>
                <w:szCs w:val="18"/>
              </w:rPr>
            </w:pPr>
            <w:r>
              <w:rPr>
                <w:color w:val="000000" w:themeColor="text1"/>
                <w:sz w:val="18"/>
                <w:szCs w:val="18"/>
              </w:rPr>
              <w:t>T</w:t>
            </w:r>
            <w:r>
              <w:rPr>
                <w:rFonts w:hint="eastAsia"/>
                <w:color w:val="000000" w:themeColor="text1"/>
                <w:sz w:val="18"/>
                <w:szCs w:val="18"/>
              </w:rPr>
              <w:t>S</w:t>
            </w:r>
            <w:r>
              <w:rPr>
                <w:color w:val="000000" w:themeColor="text1"/>
                <w:sz w:val="18"/>
                <w:szCs w:val="18"/>
              </w:rPr>
              <w:t>00000</w:t>
            </w:r>
            <w:r>
              <w:rPr>
                <w:rFonts w:hint="eastAsia"/>
                <w:color w:val="000000" w:themeColor="text1"/>
                <w:sz w:val="18"/>
                <w:szCs w:val="18"/>
              </w:rPr>
              <w:t>02</w:t>
            </w:r>
          </w:p>
        </w:tc>
        <w:tc>
          <w:tcPr>
            <w:tcW w:w="709" w:type="dxa"/>
            <w:vAlign w:val="center"/>
          </w:tcPr>
          <w:p w14:paraId="129CD095">
            <w:pPr>
              <w:jc w:val="center"/>
              <w:rPr>
                <w:color w:val="000000" w:themeColor="text1"/>
                <w:sz w:val="18"/>
                <w:szCs w:val="18"/>
              </w:rPr>
            </w:pPr>
            <w:r>
              <w:rPr>
                <w:rFonts w:hint="eastAsia"/>
                <w:color w:val="000000" w:themeColor="text1"/>
                <w:sz w:val="18"/>
                <w:szCs w:val="18"/>
              </w:rPr>
              <w:t>2</w:t>
            </w:r>
          </w:p>
        </w:tc>
        <w:tc>
          <w:tcPr>
            <w:tcW w:w="709" w:type="dxa"/>
            <w:vAlign w:val="center"/>
          </w:tcPr>
          <w:p w14:paraId="71C95A94">
            <w:pPr>
              <w:jc w:val="center"/>
              <w:rPr>
                <w:color w:val="000000" w:themeColor="text1"/>
                <w:sz w:val="18"/>
                <w:szCs w:val="18"/>
              </w:rPr>
            </w:pPr>
            <w:r>
              <w:rPr>
                <w:color w:val="000000" w:themeColor="text1"/>
                <w:sz w:val="18"/>
                <w:szCs w:val="18"/>
              </w:rPr>
              <w:t>1</w:t>
            </w:r>
          </w:p>
        </w:tc>
        <w:tc>
          <w:tcPr>
            <w:tcW w:w="1146" w:type="dxa"/>
            <w:vAlign w:val="center"/>
          </w:tcPr>
          <w:p w14:paraId="621E0F16">
            <w:pPr>
              <w:jc w:val="center"/>
              <w:rPr>
                <w:color w:val="000000" w:themeColor="text1"/>
                <w:sz w:val="18"/>
                <w:szCs w:val="18"/>
              </w:rPr>
            </w:pPr>
            <w:r>
              <w:rPr>
                <w:rFonts w:hint="eastAsia"/>
                <w:color w:val="000000" w:themeColor="text1"/>
                <w:sz w:val="18"/>
                <w:szCs w:val="18"/>
              </w:rPr>
              <w:t>考查</w:t>
            </w:r>
          </w:p>
        </w:tc>
      </w:tr>
      <w:tr w14:paraId="49F849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1021" w:type="dxa"/>
            <w:vMerge w:val="continue"/>
            <w:vAlign w:val="center"/>
          </w:tcPr>
          <w:p w14:paraId="18334ED6">
            <w:pPr>
              <w:jc w:val="center"/>
              <w:rPr>
                <w:b/>
                <w:color w:val="000000" w:themeColor="text1"/>
                <w:sz w:val="18"/>
                <w:szCs w:val="18"/>
              </w:rPr>
            </w:pPr>
          </w:p>
        </w:tc>
        <w:tc>
          <w:tcPr>
            <w:tcW w:w="1418" w:type="dxa"/>
            <w:vMerge w:val="restart"/>
            <w:vAlign w:val="center"/>
          </w:tcPr>
          <w:p w14:paraId="0800DD1F">
            <w:pPr>
              <w:jc w:val="center"/>
              <w:rPr>
                <w:b/>
                <w:color w:val="000000" w:themeColor="text1"/>
                <w:sz w:val="18"/>
                <w:szCs w:val="18"/>
              </w:rPr>
            </w:pPr>
            <w:r>
              <w:rPr>
                <w:rFonts w:hint="eastAsia"/>
                <w:b/>
                <w:color w:val="000000" w:themeColor="text1"/>
                <w:sz w:val="18"/>
                <w:szCs w:val="18"/>
              </w:rPr>
              <w:t>学科基础课</w:t>
            </w:r>
          </w:p>
          <w:p w14:paraId="5C9A6ED6">
            <w:pPr>
              <w:jc w:val="center"/>
              <w:rPr>
                <w:b/>
                <w:color w:val="000000" w:themeColor="text1"/>
                <w:sz w:val="18"/>
                <w:szCs w:val="18"/>
              </w:rPr>
            </w:pPr>
            <w:r>
              <w:rPr>
                <w:rFonts w:hint="eastAsia"/>
                <w:b/>
                <w:color w:val="000000" w:themeColor="text1"/>
                <w:sz w:val="18"/>
                <w:szCs w:val="18"/>
              </w:rPr>
              <w:t>（4学分）</w:t>
            </w:r>
          </w:p>
        </w:tc>
        <w:tc>
          <w:tcPr>
            <w:tcW w:w="3353" w:type="dxa"/>
            <w:vAlign w:val="center"/>
          </w:tcPr>
          <w:p w14:paraId="112BB9B9">
            <w:pPr>
              <w:rPr>
                <w:sz w:val="18"/>
                <w:szCs w:val="18"/>
              </w:rPr>
            </w:pPr>
            <w:r>
              <w:rPr>
                <w:rFonts w:hint="eastAsia"/>
                <w:color w:val="000000" w:themeColor="text1"/>
                <w:sz w:val="18"/>
                <w:szCs w:val="18"/>
              </w:rPr>
              <w:t>学术道德</w:t>
            </w:r>
            <w:r>
              <w:rPr>
                <w:color w:val="000000" w:themeColor="text1"/>
                <w:sz w:val="18"/>
                <w:szCs w:val="18"/>
              </w:rPr>
              <w:t>与论文写作</w:t>
            </w:r>
          </w:p>
        </w:tc>
        <w:tc>
          <w:tcPr>
            <w:tcW w:w="1081" w:type="dxa"/>
            <w:shd w:val="clear" w:color="auto" w:fill="auto"/>
            <w:vAlign w:val="center"/>
          </w:tcPr>
          <w:p w14:paraId="1C30ED40">
            <w:pPr>
              <w:widowControl/>
              <w:jc w:val="center"/>
              <w:textAlignment w:val="center"/>
              <w:rPr>
                <w:rFonts w:eastAsia="等线"/>
                <w:color w:val="000000"/>
                <w:sz w:val="18"/>
                <w:szCs w:val="18"/>
              </w:rPr>
            </w:pPr>
            <w:r>
              <w:rPr>
                <w:rFonts w:eastAsia="等线"/>
                <w:color w:val="000000"/>
                <w:kern w:val="0"/>
                <w:sz w:val="18"/>
                <w:szCs w:val="18"/>
              </w:rPr>
              <w:t>ZS1232001</w:t>
            </w:r>
          </w:p>
        </w:tc>
        <w:tc>
          <w:tcPr>
            <w:tcW w:w="709" w:type="dxa"/>
            <w:vAlign w:val="center"/>
          </w:tcPr>
          <w:p w14:paraId="4FA6A9EA">
            <w:pPr>
              <w:jc w:val="center"/>
              <w:rPr>
                <w:color w:val="000000" w:themeColor="text1"/>
                <w:sz w:val="18"/>
                <w:szCs w:val="18"/>
              </w:rPr>
            </w:pPr>
            <w:r>
              <w:rPr>
                <w:rFonts w:hint="eastAsia"/>
                <w:color w:val="000000" w:themeColor="text1"/>
                <w:sz w:val="18"/>
                <w:szCs w:val="18"/>
              </w:rPr>
              <w:t>2</w:t>
            </w:r>
          </w:p>
        </w:tc>
        <w:tc>
          <w:tcPr>
            <w:tcW w:w="709" w:type="dxa"/>
            <w:vAlign w:val="center"/>
          </w:tcPr>
          <w:p w14:paraId="0B386279">
            <w:pPr>
              <w:jc w:val="center"/>
              <w:rPr>
                <w:color w:val="000000" w:themeColor="text1"/>
                <w:sz w:val="18"/>
                <w:szCs w:val="18"/>
              </w:rPr>
            </w:pPr>
            <w:r>
              <w:rPr>
                <w:rFonts w:hint="eastAsia"/>
                <w:color w:val="000000" w:themeColor="text1"/>
                <w:sz w:val="18"/>
                <w:szCs w:val="18"/>
              </w:rPr>
              <w:t>1</w:t>
            </w:r>
          </w:p>
        </w:tc>
        <w:tc>
          <w:tcPr>
            <w:tcW w:w="1146" w:type="dxa"/>
            <w:vAlign w:val="center"/>
          </w:tcPr>
          <w:p w14:paraId="5C5ACB14">
            <w:pPr>
              <w:jc w:val="center"/>
              <w:rPr>
                <w:color w:val="000000" w:themeColor="text1"/>
                <w:sz w:val="18"/>
                <w:szCs w:val="18"/>
              </w:rPr>
            </w:pPr>
            <w:r>
              <w:rPr>
                <w:rFonts w:hint="eastAsia"/>
                <w:color w:val="000000" w:themeColor="text1"/>
                <w:sz w:val="18"/>
                <w:szCs w:val="18"/>
              </w:rPr>
              <w:t>考查</w:t>
            </w:r>
          </w:p>
        </w:tc>
      </w:tr>
      <w:tr w14:paraId="0B9055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1021" w:type="dxa"/>
            <w:vMerge w:val="continue"/>
            <w:vAlign w:val="center"/>
          </w:tcPr>
          <w:p w14:paraId="1EAE8743">
            <w:pPr>
              <w:jc w:val="center"/>
              <w:rPr>
                <w:b/>
                <w:color w:val="000000" w:themeColor="text1"/>
                <w:sz w:val="18"/>
                <w:szCs w:val="18"/>
              </w:rPr>
            </w:pPr>
          </w:p>
        </w:tc>
        <w:tc>
          <w:tcPr>
            <w:tcW w:w="1418" w:type="dxa"/>
            <w:vMerge w:val="continue"/>
            <w:vAlign w:val="center"/>
          </w:tcPr>
          <w:p w14:paraId="798A5E9C">
            <w:pPr>
              <w:jc w:val="center"/>
              <w:rPr>
                <w:b/>
                <w:color w:val="000000" w:themeColor="text1"/>
                <w:sz w:val="18"/>
                <w:szCs w:val="18"/>
              </w:rPr>
            </w:pPr>
          </w:p>
        </w:tc>
        <w:tc>
          <w:tcPr>
            <w:tcW w:w="3353" w:type="dxa"/>
            <w:vAlign w:val="center"/>
          </w:tcPr>
          <w:p w14:paraId="669E036A">
            <w:pPr>
              <w:rPr>
                <w:sz w:val="18"/>
                <w:szCs w:val="18"/>
              </w:rPr>
            </w:pPr>
            <w:r>
              <w:rPr>
                <w:rFonts w:hint="eastAsia"/>
                <w:sz w:val="18"/>
                <w:szCs w:val="18"/>
              </w:rPr>
              <w:t>土壤健康与恢复</w:t>
            </w:r>
          </w:p>
        </w:tc>
        <w:tc>
          <w:tcPr>
            <w:tcW w:w="1081" w:type="dxa"/>
            <w:vAlign w:val="center"/>
          </w:tcPr>
          <w:p w14:paraId="399EE6E9">
            <w:pPr>
              <w:widowControl/>
              <w:jc w:val="center"/>
              <w:textAlignment w:val="center"/>
              <w:rPr>
                <w:color w:val="000000" w:themeColor="text1"/>
                <w:sz w:val="18"/>
                <w:szCs w:val="18"/>
              </w:rPr>
            </w:pPr>
            <w:r>
              <w:rPr>
                <w:rFonts w:eastAsia="等线"/>
                <w:color w:val="000000"/>
                <w:kern w:val="0"/>
                <w:sz w:val="18"/>
                <w:szCs w:val="18"/>
              </w:rPr>
              <w:t>ZS1232002</w:t>
            </w:r>
          </w:p>
        </w:tc>
        <w:tc>
          <w:tcPr>
            <w:tcW w:w="709" w:type="dxa"/>
            <w:vAlign w:val="center"/>
          </w:tcPr>
          <w:p w14:paraId="388925DE">
            <w:pPr>
              <w:jc w:val="center"/>
              <w:rPr>
                <w:color w:val="000000" w:themeColor="text1"/>
                <w:sz w:val="18"/>
                <w:szCs w:val="18"/>
              </w:rPr>
            </w:pPr>
            <w:r>
              <w:rPr>
                <w:rFonts w:hint="eastAsia"/>
                <w:color w:val="000000" w:themeColor="text1"/>
                <w:sz w:val="18"/>
                <w:szCs w:val="18"/>
              </w:rPr>
              <w:t>2</w:t>
            </w:r>
          </w:p>
        </w:tc>
        <w:tc>
          <w:tcPr>
            <w:tcW w:w="709" w:type="dxa"/>
            <w:vAlign w:val="center"/>
          </w:tcPr>
          <w:p w14:paraId="3E0AAC59">
            <w:pPr>
              <w:jc w:val="center"/>
              <w:rPr>
                <w:color w:val="000000" w:themeColor="text1"/>
                <w:sz w:val="18"/>
                <w:szCs w:val="18"/>
              </w:rPr>
            </w:pPr>
            <w:r>
              <w:rPr>
                <w:color w:val="000000" w:themeColor="text1"/>
                <w:sz w:val="18"/>
                <w:szCs w:val="18"/>
              </w:rPr>
              <w:t>1</w:t>
            </w:r>
          </w:p>
        </w:tc>
        <w:tc>
          <w:tcPr>
            <w:tcW w:w="1146" w:type="dxa"/>
            <w:vAlign w:val="center"/>
          </w:tcPr>
          <w:p w14:paraId="64E66381">
            <w:pPr>
              <w:jc w:val="center"/>
              <w:rPr>
                <w:color w:val="000000" w:themeColor="text1"/>
                <w:sz w:val="18"/>
                <w:szCs w:val="18"/>
              </w:rPr>
            </w:pPr>
            <w:r>
              <w:rPr>
                <w:rFonts w:hint="eastAsia"/>
                <w:color w:val="000000" w:themeColor="text1"/>
                <w:sz w:val="18"/>
                <w:szCs w:val="18"/>
              </w:rPr>
              <w:t>考查</w:t>
            </w:r>
          </w:p>
        </w:tc>
      </w:tr>
      <w:tr w14:paraId="26C6D6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vAlign w:val="center"/>
          </w:tcPr>
          <w:p w14:paraId="411EE8B4">
            <w:pPr>
              <w:jc w:val="center"/>
              <w:rPr>
                <w:b/>
                <w:color w:val="000000" w:themeColor="text1"/>
                <w:sz w:val="18"/>
                <w:szCs w:val="18"/>
              </w:rPr>
            </w:pPr>
          </w:p>
        </w:tc>
        <w:tc>
          <w:tcPr>
            <w:tcW w:w="1418" w:type="dxa"/>
            <w:vMerge w:val="restart"/>
            <w:vAlign w:val="center"/>
          </w:tcPr>
          <w:p w14:paraId="57CDD7C7">
            <w:pPr>
              <w:jc w:val="center"/>
              <w:rPr>
                <w:b/>
                <w:color w:val="000000" w:themeColor="text1"/>
                <w:sz w:val="18"/>
                <w:szCs w:val="18"/>
              </w:rPr>
            </w:pPr>
            <w:r>
              <w:rPr>
                <w:b/>
                <w:color w:val="000000" w:themeColor="text1"/>
                <w:sz w:val="18"/>
                <w:szCs w:val="18"/>
              </w:rPr>
              <w:t>专业必修课</w:t>
            </w:r>
          </w:p>
          <w:p w14:paraId="2FE70BDC">
            <w:pPr>
              <w:jc w:val="center"/>
              <w:rPr>
                <w:b/>
                <w:color w:val="000000" w:themeColor="text1"/>
                <w:sz w:val="18"/>
                <w:szCs w:val="18"/>
              </w:rPr>
            </w:pPr>
            <w:r>
              <w:rPr>
                <w:rFonts w:hint="eastAsia"/>
                <w:b/>
                <w:color w:val="000000" w:themeColor="text1"/>
                <w:sz w:val="18"/>
                <w:szCs w:val="18"/>
              </w:rPr>
              <w:t>（12学分）</w:t>
            </w:r>
          </w:p>
        </w:tc>
        <w:tc>
          <w:tcPr>
            <w:tcW w:w="3353" w:type="dxa"/>
            <w:vAlign w:val="center"/>
          </w:tcPr>
          <w:p w14:paraId="50910A6C">
            <w:pPr>
              <w:adjustRightInd w:val="0"/>
              <w:snapToGrid w:val="0"/>
              <w:rPr>
                <w:color w:val="000000" w:themeColor="text1"/>
                <w:sz w:val="18"/>
                <w:szCs w:val="18"/>
              </w:rPr>
            </w:pPr>
            <w:r>
              <w:rPr>
                <w:rFonts w:hint="eastAsia"/>
                <w:color w:val="000000" w:themeColor="text1"/>
                <w:sz w:val="18"/>
                <w:szCs w:val="18"/>
              </w:rPr>
              <w:t>农业技术与“三农”政策</w:t>
            </w:r>
          </w:p>
        </w:tc>
        <w:tc>
          <w:tcPr>
            <w:tcW w:w="1081" w:type="dxa"/>
            <w:vAlign w:val="center"/>
          </w:tcPr>
          <w:p w14:paraId="26BA27D3">
            <w:pPr>
              <w:widowControl/>
              <w:jc w:val="center"/>
              <w:textAlignment w:val="center"/>
              <w:rPr>
                <w:color w:val="FF0000"/>
                <w:sz w:val="18"/>
                <w:szCs w:val="18"/>
              </w:rPr>
            </w:pPr>
            <w:r>
              <w:rPr>
                <w:rFonts w:eastAsia="等线"/>
                <w:color w:val="000000"/>
                <w:kern w:val="0"/>
                <w:sz w:val="18"/>
                <w:szCs w:val="18"/>
              </w:rPr>
              <w:t>ZS1232003</w:t>
            </w:r>
          </w:p>
        </w:tc>
        <w:tc>
          <w:tcPr>
            <w:tcW w:w="709" w:type="dxa"/>
            <w:vAlign w:val="center"/>
          </w:tcPr>
          <w:p w14:paraId="6DB16615">
            <w:pPr>
              <w:jc w:val="center"/>
              <w:rPr>
                <w:color w:val="FF0000"/>
              </w:rPr>
            </w:pPr>
            <w:r>
              <w:rPr>
                <w:rFonts w:hint="eastAsia"/>
                <w:color w:val="000000" w:themeColor="text1"/>
                <w:sz w:val="18"/>
                <w:szCs w:val="18"/>
              </w:rPr>
              <w:t>3</w:t>
            </w:r>
          </w:p>
        </w:tc>
        <w:tc>
          <w:tcPr>
            <w:tcW w:w="709" w:type="dxa"/>
            <w:vAlign w:val="center"/>
          </w:tcPr>
          <w:p w14:paraId="55066F4E">
            <w:pPr>
              <w:jc w:val="center"/>
              <w:rPr>
                <w:color w:val="FF0000"/>
              </w:rPr>
            </w:pPr>
            <w:r>
              <w:rPr>
                <w:rFonts w:hint="eastAsia"/>
                <w:color w:val="000000" w:themeColor="text1"/>
                <w:sz w:val="18"/>
                <w:szCs w:val="18"/>
              </w:rPr>
              <w:t>1</w:t>
            </w:r>
          </w:p>
        </w:tc>
        <w:tc>
          <w:tcPr>
            <w:tcW w:w="1146" w:type="dxa"/>
            <w:vAlign w:val="center"/>
          </w:tcPr>
          <w:p w14:paraId="6A1C54D9">
            <w:pPr>
              <w:jc w:val="center"/>
              <w:rPr>
                <w:color w:val="FF0000"/>
                <w:sz w:val="18"/>
                <w:szCs w:val="18"/>
              </w:rPr>
            </w:pPr>
            <w:r>
              <w:rPr>
                <w:rFonts w:hint="eastAsia"/>
                <w:color w:val="000000" w:themeColor="text1"/>
                <w:sz w:val="18"/>
                <w:szCs w:val="18"/>
              </w:rPr>
              <w:t>考查</w:t>
            </w:r>
          </w:p>
        </w:tc>
      </w:tr>
      <w:tr w14:paraId="301953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vAlign w:val="center"/>
          </w:tcPr>
          <w:p w14:paraId="56A58CD8">
            <w:pPr>
              <w:jc w:val="center"/>
              <w:rPr>
                <w:b/>
                <w:color w:val="000000" w:themeColor="text1"/>
                <w:sz w:val="18"/>
                <w:szCs w:val="18"/>
              </w:rPr>
            </w:pPr>
          </w:p>
        </w:tc>
        <w:tc>
          <w:tcPr>
            <w:tcW w:w="1418" w:type="dxa"/>
            <w:vMerge w:val="continue"/>
            <w:vAlign w:val="center"/>
          </w:tcPr>
          <w:p w14:paraId="3C04D5F0">
            <w:pPr>
              <w:jc w:val="center"/>
              <w:rPr>
                <w:b/>
                <w:color w:val="000000" w:themeColor="text1"/>
                <w:sz w:val="18"/>
                <w:szCs w:val="18"/>
              </w:rPr>
            </w:pPr>
          </w:p>
        </w:tc>
        <w:tc>
          <w:tcPr>
            <w:tcW w:w="3353" w:type="dxa"/>
            <w:vAlign w:val="center"/>
          </w:tcPr>
          <w:p w14:paraId="7AE5BD2B">
            <w:pPr>
              <w:adjustRightInd w:val="0"/>
              <w:snapToGrid w:val="0"/>
              <w:rPr>
                <w:color w:val="000000" w:themeColor="text1"/>
                <w:sz w:val="18"/>
                <w:szCs w:val="18"/>
              </w:rPr>
            </w:pPr>
            <w:r>
              <w:rPr>
                <w:rFonts w:hint="eastAsia"/>
                <w:color w:val="000000" w:themeColor="text1"/>
                <w:sz w:val="18"/>
                <w:szCs w:val="18"/>
              </w:rPr>
              <w:t>资源利用与植物保护技术进展</w:t>
            </w:r>
          </w:p>
        </w:tc>
        <w:tc>
          <w:tcPr>
            <w:tcW w:w="1081" w:type="dxa"/>
            <w:vAlign w:val="center"/>
          </w:tcPr>
          <w:p w14:paraId="7F5022EA">
            <w:pPr>
              <w:widowControl/>
              <w:jc w:val="center"/>
              <w:textAlignment w:val="center"/>
              <w:rPr>
                <w:iCs/>
                <w:sz w:val="18"/>
                <w:szCs w:val="18"/>
              </w:rPr>
            </w:pPr>
            <w:r>
              <w:rPr>
                <w:rFonts w:eastAsia="等线"/>
                <w:color w:val="000000"/>
                <w:kern w:val="0"/>
                <w:sz w:val="18"/>
                <w:szCs w:val="18"/>
              </w:rPr>
              <w:t>ZS1232004</w:t>
            </w:r>
          </w:p>
        </w:tc>
        <w:tc>
          <w:tcPr>
            <w:tcW w:w="709" w:type="dxa"/>
            <w:vAlign w:val="center"/>
          </w:tcPr>
          <w:p w14:paraId="66F85767">
            <w:pPr>
              <w:jc w:val="center"/>
              <w:rPr>
                <w:color w:val="000000" w:themeColor="text1"/>
                <w:sz w:val="18"/>
                <w:szCs w:val="18"/>
              </w:rPr>
            </w:pPr>
            <w:r>
              <w:rPr>
                <w:rFonts w:hint="eastAsia"/>
                <w:color w:val="000000" w:themeColor="text1"/>
                <w:sz w:val="18"/>
                <w:szCs w:val="18"/>
              </w:rPr>
              <w:t>3</w:t>
            </w:r>
          </w:p>
        </w:tc>
        <w:tc>
          <w:tcPr>
            <w:tcW w:w="709" w:type="dxa"/>
            <w:vAlign w:val="center"/>
          </w:tcPr>
          <w:p w14:paraId="5A6BBF19">
            <w:pPr>
              <w:jc w:val="center"/>
              <w:rPr>
                <w:color w:val="000000" w:themeColor="text1"/>
                <w:sz w:val="18"/>
                <w:szCs w:val="18"/>
              </w:rPr>
            </w:pPr>
            <w:r>
              <w:rPr>
                <w:color w:val="000000" w:themeColor="text1"/>
                <w:sz w:val="18"/>
                <w:szCs w:val="18"/>
              </w:rPr>
              <w:t>1</w:t>
            </w:r>
          </w:p>
        </w:tc>
        <w:tc>
          <w:tcPr>
            <w:tcW w:w="1146" w:type="dxa"/>
          </w:tcPr>
          <w:p w14:paraId="34BEFCE1">
            <w:pPr>
              <w:jc w:val="center"/>
              <w:rPr>
                <w:color w:val="000000" w:themeColor="text1"/>
                <w:sz w:val="18"/>
                <w:szCs w:val="18"/>
              </w:rPr>
            </w:pPr>
            <w:r>
              <w:rPr>
                <w:rFonts w:hint="eastAsia"/>
                <w:color w:val="000000" w:themeColor="text1"/>
                <w:sz w:val="18"/>
                <w:szCs w:val="18"/>
              </w:rPr>
              <w:t>考查</w:t>
            </w:r>
          </w:p>
        </w:tc>
      </w:tr>
      <w:tr w14:paraId="63149F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vAlign w:val="center"/>
          </w:tcPr>
          <w:p w14:paraId="45262925">
            <w:pPr>
              <w:jc w:val="center"/>
              <w:rPr>
                <w:b/>
                <w:color w:val="000000" w:themeColor="text1"/>
                <w:sz w:val="18"/>
                <w:szCs w:val="18"/>
              </w:rPr>
            </w:pPr>
          </w:p>
        </w:tc>
        <w:tc>
          <w:tcPr>
            <w:tcW w:w="1418" w:type="dxa"/>
            <w:vMerge w:val="continue"/>
            <w:vAlign w:val="center"/>
          </w:tcPr>
          <w:p w14:paraId="4302CD00">
            <w:pPr>
              <w:jc w:val="center"/>
              <w:rPr>
                <w:b/>
                <w:color w:val="000000" w:themeColor="text1"/>
                <w:sz w:val="18"/>
                <w:szCs w:val="18"/>
              </w:rPr>
            </w:pPr>
          </w:p>
        </w:tc>
        <w:tc>
          <w:tcPr>
            <w:tcW w:w="3353" w:type="dxa"/>
            <w:vAlign w:val="center"/>
          </w:tcPr>
          <w:p w14:paraId="5E77144A">
            <w:pPr>
              <w:adjustRightInd w:val="0"/>
              <w:snapToGrid w:val="0"/>
              <w:rPr>
                <w:rFonts w:hint="eastAsia"/>
                <w:color w:val="000000" w:themeColor="text1"/>
                <w:sz w:val="18"/>
                <w:szCs w:val="18"/>
              </w:rPr>
            </w:pPr>
            <w:r>
              <w:rPr>
                <w:rFonts w:hint="eastAsia"/>
                <w:color w:val="000000" w:themeColor="text1"/>
                <w:sz w:val="18"/>
                <w:szCs w:val="18"/>
              </w:rPr>
              <w:t>实习实践活动</w:t>
            </w:r>
          </w:p>
        </w:tc>
        <w:tc>
          <w:tcPr>
            <w:tcW w:w="1081" w:type="dxa"/>
            <w:vAlign w:val="center"/>
          </w:tcPr>
          <w:p w14:paraId="614396B7">
            <w:pPr>
              <w:widowControl/>
              <w:jc w:val="center"/>
              <w:textAlignment w:val="center"/>
              <w:rPr>
                <w:rFonts w:eastAsia="等线"/>
                <w:color w:val="000000"/>
                <w:kern w:val="0"/>
                <w:sz w:val="18"/>
                <w:szCs w:val="18"/>
              </w:rPr>
            </w:pPr>
            <w:r>
              <w:rPr>
                <w:rFonts w:eastAsia="等线"/>
                <w:color w:val="000000"/>
                <w:kern w:val="0"/>
                <w:sz w:val="18"/>
                <w:szCs w:val="18"/>
              </w:rPr>
              <w:t>ZS1232005</w:t>
            </w:r>
          </w:p>
        </w:tc>
        <w:tc>
          <w:tcPr>
            <w:tcW w:w="709" w:type="dxa"/>
            <w:vAlign w:val="center"/>
          </w:tcPr>
          <w:p w14:paraId="2DA1E7C7">
            <w:pPr>
              <w:jc w:val="center"/>
              <w:rPr>
                <w:rFonts w:hint="eastAsia"/>
                <w:color w:val="000000" w:themeColor="text1"/>
                <w:sz w:val="18"/>
                <w:szCs w:val="18"/>
              </w:rPr>
            </w:pPr>
            <w:r>
              <w:rPr>
                <w:rFonts w:hint="eastAsia"/>
                <w:color w:val="000000" w:themeColor="text1"/>
                <w:sz w:val="18"/>
                <w:szCs w:val="18"/>
              </w:rPr>
              <w:t>3</w:t>
            </w:r>
          </w:p>
        </w:tc>
        <w:tc>
          <w:tcPr>
            <w:tcW w:w="709" w:type="dxa"/>
            <w:vAlign w:val="center"/>
          </w:tcPr>
          <w:p w14:paraId="37799B9A">
            <w:pPr>
              <w:jc w:val="center"/>
              <w:rPr>
                <w:rFonts w:hint="eastAsia"/>
                <w:color w:val="000000" w:themeColor="text1"/>
                <w:sz w:val="18"/>
                <w:szCs w:val="18"/>
              </w:rPr>
            </w:pPr>
            <w:r>
              <w:rPr>
                <w:rFonts w:hint="eastAsia"/>
                <w:color w:val="000000" w:themeColor="text1"/>
                <w:sz w:val="18"/>
                <w:szCs w:val="18"/>
              </w:rPr>
              <w:t>3-5</w:t>
            </w:r>
          </w:p>
        </w:tc>
        <w:tc>
          <w:tcPr>
            <w:tcW w:w="1146" w:type="dxa"/>
          </w:tcPr>
          <w:p w14:paraId="0CCEB779">
            <w:pPr>
              <w:jc w:val="center"/>
              <w:rPr>
                <w:rFonts w:hint="eastAsia"/>
                <w:color w:val="000000" w:themeColor="text1"/>
                <w:sz w:val="18"/>
                <w:szCs w:val="18"/>
              </w:rPr>
            </w:pPr>
            <w:r>
              <w:rPr>
                <w:rFonts w:hint="eastAsia"/>
                <w:color w:val="000000" w:themeColor="text1"/>
                <w:sz w:val="18"/>
                <w:szCs w:val="18"/>
              </w:rPr>
              <w:t>考查</w:t>
            </w:r>
          </w:p>
        </w:tc>
      </w:tr>
      <w:tr w14:paraId="5EC69A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vAlign w:val="center"/>
          </w:tcPr>
          <w:p w14:paraId="00F29124">
            <w:pPr>
              <w:jc w:val="center"/>
              <w:rPr>
                <w:b/>
                <w:color w:val="000000" w:themeColor="text1"/>
                <w:sz w:val="18"/>
                <w:szCs w:val="18"/>
              </w:rPr>
            </w:pPr>
          </w:p>
        </w:tc>
        <w:tc>
          <w:tcPr>
            <w:tcW w:w="1418" w:type="dxa"/>
            <w:vMerge w:val="continue"/>
            <w:vAlign w:val="center"/>
          </w:tcPr>
          <w:p w14:paraId="262F42DB">
            <w:pPr>
              <w:jc w:val="center"/>
              <w:rPr>
                <w:b/>
                <w:color w:val="000000" w:themeColor="text1"/>
                <w:sz w:val="18"/>
                <w:szCs w:val="18"/>
              </w:rPr>
            </w:pPr>
          </w:p>
        </w:tc>
        <w:tc>
          <w:tcPr>
            <w:tcW w:w="3353" w:type="dxa"/>
            <w:vAlign w:val="center"/>
          </w:tcPr>
          <w:p w14:paraId="09A25EC8">
            <w:pPr>
              <w:adjustRightInd w:val="0"/>
              <w:snapToGrid w:val="0"/>
              <w:rPr>
                <w:color w:val="000000" w:themeColor="text1"/>
                <w:sz w:val="18"/>
                <w:szCs w:val="18"/>
              </w:rPr>
            </w:pPr>
            <w:r>
              <w:rPr>
                <w:rFonts w:hint="eastAsia"/>
                <w:color w:val="000000" w:themeColor="text1"/>
                <w:sz w:val="18"/>
                <w:szCs w:val="18"/>
              </w:rPr>
              <w:t>生命科学前沿研究1</w:t>
            </w:r>
          </w:p>
        </w:tc>
        <w:tc>
          <w:tcPr>
            <w:tcW w:w="1081" w:type="dxa"/>
            <w:vAlign w:val="center"/>
          </w:tcPr>
          <w:p w14:paraId="7CCBDEE0">
            <w:pPr>
              <w:widowControl/>
              <w:jc w:val="center"/>
              <w:textAlignment w:val="center"/>
              <w:rPr>
                <w:color w:val="000000" w:themeColor="text1"/>
                <w:sz w:val="18"/>
                <w:szCs w:val="18"/>
              </w:rPr>
            </w:pPr>
            <w:r>
              <w:rPr>
                <w:rFonts w:eastAsia="等线"/>
                <w:color w:val="000000"/>
                <w:kern w:val="0"/>
                <w:sz w:val="18"/>
                <w:szCs w:val="18"/>
              </w:rPr>
              <w:t>ZS1232006</w:t>
            </w:r>
          </w:p>
        </w:tc>
        <w:tc>
          <w:tcPr>
            <w:tcW w:w="709" w:type="dxa"/>
            <w:vAlign w:val="center"/>
          </w:tcPr>
          <w:p w14:paraId="6D263DCB">
            <w:pPr>
              <w:jc w:val="center"/>
              <w:rPr>
                <w:color w:val="000000" w:themeColor="text1"/>
                <w:sz w:val="18"/>
                <w:szCs w:val="18"/>
              </w:rPr>
            </w:pPr>
            <w:r>
              <w:rPr>
                <w:rFonts w:hint="eastAsia"/>
                <w:color w:val="000000" w:themeColor="text1"/>
                <w:sz w:val="18"/>
                <w:szCs w:val="18"/>
              </w:rPr>
              <w:t>2</w:t>
            </w:r>
          </w:p>
        </w:tc>
        <w:tc>
          <w:tcPr>
            <w:tcW w:w="709" w:type="dxa"/>
            <w:vAlign w:val="center"/>
          </w:tcPr>
          <w:p w14:paraId="7D5B2224">
            <w:pPr>
              <w:jc w:val="center"/>
              <w:rPr>
                <w:color w:val="000000" w:themeColor="text1"/>
                <w:sz w:val="18"/>
                <w:szCs w:val="18"/>
              </w:rPr>
            </w:pPr>
            <w:r>
              <w:rPr>
                <w:rFonts w:hint="eastAsia"/>
                <w:color w:val="000000" w:themeColor="text1"/>
                <w:sz w:val="18"/>
                <w:szCs w:val="18"/>
              </w:rPr>
              <w:t>1</w:t>
            </w:r>
          </w:p>
        </w:tc>
        <w:tc>
          <w:tcPr>
            <w:tcW w:w="1146" w:type="dxa"/>
          </w:tcPr>
          <w:p w14:paraId="5924C0A4">
            <w:pPr>
              <w:jc w:val="center"/>
              <w:rPr>
                <w:color w:val="000000" w:themeColor="text1"/>
                <w:sz w:val="18"/>
                <w:szCs w:val="18"/>
              </w:rPr>
            </w:pPr>
            <w:r>
              <w:rPr>
                <w:rFonts w:hint="eastAsia"/>
                <w:color w:val="000000" w:themeColor="text1"/>
                <w:sz w:val="18"/>
                <w:szCs w:val="18"/>
              </w:rPr>
              <w:t>考查</w:t>
            </w:r>
          </w:p>
        </w:tc>
      </w:tr>
      <w:tr w14:paraId="4DA5F5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vAlign w:val="center"/>
          </w:tcPr>
          <w:p w14:paraId="2F2CB195">
            <w:pPr>
              <w:jc w:val="center"/>
              <w:rPr>
                <w:b/>
                <w:color w:val="000000" w:themeColor="text1"/>
                <w:sz w:val="18"/>
                <w:szCs w:val="18"/>
              </w:rPr>
            </w:pPr>
          </w:p>
        </w:tc>
        <w:tc>
          <w:tcPr>
            <w:tcW w:w="1418" w:type="dxa"/>
            <w:vMerge w:val="continue"/>
            <w:vAlign w:val="center"/>
          </w:tcPr>
          <w:p w14:paraId="1EF73C21">
            <w:pPr>
              <w:jc w:val="center"/>
              <w:rPr>
                <w:b/>
                <w:color w:val="000000" w:themeColor="text1"/>
                <w:sz w:val="18"/>
                <w:szCs w:val="18"/>
              </w:rPr>
            </w:pPr>
          </w:p>
        </w:tc>
        <w:tc>
          <w:tcPr>
            <w:tcW w:w="3353" w:type="dxa"/>
            <w:vAlign w:val="center"/>
          </w:tcPr>
          <w:p w14:paraId="3268B61F">
            <w:pPr>
              <w:adjustRightInd w:val="0"/>
              <w:snapToGrid w:val="0"/>
              <w:rPr>
                <w:color w:val="000000" w:themeColor="text1"/>
                <w:sz w:val="18"/>
                <w:szCs w:val="18"/>
              </w:rPr>
            </w:pPr>
            <w:r>
              <w:rPr>
                <w:rFonts w:hint="eastAsia"/>
                <w:color w:val="000000" w:themeColor="text1"/>
                <w:sz w:val="18"/>
                <w:szCs w:val="18"/>
              </w:rPr>
              <w:t>生命科学前沿研究2</w:t>
            </w:r>
          </w:p>
        </w:tc>
        <w:tc>
          <w:tcPr>
            <w:tcW w:w="1081" w:type="dxa"/>
            <w:vAlign w:val="center"/>
          </w:tcPr>
          <w:p w14:paraId="6EE5CFCC">
            <w:pPr>
              <w:widowControl/>
              <w:jc w:val="center"/>
              <w:textAlignment w:val="center"/>
              <w:rPr>
                <w:rFonts w:hint="eastAsia" w:eastAsia="等线"/>
                <w:iCs/>
                <w:sz w:val="18"/>
                <w:szCs w:val="18"/>
                <w:lang w:val="en-US" w:eastAsia="zh-CN"/>
              </w:rPr>
            </w:pPr>
            <w:r>
              <w:rPr>
                <w:rFonts w:eastAsia="等线"/>
                <w:color w:val="000000"/>
                <w:kern w:val="0"/>
                <w:sz w:val="18"/>
                <w:szCs w:val="18"/>
              </w:rPr>
              <w:t>ZS123200</w:t>
            </w:r>
            <w:r>
              <w:rPr>
                <w:rFonts w:hint="eastAsia" w:eastAsia="等线"/>
                <w:color w:val="000000"/>
                <w:kern w:val="0"/>
                <w:sz w:val="18"/>
                <w:szCs w:val="18"/>
                <w:lang w:val="en-US" w:eastAsia="zh-CN"/>
              </w:rPr>
              <w:t>7</w:t>
            </w:r>
          </w:p>
        </w:tc>
        <w:tc>
          <w:tcPr>
            <w:tcW w:w="709" w:type="dxa"/>
            <w:vAlign w:val="center"/>
          </w:tcPr>
          <w:p w14:paraId="6A2F06A7">
            <w:pPr>
              <w:jc w:val="center"/>
              <w:rPr>
                <w:color w:val="000000" w:themeColor="text1"/>
                <w:sz w:val="18"/>
                <w:szCs w:val="18"/>
              </w:rPr>
            </w:pPr>
            <w:r>
              <w:rPr>
                <w:rFonts w:hint="eastAsia"/>
                <w:color w:val="000000" w:themeColor="text1"/>
                <w:sz w:val="18"/>
                <w:szCs w:val="18"/>
              </w:rPr>
              <w:t>1</w:t>
            </w:r>
          </w:p>
        </w:tc>
        <w:tc>
          <w:tcPr>
            <w:tcW w:w="709" w:type="dxa"/>
            <w:vAlign w:val="center"/>
          </w:tcPr>
          <w:p w14:paraId="62090CD7">
            <w:pPr>
              <w:jc w:val="center"/>
              <w:rPr>
                <w:color w:val="000000" w:themeColor="text1"/>
                <w:sz w:val="18"/>
                <w:szCs w:val="18"/>
              </w:rPr>
            </w:pPr>
            <w:r>
              <w:rPr>
                <w:rFonts w:hint="eastAsia"/>
                <w:color w:val="000000" w:themeColor="text1"/>
                <w:sz w:val="18"/>
                <w:szCs w:val="18"/>
              </w:rPr>
              <w:t>2</w:t>
            </w:r>
          </w:p>
        </w:tc>
        <w:tc>
          <w:tcPr>
            <w:tcW w:w="1146" w:type="dxa"/>
          </w:tcPr>
          <w:p w14:paraId="5FB8DE0A">
            <w:pPr>
              <w:jc w:val="center"/>
              <w:rPr>
                <w:color w:val="000000" w:themeColor="text1"/>
                <w:sz w:val="18"/>
                <w:szCs w:val="18"/>
              </w:rPr>
            </w:pPr>
            <w:r>
              <w:rPr>
                <w:rFonts w:hint="eastAsia"/>
                <w:color w:val="000000" w:themeColor="text1"/>
                <w:sz w:val="18"/>
                <w:szCs w:val="18"/>
              </w:rPr>
              <w:t>考查</w:t>
            </w:r>
          </w:p>
        </w:tc>
      </w:tr>
      <w:tr w14:paraId="0991D3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1021" w:type="dxa"/>
            <w:vMerge w:val="restart"/>
            <w:vAlign w:val="center"/>
          </w:tcPr>
          <w:p w14:paraId="7C327116">
            <w:pPr>
              <w:spacing w:beforeLines="100"/>
              <w:jc w:val="center"/>
              <w:rPr>
                <w:b/>
                <w:i/>
                <w:color w:val="000000" w:themeColor="text1"/>
                <w:sz w:val="18"/>
                <w:szCs w:val="18"/>
              </w:rPr>
            </w:pPr>
            <w:r>
              <w:rPr>
                <w:b/>
                <w:color w:val="000000" w:themeColor="text1"/>
                <w:sz w:val="18"/>
                <w:szCs w:val="18"/>
              </w:rPr>
              <w:t>非学位课</w:t>
            </w:r>
            <w:r>
              <w:rPr>
                <w:rFonts w:hint="eastAsia"/>
                <w:b/>
                <w:color w:val="000000" w:themeColor="text1"/>
                <w:sz w:val="18"/>
                <w:szCs w:val="18"/>
              </w:rPr>
              <w:t>(</w:t>
            </w:r>
            <w:r>
              <w:rPr>
                <w:b/>
                <w:color w:val="000000" w:themeColor="text1"/>
                <w:sz w:val="18"/>
                <w:szCs w:val="18"/>
              </w:rPr>
              <w:t>8</w:t>
            </w:r>
            <w:r>
              <w:rPr>
                <w:rFonts w:hint="eastAsia"/>
                <w:b/>
                <w:color w:val="000000" w:themeColor="text1"/>
                <w:sz w:val="18"/>
                <w:szCs w:val="18"/>
              </w:rPr>
              <w:t>学分)</w:t>
            </w:r>
          </w:p>
        </w:tc>
        <w:tc>
          <w:tcPr>
            <w:tcW w:w="1418" w:type="dxa"/>
            <w:vMerge w:val="restart"/>
            <w:vAlign w:val="center"/>
          </w:tcPr>
          <w:p w14:paraId="22647EE2">
            <w:pPr>
              <w:jc w:val="center"/>
              <w:rPr>
                <w:b/>
                <w:color w:val="000000" w:themeColor="text1"/>
                <w:sz w:val="18"/>
                <w:szCs w:val="18"/>
              </w:rPr>
            </w:pPr>
            <w:r>
              <w:rPr>
                <w:b/>
                <w:color w:val="000000" w:themeColor="text1"/>
                <w:sz w:val="18"/>
                <w:szCs w:val="18"/>
              </w:rPr>
              <w:t>公共</w:t>
            </w:r>
            <w:r>
              <w:rPr>
                <w:rFonts w:hint="eastAsia"/>
                <w:b/>
                <w:color w:val="000000" w:themeColor="text1"/>
                <w:sz w:val="18"/>
                <w:szCs w:val="18"/>
              </w:rPr>
              <w:t>通识</w:t>
            </w:r>
            <w:r>
              <w:rPr>
                <w:b/>
                <w:color w:val="000000" w:themeColor="text1"/>
                <w:sz w:val="18"/>
                <w:szCs w:val="18"/>
              </w:rPr>
              <w:t>课</w:t>
            </w:r>
          </w:p>
          <w:p w14:paraId="772037BC">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lang w:val="en-US" w:eastAsia="zh-CN"/>
              </w:rPr>
              <w:t>2</w:t>
            </w:r>
            <w:r>
              <w:rPr>
                <w:rFonts w:hint="eastAsia"/>
                <w:b/>
                <w:color w:val="000000" w:themeColor="text1"/>
                <w:sz w:val="18"/>
                <w:szCs w:val="18"/>
              </w:rPr>
              <w:t>学分）</w:t>
            </w:r>
          </w:p>
        </w:tc>
        <w:tc>
          <w:tcPr>
            <w:tcW w:w="3353" w:type="dxa"/>
            <w:vAlign w:val="center"/>
          </w:tcPr>
          <w:p w14:paraId="1A74AFD3">
            <w:pPr>
              <w:rPr>
                <w:color w:val="000000" w:themeColor="text1"/>
                <w:sz w:val="18"/>
                <w:szCs w:val="18"/>
              </w:rPr>
            </w:pPr>
            <w:r>
              <w:rPr>
                <w:color w:val="000000" w:themeColor="text1"/>
                <w:sz w:val="18"/>
                <w:szCs w:val="18"/>
              </w:rPr>
              <w:t>《习近平谈治国理政》研读</w:t>
            </w:r>
          </w:p>
        </w:tc>
        <w:tc>
          <w:tcPr>
            <w:tcW w:w="1081" w:type="dxa"/>
            <w:vAlign w:val="center"/>
          </w:tcPr>
          <w:p w14:paraId="6A9F9610">
            <w:pPr>
              <w:jc w:val="center"/>
              <w:rPr>
                <w:color w:val="000000" w:themeColor="text1"/>
                <w:sz w:val="18"/>
                <w:szCs w:val="18"/>
              </w:rPr>
            </w:pPr>
            <w:r>
              <w:rPr>
                <w:color w:val="000000" w:themeColor="text1"/>
                <w:sz w:val="18"/>
                <w:szCs w:val="18"/>
              </w:rPr>
              <w:t>T</w:t>
            </w:r>
            <w:r>
              <w:rPr>
                <w:rFonts w:hint="eastAsia"/>
                <w:color w:val="000000" w:themeColor="text1"/>
                <w:sz w:val="18"/>
                <w:szCs w:val="18"/>
              </w:rPr>
              <w:t>T</w:t>
            </w:r>
            <w:r>
              <w:rPr>
                <w:color w:val="000000" w:themeColor="text1"/>
                <w:sz w:val="18"/>
                <w:szCs w:val="18"/>
              </w:rPr>
              <w:t>0000</w:t>
            </w:r>
            <w:r>
              <w:rPr>
                <w:rFonts w:hint="eastAsia"/>
                <w:color w:val="000000" w:themeColor="text1"/>
                <w:sz w:val="18"/>
                <w:szCs w:val="18"/>
              </w:rPr>
              <w:t>10</w:t>
            </w:r>
            <w:r>
              <w:rPr>
                <w:color w:val="000000" w:themeColor="text1"/>
                <w:sz w:val="18"/>
                <w:szCs w:val="18"/>
              </w:rPr>
              <w:t>1</w:t>
            </w:r>
          </w:p>
        </w:tc>
        <w:tc>
          <w:tcPr>
            <w:tcW w:w="709" w:type="dxa"/>
            <w:vAlign w:val="center"/>
          </w:tcPr>
          <w:p w14:paraId="10147F26">
            <w:pPr>
              <w:jc w:val="center"/>
              <w:rPr>
                <w:color w:val="000000" w:themeColor="text1"/>
                <w:sz w:val="18"/>
                <w:szCs w:val="18"/>
              </w:rPr>
            </w:pPr>
            <w:r>
              <w:rPr>
                <w:color w:val="000000" w:themeColor="text1"/>
                <w:sz w:val="18"/>
                <w:szCs w:val="18"/>
              </w:rPr>
              <w:t>1</w:t>
            </w:r>
          </w:p>
        </w:tc>
        <w:tc>
          <w:tcPr>
            <w:tcW w:w="709" w:type="dxa"/>
            <w:vAlign w:val="center"/>
          </w:tcPr>
          <w:p w14:paraId="5FF70227">
            <w:pPr>
              <w:jc w:val="center"/>
              <w:rPr>
                <w:color w:val="000000" w:themeColor="text1"/>
                <w:sz w:val="18"/>
                <w:szCs w:val="18"/>
              </w:rPr>
            </w:pPr>
            <w:r>
              <w:rPr>
                <w:color w:val="000000" w:themeColor="text1"/>
                <w:sz w:val="18"/>
                <w:szCs w:val="18"/>
              </w:rPr>
              <w:t>2</w:t>
            </w:r>
          </w:p>
        </w:tc>
        <w:tc>
          <w:tcPr>
            <w:tcW w:w="1146" w:type="dxa"/>
            <w:vAlign w:val="center"/>
          </w:tcPr>
          <w:p w14:paraId="6E8C9FEB">
            <w:pPr>
              <w:jc w:val="center"/>
              <w:rPr>
                <w:color w:val="000000" w:themeColor="text1"/>
                <w:sz w:val="18"/>
                <w:szCs w:val="18"/>
              </w:rPr>
            </w:pPr>
            <w:r>
              <w:rPr>
                <w:rFonts w:hint="eastAsia"/>
                <w:color w:val="000000" w:themeColor="text1"/>
                <w:sz w:val="18"/>
                <w:szCs w:val="18"/>
              </w:rPr>
              <w:t>通修/考查</w:t>
            </w:r>
          </w:p>
        </w:tc>
      </w:tr>
      <w:tr w14:paraId="7415A5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1021" w:type="dxa"/>
            <w:vMerge w:val="continue"/>
            <w:vAlign w:val="center"/>
          </w:tcPr>
          <w:p w14:paraId="460F68B0">
            <w:pPr>
              <w:jc w:val="center"/>
              <w:rPr>
                <w:b/>
                <w:color w:val="000000" w:themeColor="text1"/>
                <w:sz w:val="18"/>
                <w:szCs w:val="18"/>
              </w:rPr>
            </w:pPr>
          </w:p>
        </w:tc>
        <w:tc>
          <w:tcPr>
            <w:tcW w:w="1418" w:type="dxa"/>
            <w:vMerge w:val="continue"/>
            <w:vAlign w:val="center"/>
          </w:tcPr>
          <w:p w14:paraId="3CCCDFC8">
            <w:pPr>
              <w:jc w:val="center"/>
              <w:rPr>
                <w:b/>
                <w:color w:val="000000" w:themeColor="text1"/>
                <w:sz w:val="18"/>
                <w:szCs w:val="18"/>
              </w:rPr>
            </w:pPr>
          </w:p>
        </w:tc>
        <w:tc>
          <w:tcPr>
            <w:tcW w:w="3353" w:type="dxa"/>
            <w:vAlign w:val="center"/>
          </w:tcPr>
          <w:p w14:paraId="5AED1739">
            <w:pPr>
              <w:adjustRightInd w:val="0"/>
              <w:rPr>
                <w:color w:val="000000" w:themeColor="text1"/>
                <w:sz w:val="18"/>
                <w:szCs w:val="18"/>
              </w:rPr>
            </w:pPr>
            <w:r>
              <w:rPr>
                <w:color w:val="000000" w:themeColor="text1"/>
                <w:sz w:val="18"/>
                <w:szCs w:val="18"/>
              </w:rPr>
              <w:t>自然辩证法</w:t>
            </w:r>
            <w:r>
              <w:rPr>
                <w:rFonts w:hint="eastAsia"/>
                <w:color w:val="000000" w:themeColor="text1"/>
                <w:sz w:val="18"/>
                <w:szCs w:val="18"/>
              </w:rPr>
              <w:t>概论</w:t>
            </w:r>
          </w:p>
        </w:tc>
        <w:tc>
          <w:tcPr>
            <w:tcW w:w="1081" w:type="dxa"/>
            <w:vAlign w:val="center"/>
          </w:tcPr>
          <w:p w14:paraId="628EF127">
            <w:pPr>
              <w:jc w:val="center"/>
              <w:rPr>
                <w:color w:val="000000" w:themeColor="text1"/>
                <w:sz w:val="18"/>
                <w:szCs w:val="18"/>
              </w:rPr>
            </w:pPr>
            <w:r>
              <w:rPr>
                <w:color w:val="000000" w:themeColor="text1"/>
                <w:sz w:val="18"/>
                <w:szCs w:val="18"/>
              </w:rPr>
              <w:t>T</w:t>
            </w:r>
            <w:r>
              <w:rPr>
                <w:rFonts w:hint="eastAsia"/>
                <w:color w:val="000000" w:themeColor="text1"/>
                <w:sz w:val="18"/>
                <w:szCs w:val="18"/>
              </w:rPr>
              <w:t>S</w:t>
            </w:r>
            <w:r>
              <w:rPr>
                <w:color w:val="000000" w:themeColor="text1"/>
                <w:sz w:val="18"/>
                <w:szCs w:val="18"/>
              </w:rPr>
              <w:t>0000</w:t>
            </w:r>
            <w:r>
              <w:rPr>
                <w:rFonts w:hint="eastAsia"/>
                <w:color w:val="000000" w:themeColor="text1"/>
                <w:sz w:val="18"/>
                <w:szCs w:val="18"/>
              </w:rPr>
              <w:t>102</w:t>
            </w:r>
          </w:p>
        </w:tc>
        <w:tc>
          <w:tcPr>
            <w:tcW w:w="709" w:type="dxa"/>
            <w:vAlign w:val="center"/>
          </w:tcPr>
          <w:p w14:paraId="2B260A57">
            <w:pPr>
              <w:jc w:val="center"/>
              <w:rPr>
                <w:color w:val="000000" w:themeColor="text1"/>
                <w:sz w:val="18"/>
                <w:szCs w:val="18"/>
              </w:rPr>
            </w:pPr>
            <w:r>
              <w:rPr>
                <w:color w:val="000000" w:themeColor="text1"/>
                <w:sz w:val="18"/>
                <w:szCs w:val="18"/>
              </w:rPr>
              <w:t>1</w:t>
            </w:r>
          </w:p>
        </w:tc>
        <w:tc>
          <w:tcPr>
            <w:tcW w:w="709" w:type="dxa"/>
            <w:vAlign w:val="center"/>
          </w:tcPr>
          <w:p w14:paraId="73851EDE">
            <w:pPr>
              <w:jc w:val="center"/>
              <w:rPr>
                <w:color w:val="000000" w:themeColor="text1"/>
                <w:sz w:val="18"/>
                <w:szCs w:val="18"/>
              </w:rPr>
            </w:pPr>
            <w:r>
              <w:rPr>
                <w:color w:val="000000" w:themeColor="text1"/>
                <w:sz w:val="18"/>
                <w:szCs w:val="18"/>
              </w:rPr>
              <w:t>2</w:t>
            </w:r>
          </w:p>
        </w:tc>
        <w:tc>
          <w:tcPr>
            <w:tcW w:w="1146" w:type="dxa"/>
            <w:vAlign w:val="center"/>
          </w:tcPr>
          <w:p w14:paraId="75002446">
            <w:pPr>
              <w:jc w:val="center"/>
              <w:rPr>
                <w:color w:val="000000" w:themeColor="text1"/>
                <w:sz w:val="18"/>
                <w:szCs w:val="18"/>
              </w:rPr>
            </w:pPr>
            <w:r>
              <w:rPr>
                <w:rFonts w:hint="eastAsia"/>
                <w:color w:val="000000" w:themeColor="text1"/>
                <w:sz w:val="18"/>
                <w:szCs w:val="18"/>
              </w:rPr>
              <w:t>通修/考查</w:t>
            </w:r>
          </w:p>
        </w:tc>
      </w:tr>
      <w:tr w14:paraId="5834D9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20A5EBE3">
            <w:pPr>
              <w:rPr>
                <w:b/>
                <w:color w:val="000000" w:themeColor="text1"/>
                <w:sz w:val="18"/>
                <w:szCs w:val="18"/>
              </w:rPr>
            </w:pPr>
          </w:p>
        </w:tc>
        <w:tc>
          <w:tcPr>
            <w:tcW w:w="1418" w:type="dxa"/>
            <w:vMerge w:val="restart"/>
            <w:vAlign w:val="center"/>
          </w:tcPr>
          <w:p w14:paraId="7330B175">
            <w:pPr>
              <w:adjustRightInd w:val="0"/>
              <w:snapToGrid w:val="0"/>
              <w:jc w:val="center"/>
              <w:rPr>
                <w:b/>
                <w:sz w:val="18"/>
                <w:szCs w:val="18"/>
              </w:rPr>
            </w:pPr>
            <w:r>
              <w:rPr>
                <w:rFonts w:hint="eastAsia"/>
                <w:b/>
                <w:sz w:val="18"/>
                <w:szCs w:val="18"/>
              </w:rPr>
              <w:t>选修课</w:t>
            </w:r>
          </w:p>
          <w:p w14:paraId="6CA3263F">
            <w:pPr>
              <w:adjustRightInd w:val="0"/>
              <w:snapToGrid w:val="0"/>
              <w:jc w:val="center"/>
              <w:rPr>
                <w:b/>
                <w:color w:val="000000" w:themeColor="text1"/>
                <w:sz w:val="18"/>
                <w:szCs w:val="18"/>
              </w:rPr>
            </w:pPr>
          </w:p>
        </w:tc>
        <w:tc>
          <w:tcPr>
            <w:tcW w:w="3353" w:type="dxa"/>
            <w:vAlign w:val="center"/>
          </w:tcPr>
          <w:p w14:paraId="3D4E09D0">
            <w:pPr>
              <w:adjustRightInd w:val="0"/>
              <w:snapToGrid w:val="0"/>
              <w:rPr>
                <w:i/>
                <w:color w:val="FF0000"/>
                <w:sz w:val="18"/>
                <w:szCs w:val="18"/>
              </w:rPr>
            </w:pPr>
            <w:r>
              <w:rPr>
                <w:rFonts w:hint="eastAsia"/>
                <w:sz w:val="18"/>
                <w:szCs w:val="18"/>
              </w:rPr>
              <w:t>农业资源利用新技术与研究法</w:t>
            </w:r>
          </w:p>
        </w:tc>
        <w:tc>
          <w:tcPr>
            <w:tcW w:w="1081" w:type="dxa"/>
            <w:vAlign w:val="center"/>
          </w:tcPr>
          <w:p w14:paraId="008447B3">
            <w:pPr>
              <w:widowControl/>
              <w:jc w:val="center"/>
              <w:textAlignment w:val="center"/>
              <w:rPr>
                <w:color w:val="FF0000"/>
                <w:sz w:val="18"/>
                <w:szCs w:val="18"/>
              </w:rPr>
            </w:pPr>
            <w:r>
              <w:rPr>
                <w:rFonts w:eastAsia="等线"/>
                <w:color w:val="000000"/>
                <w:kern w:val="0"/>
                <w:sz w:val="18"/>
                <w:szCs w:val="18"/>
              </w:rPr>
              <w:t>ZS1232201</w:t>
            </w:r>
          </w:p>
        </w:tc>
        <w:tc>
          <w:tcPr>
            <w:tcW w:w="709" w:type="dxa"/>
            <w:vAlign w:val="center"/>
          </w:tcPr>
          <w:p w14:paraId="754AB38F">
            <w:pPr>
              <w:jc w:val="center"/>
              <w:rPr>
                <w:color w:val="FF0000"/>
                <w:sz w:val="18"/>
                <w:szCs w:val="18"/>
              </w:rPr>
            </w:pPr>
            <w:r>
              <w:rPr>
                <w:rFonts w:hint="eastAsia"/>
                <w:sz w:val="18"/>
                <w:szCs w:val="18"/>
              </w:rPr>
              <w:t>3</w:t>
            </w:r>
          </w:p>
        </w:tc>
        <w:tc>
          <w:tcPr>
            <w:tcW w:w="709" w:type="dxa"/>
            <w:vAlign w:val="center"/>
          </w:tcPr>
          <w:p w14:paraId="2E405F90">
            <w:pPr>
              <w:jc w:val="center"/>
              <w:rPr>
                <w:color w:val="FF0000"/>
                <w:sz w:val="18"/>
                <w:szCs w:val="18"/>
              </w:rPr>
            </w:pPr>
            <w:r>
              <w:rPr>
                <w:rFonts w:hint="eastAsia"/>
                <w:sz w:val="18"/>
                <w:szCs w:val="18"/>
              </w:rPr>
              <w:t>1</w:t>
            </w:r>
          </w:p>
        </w:tc>
        <w:tc>
          <w:tcPr>
            <w:tcW w:w="1146" w:type="dxa"/>
            <w:vMerge w:val="restart"/>
            <w:vAlign w:val="center"/>
          </w:tcPr>
          <w:p w14:paraId="7FC26B83">
            <w:pPr>
              <w:adjustRightInd w:val="0"/>
              <w:snapToGrid w:val="0"/>
              <w:jc w:val="center"/>
              <w:rPr>
                <w:color w:val="000000" w:themeColor="text1"/>
                <w:sz w:val="18"/>
                <w:szCs w:val="18"/>
              </w:rPr>
            </w:pPr>
            <w:r>
              <w:rPr>
                <w:rFonts w:hint="eastAsia"/>
                <w:color w:val="000000" w:themeColor="text1"/>
                <w:sz w:val="18"/>
                <w:szCs w:val="18"/>
              </w:rPr>
              <w:t>考查（至少修读6学分）</w:t>
            </w:r>
          </w:p>
        </w:tc>
      </w:tr>
      <w:tr w14:paraId="296E6B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59F53A5B">
            <w:pPr>
              <w:rPr>
                <w:b/>
                <w:color w:val="000000" w:themeColor="text1"/>
                <w:sz w:val="18"/>
                <w:szCs w:val="18"/>
              </w:rPr>
            </w:pPr>
          </w:p>
        </w:tc>
        <w:tc>
          <w:tcPr>
            <w:tcW w:w="1418" w:type="dxa"/>
            <w:vMerge w:val="continue"/>
            <w:vAlign w:val="center"/>
          </w:tcPr>
          <w:p w14:paraId="05EB60F5">
            <w:pPr>
              <w:jc w:val="center"/>
              <w:rPr>
                <w:b/>
                <w:color w:val="000000" w:themeColor="text1"/>
                <w:sz w:val="18"/>
                <w:szCs w:val="18"/>
              </w:rPr>
            </w:pPr>
          </w:p>
        </w:tc>
        <w:tc>
          <w:tcPr>
            <w:tcW w:w="3353" w:type="dxa"/>
            <w:vAlign w:val="center"/>
          </w:tcPr>
          <w:p w14:paraId="50677070">
            <w:pPr>
              <w:adjustRightInd w:val="0"/>
              <w:snapToGrid w:val="0"/>
              <w:rPr>
                <w:i/>
                <w:color w:val="FF0000"/>
                <w:sz w:val="18"/>
                <w:szCs w:val="18"/>
              </w:rPr>
            </w:pPr>
            <w:r>
              <w:rPr>
                <w:sz w:val="18"/>
                <w:szCs w:val="18"/>
              </w:rPr>
              <w:t>病虫害综合防治研究进展</w:t>
            </w:r>
          </w:p>
        </w:tc>
        <w:tc>
          <w:tcPr>
            <w:tcW w:w="1081" w:type="dxa"/>
            <w:vAlign w:val="center"/>
          </w:tcPr>
          <w:p w14:paraId="7A649012">
            <w:pPr>
              <w:widowControl/>
              <w:jc w:val="center"/>
              <w:textAlignment w:val="center"/>
              <w:rPr>
                <w:color w:val="FF0000"/>
                <w:sz w:val="18"/>
                <w:szCs w:val="18"/>
              </w:rPr>
            </w:pPr>
            <w:r>
              <w:rPr>
                <w:rFonts w:eastAsia="等线"/>
                <w:color w:val="000000"/>
                <w:kern w:val="0"/>
                <w:sz w:val="18"/>
                <w:szCs w:val="18"/>
              </w:rPr>
              <w:t>ZS1232202</w:t>
            </w:r>
          </w:p>
        </w:tc>
        <w:tc>
          <w:tcPr>
            <w:tcW w:w="709" w:type="dxa"/>
            <w:vAlign w:val="center"/>
          </w:tcPr>
          <w:p w14:paraId="691A1561">
            <w:pPr>
              <w:jc w:val="center"/>
              <w:rPr>
                <w:color w:val="FF0000"/>
                <w:sz w:val="18"/>
                <w:szCs w:val="18"/>
              </w:rPr>
            </w:pPr>
            <w:r>
              <w:rPr>
                <w:rFonts w:hint="eastAsia"/>
                <w:sz w:val="18"/>
                <w:szCs w:val="18"/>
              </w:rPr>
              <w:t>3</w:t>
            </w:r>
          </w:p>
        </w:tc>
        <w:tc>
          <w:tcPr>
            <w:tcW w:w="709" w:type="dxa"/>
            <w:vAlign w:val="center"/>
          </w:tcPr>
          <w:p w14:paraId="394B9A35">
            <w:pPr>
              <w:jc w:val="center"/>
              <w:rPr>
                <w:color w:val="FF0000"/>
                <w:sz w:val="18"/>
                <w:szCs w:val="18"/>
              </w:rPr>
            </w:pPr>
            <w:r>
              <w:rPr>
                <w:rFonts w:hint="eastAsia"/>
                <w:sz w:val="18"/>
                <w:szCs w:val="18"/>
              </w:rPr>
              <w:t>1</w:t>
            </w:r>
          </w:p>
        </w:tc>
        <w:tc>
          <w:tcPr>
            <w:tcW w:w="1146" w:type="dxa"/>
            <w:vMerge w:val="continue"/>
            <w:vAlign w:val="center"/>
          </w:tcPr>
          <w:p w14:paraId="359B303E">
            <w:pPr>
              <w:jc w:val="center"/>
              <w:rPr>
                <w:color w:val="000000" w:themeColor="text1"/>
                <w:sz w:val="18"/>
                <w:szCs w:val="18"/>
              </w:rPr>
            </w:pPr>
          </w:p>
        </w:tc>
      </w:tr>
      <w:tr w14:paraId="470AB0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18FBD69A">
            <w:pPr>
              <w:rPr>
                <w:b/>
                <w:color w:val="000000" w:themeColor="text1"/>
                <w:sz w:val="18"/>
                <w:szCs w:val="18"/>
              </w:rPr>
            </w:pPr>
          </w:p>
        </w:tc>
        <w:tc>
          <w:tcPr>
            <w:tcW w:w="1418" w:type="dxa"/>
            <w:vMerge w:val="continue"/>
            <w:vAlign w:val="center"/>
          </w:tcPr>
          <w:p w14:paraId="2863E98B">
            <w:pPr>
              <w:jc w:val="center"/>
              <w:rPr>
                <w:b/>
                <w:color w:val="FF0000"/>
                <w:sz w:val="18"/>
                <w:szCs w:val="18"/>
              </w:rPr>
            </w:pPr>
          </w:p>
        </w:tc>
        <w:tc>
          <w:tcPr>
            <w:tcW w:w="3353" w:type="dxa"/>
            <w:vAlign w:val="center"/>
          </w:tcPr>
          <w:p w14:paraId="69BD1795">
            <w:pPr>
              <w:adjustRightInd w:val="0"/>
              <w:snapToGrid w:val="0"/>
              <w:rPr>
                <w:i/>
                <w:color w:val="FF0000"/>
                <w:sz w:val="18"/>
                <w:szCs w:val="18"/>
              </w:rPr>
            </w:pPr>
            <w:r>
              <w:rPr>
                <w:rFonts w:hint="eastAsia"/>
                <w:sz w:val="18"/>
                <w:szCs w:val="18"/>
              </w:rPr>
              <w:t>水生生物资源利用</w:t>
            </w:r>
          </w:p>
        </w:tc>
        <w:tc>
          <w:tcPr>
            <w:tcW w:w="1081" w:type="dxa"/>
            <w:vAlign w:val="center"/>
          </w:tcPr>
          <w:p w14:paraId="7597A786">
            <w:pPr>
              <w:widowControl/>
              <w:jc w:val="center"/>
              <w:textAlignment w:val="center"/>
              <w:rPr>
                <w:color w:val="FF0000"/>
                <w:sz w:val="18"/>
                <w:szCs w:val="18"/>
              </w:rPr>
            </w:pPr>
            <w:r>
              <w:rPr>
                <w:rFonts w:eastAsia="等线"/>
                <w:color w:val="000000"/>
                <w:kern w:val="0"/>
                <w:sz w:val="18"/>
                <w:szCs w:val="18"/>
              </w:rPr>
              <w:t>ZS1232203</w:t>
            </w:r>
          </w:p>
        </w:tc>
        <w:tc>
          <w:tcPr>
            <w:tcW w:w="709" w:type="dxa"/>
            <w:vAlign w:val="center"/>
          </w:tcPr>
          <w:p w14:paraId="64DDED68">
            <w:pPr>
              <w:jc w:val="center"/>
              <w:rPr>
                <w:color w:val="FF0000"/>
                <w:sz w:val="18"/>
                <w:szCs w:val="18"/>
              </w:rPr>
            </w:pPr>
            <w:r>
              <w:rPr>
                <w:rFonts w:hint="eastAsia"/>
                <w:sz w:val="18"/>
                <w:szCs w:val="18"/>
              </w:rPr>
              <w:t>3</w:t>
            </w:r>
          </w:p>
        </w:tc>
        <w:tc>
          <w:tcPr>
            <w:tcW w:w="709" w:type="dxa"/>
            <w:vAlign w:val="center"/>
          </w:tcPr>
          <w:p w14:paraId="30BAC4D6">
            <w:pPr>
              <w:jc w:val="center"/>
              <w:rPr>
                <w:color w:val="FF0000"/>
                <w:sz w:val="18"/>
                <w:szCs w:val="18"/>
              </w:rPr>
            </w:pPr>
            <w:r>
              <w:rPr>
                <w:rFonts w:hint="eastAsia"/>
                <w:sz w:val="18"/>
                <w:szCs w:val="18"/>
              </w:rPr>
              <w:t>1</w:t>
            </w:r>
          </w:p>
        </w:tc>
        <w:tc>
          <w:tcPr>
            <w:tcW w:w="1146" w:type="dxa"/>
            <w:vMerge w:val="continue"/>
            <w:vAlign w:val="center"/>
          </w:tcPr>
          <w:p w14:paraId="76521E70">
            <w:pPr>
              <w:adjustRightInd w:val="0"/>
              <w:snapToGrid w:val="0"/>
              <w:jc w:val="center"/>
              <w:rPr>
                <w:color w:val="000000" w:themeColor="text1"/>
                <w:sz w:val="18"/>
                <w:szCs w:val="18"/>
              </w:rPr>
            </w:pPr>
          </w:p>
        </w:tc>
      </w:tr>
      <w:tr w14:paraId="39FE88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236839F7">
            <w:pPr>
              <w:rPr>
                <w:b/>
                <w:color w:val="000000" w:themeColor="text1"/>
                <w:sz w:val="18"/>
                <w:szCs w:val="18"/>
              </w:rPr>
            </w:pPr>
          </w:p>
        </w:tc>
        <w:tc>
          <w:tcPr>
            <w:tcW w:w="1418" w:type="dxa"/>
            <w:vMerge w:val="continue"/>
            <w:vAlign w:val="center"/>
          </w:tcPr>
          <w:p w14:paraId="16A7A097">
            <w:pPr>
              <w:jc w:val="center"/>
              <w:rPr>
                <w:b/>
                <w:color w:val="000000" w:themeColor="text1"/>
                <w:sz w:val="18"/>
                <w:szCs w:val="18"/>
              </w:rPr>
            </w:pPr>
          </w:p>
        </w:tc>
        <w:tc>
          <w:tcPr>
            <w:tcW w:w="3353" w:type="dxa"/>
          </w:tcPr>
          <w:p w14:paraId="16E22BC9">
            <w:pPr>
              <w:adjustRightInd w:val="0"/>
              <w:snapToGrid w:val="0"/>
              <w:rPr>
                <w:i/>
                <w:color w:val="FF0000"/>
                <w:sz w:val="18"/>
                <w:szCs w:val="18"/>
              </w:rPr>
            </w:pPr>
            <w:r>
              <w:rPr>
                <w:rFonts w:hint="eastAsia"/>
                <w:sz w:val="18"/>
                <w:szCs w:val="18"/>
              </w:rPr>
              <w:t>草地植物资源利用</w:t>
            </w:r>
          </w:p>
        </w:tc>
        <w:tc>
          <w:tcPr>
            <w:tcW w:w="1081" w:type="dxa"/>
            <w:vAlign w:val="center"/>
          </w:tcPr>
          <w:p w14:paraId="17A8BF8F">
            <w:pPr>
              <w:widowControl/>
              <w:jc w:val="center"/>
              <w:textAlignment w:val="center"/>
              <w:rPr>
                <w:color w:val="FF0000"/>
                <w:sz w:val="18"/>
                <w:szCs w:val="18"/>
              </w:rPr>
            </w:pPr>
            <w:r>
              <w:rPr>
                <w:rFonts w:eastAsia="等线"/>
                <w:color w:val="000000"/>
                <w:kern w:val="0"/>
                <w:sz w:val="18"/>
                <w:szCs w:val="18"/>
              </w:rPr>
              <w:t>ZS1232204</w:t>
            </w:r>
          </w:p>
        </w:tc>
        <w:tc>
          <w:tcPr>
            <w:tcW w:w="709" w:type="dxa"/>
            <w:vAlign w:val="center"/>
          </w:tcPr>
          <w:p w14:paraId="41A2E6C5">
            <w:pPr>
              <w:jc w:val="center"/>
              <w:rPr>
                <w:color w:val="FF0000"/>
                <w:sz w:val="18"/>
                <w:szCs w:val="18"/>
              </w:rPr>
            </w:pPr>
            <w:r>
              <w:rPr>
                <w:rFonts w:hint="eastAsia"/>
                <w:sz w:val="18"/>
                <w:szCs w:val="18"/>
              </w:rPr>
              <w:t>3</w:t>
            </w:r>
          </w:p>
        </w:tc>
        <w:tc>
          <w:tcPr>
            <w:tcW w:w="709" w:type="dxa"/>
            <w:vAlign w:val="center"/>
          </w:tcPr>
          <w:p w14:paraId="42328808">
            <w:pPr>
              <w:jc w:val="center"/>
              <w:rPr>
                <w:color w:val="FF0000"/>
                <w:sz w:val="18"/>
                <w:szCs w:val="18"/>
              </w:rPr>
            </w:pPr>
            <w:r>
              <w:rPr>
                <w:rFonts w:hint="eastAsia"/>
                <w:sz w:val="18"/>
                <w:szCs w:val="18"/>
              </w:rPr>
              <w:t>1</w:t>
            </w:r>
          </w:p>
        </w:tc>
        <w:tc>
          <w:tcPr>
            <w:tcW w:w="1146" w:type="dxa"/>
            <w:vMerge w:val="continue"/>
            <w:vAlign w:val="center"/>
          </w:tcPr>
          <w:p w14:paraId="3588C2B1">
            <w:pPr>
              <w:jc w:val="center"/>
              <w:rPr>
                <w:color w:val="000000" w:themeColor="text1"/>
                <w:sz w:val="18"/>
                <w:szCs w:val="18"/>
              </w:rPr>
            </w:pPr>
          </w:p>
        </w:tc>
      </w:tr>
      <w:tr w14:paraId="7B7AA2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1AF9F9CC">
            <w:pPr>
              <w:rPr>
                <w:b/>
                <w:color w:val="000000" w:themeColor="text1"/>
                <w:sz w:val="18"/>
                <w:szCs w:val="18"/>
              </w:rPr>
            </w:pPr>
          </w:p>
        </w:tc>
        <w:tc>
          <w:tcPr>
            <w:tcW w:w="1418" w:type="dxa"/>
            <w:vMerge w:val="continue"/>
            <w:vAlign w:val="center"/>
          </w:tcPr>
          <w:p w14:paraId="5231F117">
            <w:pPr>
              <w:jc w:val="center"/>
              <w:rPr>
                <w:b/>
                <w:color w:val="000000" w:themeColor="text1"/>
                <w:sz w:val="18"/>
                <w:szCs w:val="18"/>
              </w:rPr>
            </w:pPr>
          </w:p>
        </w:tc>
        <w:tc>
          <w:tcPr>
            <w:tcW w:w="3353" w:type="dxa"/>
            <w:vAlign w:val="center"/>
          </w:tcPr>
          <w:p w14:paraId="6192FCDE">
            <w:pPr>
              <w:adjustRightInd w:val="0"/>
              <w:snapToGrid w:val="0"/>
              <w:rPr>
                <w:i/>
                <w:color w:val="FF0000"/>
                <w:sz w:val="18"/>
                <w:szCs w:val="18"/>
              </w:rPr>
            </w:pPr>
            <w:r>
              <w:rPr>
                <w:rFonts w:hint="eastAsia"/>
                <w:sz w:val="18"/>
                <w:szCs w:val="18"/>
              </w:rPr>
              <w:t>现代植物保护技术研究进展</w:t>
            </w:r>
          </w:p>
        </w:tc>
        <w:tc>
          <w:tcPr>
            <w:tcW w:w="1081" w:type="dxa"/>
            <w:vAlign w:val="center"/>
          </w:tcPr>
          <w:p w14:paraId="075E2A1C">
            <w:pPr>
              <w:widowControl/>
              <w:jc w:val="center"/>
              <w:textAlignment w:val="center"/>
              <w:rPr>
                <w:i/>
                <w:color w:val="FF0000"/>
                <w:sz w:val="18"/>
                <w:szCs w:val="18"/>
              </w:rPr>
            </w:pPr>
            <w:r>
              <w:rPr>
                <w:rFonts w:eastAsia="等线"/>
                <w:color w:val="000000"/>
                <w:kern w:val="0"/>
                <w:sz w:val="18"/>
                <w:szCs w:val="18"/>
              </w:rPr>
              <w:t>ZS1232205</w:t>
            </w:r>
          </w:p>
        </w:tc>
        <w:tc>
          <w:tcPr>
            <w:tcW w:w="709" w:type="dxa"/>
            <w:vAlign w:val="center"/>
          </w:tcPr>
          <w:p w14:paraId="1ADC44CC">
            <w:pPr>
              <w:jc w:val="center"/>
              <w:rPr>
                <w:i/>
                <w:color w:val="FF0000"/>
                <w:sz w:val="18"/>
                <w:szCs w:val="18"/>
              </w:rPr>
            </w:pPr>
            <w:r>
              <w:rPr>
                <w:rFonts w:hint="eastAsia"/>
                <w:sz w:val="18"/>
                <w:szCs w:val="18"/>
              </w:rPr>
              <w:t>3</w:t>
            </w:r>
          </w:p>
        </w:tc>
        <w:tc>
          <w:tcPr>
            <w:tcW w:w="709" w:type="dxa"/>
            <w:vAlign w:val="center"/>
          </w:tcPr>
          <w:p w14:paraId="37320554">
            <w:pPr>
              <w:jc w:val="center"/>
              <w:rPr>
                <w:i/>
                <w:color w:val="FF0000"/>
                <w:sz w:val="18"/>
                <w:szCs w:val="18"/>
              </w:rPr>
            </w:pPr>
            <w:r>
              <w:rPr>
                <w:rFonts w:hint="eastAsia"/>
                <w:sz w:val="18"/>
                <w:szCs w:val="18"/>
              </w:rPr>
              <w:t>1</w:t>
            </w:r>
          </w:p>
        </w:tc>
        <w:tc>
          <w:tcPr>
            <w:tcW w:w="1146" w:type="dxa"/>
            <w:vMerge w:val="continue"/>
            <w:vAlign w:val="center"/>
          </w:tcPr>
          <w:p w14:paraId="58B258EA">
            <w:pPr>
              <w:jc w:val="center"/>
              <w:rPr>
                <w:i/>
                <w:color w:val="FF0000"/>
                <w:sz w:val="15"/>
                <w:szCs w:val="15"/>
                <w:highlight w:val="yellow"/>
              </w:rPr>
            </w:pPr>
          </w:p>
        </w:tc>
      </w:tr>
      <w:tr w14:paraId="242C28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1364F197">
            <w:pPr>
              <w:rPr>
                <w:b/>
                <w:color w:val="000000" w:themeColor="text1"/>
                <w:sz w:val="18"/>
                <w:szCs w:val="18"/>
              </w:rPr>
            </w:pPr>
          </w:p>
        </w:tc>
        <w:tc>
          <w:tcPr>
            <w:tcW w:w="1418" w:type="dxa"/>
            <w:vMerge w:val="continue"/>
            <w:vAlign w:val="center"/>
          </w:tcPr>
          <w:p w14:paraId="37053B6A">
            <w:pPr>
              <w:jc w:val="center"/>
              <w:rPr>
                <w:b/>
                <w:color w:val="000000" w:themeColor="text1"/>
                <w:sz w:val="18"/>
                <w:szCs w:val="18"/>
              </w:rPr>
            </w:pPr>
          </w:p>
        </w:tc>
        <w:tc>
          <w:tcPr>
            <w:tcW w:w="3353" w:type="dxa"/>
            <w:vAlign w:val="center"/>
          </w:tcPr>
          <w:p w14:paraId="50BD7EB9">
            <w:pPr>
              <w:adjustRightInd w:val="0"/>
              <w:snapToGrid w:val="0"/>
              <w:rPr>
                <w:i/>
                <w:color w:val="FF0000"/>
                <w:sz w:val="18"/>
                <w:szCs w:val="18"/>
              </w:rPr>
            </w:pPr>
            <w:r>
              <w:rPr>
                <w:rFonts w:hint="eastAsia"/>
                <w:sz w:val="18"/>
                <w:szCs w:val="18"/>
              </w:rPr>
              <w:t>微生物资源与开发利用（案例）</w:t>
            </w:r>
          </w:p>
        </w:tc>
        <w:tc>
          <w:tcPr>
            <w:tcW w:w="1081" w:type="dxa"/>
            <w:vAlign w:val="center"/>
          </w:tcPr>
          <w:p w14:paraId="4EA5F54A">
            <w:pPr>
              <w:widowControl/>
              <w:jc w:val="center"/>
              <w:textAlignment w:val="center"/>
              <w:rPr>
                <w:i/>
                <w:color w:val="FF0000"/>
                <w:sz w:val="18"/>
                <w:szCs w:val="18"/>
              </w:rPr>
            </w:pPr>
            <w:r>
              <w:rPr>
                <w:rFonts w:eastAsia="等线"/>
                <w:color w:val="000000"/>
                <w:kern w:val="0"/>
                <w:sz w:val="18"/>
                <w:szCs w:val="18"/>
              </w:rPr>
              <w:t>ZS1232206</w:t>
            </w:r>
          </w:p>
        </w:tc>
        <w:tc>
          <w:tcPr>
            <w:tcW w:w="709" w:type="dxa"/>
            <w:vAlign w:val="center"/>
          </w:tcPr>
          <w:p w14:paraId="00A2E622">
            <w:pPr>
              <w:jc w:val="center"/>
              <w:rPr>
                <w:i/>
                <w:color w:val="FF0000"/>
                <w:sz w:val="18"/>
                <w:szCs w:val="18"/>
              </w:rPr>
            </w:pPr>
            <w:r>
              <w:rPr>
                <w:rFonts w:hint="eastAsia"/>
                <w:sz w:val="18"/>
                <w:szCs w:val="18"/>
              </w:rPr>
              <w:t>3</w:t>
            </w:r>
          </w:p>
        </w:tc>
        <w:tc>
          <w:tcPr>
            <w:tcW w:w="709" w:type="dxa"/>
            <w:vAlign w:val="center"/>
          </w:tcPr>
          <w:p w14:paraId="173406E2">
            <w:pPr>
              <w:jc w:val="center"/>
              <w:rPr>
                <w:i/>
                <w:color w:val="FF0000"/>
                <w:sz w:val="18"/>
                <w:szCs w:val="18"/>
              </w:rPr>
            </w:pPr>
            <w:r>
              <w:rPr>
                <w:rFonts w:hint="eastAsia"/>
                <w:sz w:val="18"/>
                <w:szCs w:val="18"/>
              </w:rPr>
              <w:t>1</w:t>
            </w:r>
          </w:p>
        </w:tc>
        <w:tc>
          <w:tcPr>
            <w:tcW w:w="1146" w:type="dxa"/>
            <w:vMerge w:val="continue"/>
            <w:vAlign w:val="center"/>
          </w:tcPr>
          <w:p w14:paraId="42621610">
            <w:pPr>
              <w:jc w:val="center"/>
              <w:rPr>
                <w:i/>
                <w:color w:val="FF0000"/>
                <w:sz w:val="15"/>
                <w:szCs w:val="15"/>
                <w:highlight w:val="yellow"/>
              </w:rPr>
            </w:pPr>
          </w:p>
        </w:tc>
      </w:tr>
      <w:tr w14:paraId="7EC107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restart"/>
            <w:vAlign w:val="center"/>
          </w:tcPr>
          <w:p w14:paraId="58799100">
            <w:pPr>
              <w:jc w:val="center"/>
              <w:rPr>
                <w:b/>
                <w:color w:val="000000" w:themeColor="text1"/>
                <w:sz w:val="18"/>
                <w:szCs w:val="18"/>
              </w:rPr>
            </w:pPr>
            <w:r>
              <w:rPr>
                <w:b/>
                <w:color w:val="000000" w:themeColor="text1"/>
                <w:sz w:val="18"/>
                <w:szCs w:val="18"/>
              </w:rPr>
              <w:t>必修环节</w:t>
            </w:r>
          </w:p>
          <w:p w14:paraId="224C956A">
            <w:pPr>
              <w:jc w:val="center"/>
              <w:rPr>
                <w:b/>
                <w:color w:val="000000" w:themeColor="text1"/>
                <w:sz w:val="18"/>
                <w:szCs w:val="18"/>
              </w:rPr>
            </w:pPr>
          </w:p>
        </w:tc>
        <w:tc>
          <w:tcPr>
            <w:tcW w:w="1418" w:type="dxa"/>
            <w:vMerge w:val="restart"/>
            <w:vAlign w:val="center"/>
          </w:tcPr>
          <w:p w14:paraId="7BBD2C9B">
            <w:pPr>
              <w:jc w:val="center"/>
              <w:rPr>
                <w:b/>
                <w:color w:val="000000" w:themeColor="text1"/>
                <w:sz w:val="18"/>
                <w:szCs w:val="18"/>
              </w:rPr>
            </w:pPr>
            <w:r>
              <w:rPr>
                <w:rFonts w:hint="eastAsia"/>
                <w:b/>
                <w:color w:val="000000" w:themeColor="text1"/>
                <w:sz w:val="18"/>
                <w:szCs w:val="18"/>
              </w:rPr>
              <w:t>素质拓展</w:t>
            </w:r>
          </w:p>
        </w:tc>
        <w:tc>
          <w:tcPr>
            <w:tcW w:w="3353" w:type="dxa"/>
            <w:vAlign w:val="center"/>
          </w:tcPr>
          <w:p w14:paraId="4C67E26D">
            <w:pPr>
              <w:rPr>
                <w:color w:val="000000" w:themeColor="text1"/>
                <w:sz w:val="18"/>
                <w:szCs w:val="18"/>
              </w:rPr>
            </w:pPr>
            <w:r>
              <w:rPr>
                <w:color w:val="000000" w:themeColor="text1"/>
                <w:sz w:val="18"/>
                <w:szCs w:val="18"/>
              </w:rPr>
              <w:t>入学教育与学术规范</w:t>
            </w:r>
          </w:p>
        </w:tc>
        <w:tc>
          <w:tcPr>
            <w:tcW w:w="1081" w:type="dxa"/>
            <w:vAlign w:val="center"/>
          </w:tcPr>
          <w:p w14:paraId="12675772">
            <w:pPr>
              <w:jc w:val="center"/>
              <w:rPr>
                <w:color w:val="000000" w:themeColor="text1"/>
                <w:sz w:val="18"/>
                <w:szCs w:val="18"/>
              </w:rPr>
            </w:pPr>
          </w:p>
        </w:tc>
        <w:tc>
          <w:tcPr>
            <w:tcW w:w="709" w:type="dxa"/>
            <w:vAlign w:val="center"/>
          </w:tcPr>
          <w:p w14:paraId="0FFEFEDE">
            <w:pPr>
              <w:jc w:val="center"/>
              <w:rPr>
                <w:color w:val="000000" w:themeColor="text1"/>
                <w:sz w:val="18"/>
                <w:szCs w:val="18"/>
              </w:rPr>
            </w:pPr>
          </w:p>
        </w:tc>
        <w:tc>
          <w:tcPr>
            <w:tcW w:w="709" w:type="dxa"/>
            <w:vAlign w:val="center"/>
          </w:tcPr>
          <w:p w14:paraId="2C5DEC98">
            <w:pPr>
              <w:jc w:val="center"/>
              <w:rPr>
                <w:color w:val="000000" w:themeColor="text1"/>
                <w:sz w:val="18"/>
                <w:szCs w:val="18"/>
              </w:rPr>
            </w:pPr>
            <w:r>
              <w:rPr>
                <w:rFonts w:hint="eastAsia"/>
                <w:color w:val="000000" w:themeColor="text1"/>
                <w:sz w:val="18"/>
                <w:szCs w:val="18"/>
              </w:rPr>
              <w:t>1</w:t>
            </w:r>
          </w:p>
        </w:tc>
        <w:tc>
          <w:tcPr>
            <w:tcW w:w="1146" w:type="dxa"/>
            <w:vMerge w:val="restart"/>
            <w:vAlign w:val="center"/>
          </w:tcPr>
          <w:p w14:paraId="7D6C7BB0">
            <w:pPr>
              <w:jc w:val="center"/>
              <w:rPr>
                <w:color w:val="000000" w:themeColor="text1"/>
                <w:sz w:val="18"/>
                <w:szCs w:val="18"/>
              </w:rPr>
            </w:pPr>
          </w:p>
        </w:tc>
      </w:tr>
      <w:tr w14:paraId="44D229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vAlign w:val="center"/>
          </w:tcPr>
          <w:p w14:paraId="556B6DE1">
            <w:pPr>
              <w:jc w:val="center"/>
              <w:rPr>
                <w:b/>
                <w:color w:val="000000" w:themeColor="text1"/>
                <w:sz w:val="18"/>
                <w:szCs w:val="18"/>
              </w:rPr>
            </w:pPr>
          </w:p>
        </w:tc>
        <w:tc>
          <w:tcPr>
            <w:tcW w:w="1418" w:type="dxa"/>
            <w:vMerge w:val="continue"/>
            <w:vAlign w:val="center"/>
          </w:tcPr>
          <w:p w14:paraId="40FDCD46">
            <w:pPr>
              <w:jc w:val="center"/>
              <w:rPr>
                <w:b/>
                <w:color w:val="000000" w:themeColor="text1"/>
                <w:sz w:val="18"/>
                <w:szCs w:val="18"/>
              </w:rPr>
            </w:pPr>
          </w:p>
        </w:tc>
        <w:tc>
          <w:tcPr>
            <w:tcW w:w="3353" w:type="dxa"/>
            <w:vAlign w:val="center"/>
          </w:tcPr>
          <w:p w14:paraId="5FF182D0">
            <w:pPr>
              <w:rPr>
                <w:color w:val="000000" w:themeColor="text1"/>
                <w:sz w:val="18"/>
                <w:szCs w:val="18"/>
              </w:rPr>
            </w:pPr>
            <w:r>
              <w:rPr>
                <w:rFonts w:hint="eastAsia"/>
                <w:color w:val="000000" w:themeColor="text1"/>
                <w:sz w:val="18"/>
                <w:szCs w:val="18"/>
              </w:rPr>
              <w:t>学术/实践活动</w:t>
            </w:r>
          </w:p>
        </w:tc>
        <w:tc>
          <w:tcPr>
            <w:tcW w:w="1081" w:type="dxa"/>
            <w:vAlign w:val="center"/>
          </w:tcPr>
          <w:p w14:paraId="5C111DB9">
            <w:pPr>
              <w:jc w:val="center"/>
              <w:rPr>
                <w:color w:val="000000" w:themeColor="text1"/>
                <w:sz w:val="18"/>
                <w:szCs w:val="18"/>
              </w:rPr>
            </w:pPr>
          </w:p>
        </w:tc>
        <w:tc>
          <w:tcPr>
            <w:tcW w:w="709" w:type="dxa"/>
            <w:vAlign w:val="center"/>
          </w:tcPr>
          <w:p w14:paraId="599AD168">
            <w:pPr>
              <w:jc w:val="center"/>
              <w:rPr>
                <w:color w:val="000000" w:themeColor="text1"/>
                <w:sz w:val="18"/>
                <w:szCs w:val="18"/>
              </w:rPr>
            </w:pPr>
            <w:r>
              <w:rPr>
                <w:color w:val="000000" w:themeColor="text1"/>
                <w:sz w:val="18"/>
                <w:szCs w:val="18"/>
              </w:rPr>
              <w:t>1</w:t>
            </w:r>
          </w:p>
        </w:tc>
        <w:tc>
          <w:tcPr>
            <w:tcW w:w="709" w:type="dxa"/>
            <w:vAlign w:val="center"/>
          </w:tcPr>
          <w:p w14:paraId="7276AA3A">
            <w:pPr>
              <w:jc w:val="center"/>
              <w:rPr>
                <w:color w:val="000000" w:themeColor="text1"/>
                <w:sz w:val="18"/>
                <w:szCs w:val="18"/>
              </w:rPr>
            </w:pPr>
            <w:r>
              <w:rPr>
                <w:rFonts w:hint="eastAsia"/>
                <w:color w:val="000000" w:themeColor="text1"/>
                <w:sz w:val="18"/>
                <w:szCs w:val="18"/>
              </w:rPr>
              <w:t>2</w:t>
            </w:r>
            <w:r>
              <w:rPr>
                <w:color w:val="000000" w:themeColor="text1"/>
                <w:sz w:val="18"/>
                <w:szCs w:val="18"/>
              </w:rPr>
              <w:t>-5</w:t>
            </w:r>
          </w:p>
        </w:tc>
        <w:tc>
          <w:tcPr>
            <w:tcW w:w="1146" w:type="dxa"/>
            <w:vMerge w:val="continue"/>
            <w:vAlign w:val="center"/>
          </w:tcPr>
          <w:p w14:paraId="7B97D570">
            <w:pPr>
              <w:jc w:val="center"/>
              <w:rPr>
                <w:color w:val="000000" w:themeColor="text1"/>
                <w:sz w:val="18"/>
                <w:szCs w:val="18"/>
              </w:rPr>
            </w:pPr>
          </w:p>
        </w:tc>
      </w:tr>
      <w:tr w14:paraId="77D389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21EB5A55">
            <w:pPr>
              <w:rPr>
                <w:b/>
                <w:color w:val="000000" w:themeColor="text1"/>
                <w:sz w:val="18"/>
                <w:szCs w:val="18"/>
              </w:rPr>
            </w:pPr>
          </w:p>
        </w:tc>
        <w:tc>
          <w:tcPr>
            <w:tcW w:w="1418" w:type="dxa"/>
            <w:vMerge w:val="restart"/>
            <w:vAlign w:val="center"/>
          </w:tcPr>
          <w:p w14:paraId="71585413">
            <w:pPr>
              <w:jc w:val="center"/>
              <w:rPr>
                <w:b/>
                <w:color w:val="000000" w:themeColor="text1"/>
                <w:sz w:val="18"/>
                <w:szCs w:val="18"/>
              </w:rPr>
            </w:pPr>
            <w:r>
              <w:rPr>
                <w:rFonts w:hint="eastAsia"/>
                <w:b/>
                <w:color w:val="000000" w:themeColor="text1"/>
                <w:sz w:val="18"/>
                <w:szCs w:val="18"/>
              </w:rPr>
              <w:t>学术训练</w:t>
            </w:r>
          </w:p>
        </w:tc>
        <w:tc>
          <w:tcPr>
            <w:tcW w:w="3353" w:type="dxa"/>
            <w:vAlign w:val="center"/>
          </w:tcPr>
          <w:p w14:paraId="0B5C16AD">
            <w:pPr>
              <w:rPr>
                <w:color w:val="000000" w:themeColor="text1"/>
                <w:sz w:val="18"/>
                <w:szCs w:val="18"/>
              </w:rPr>
            </w:pPr>
            <w:r>
              <w:rPr>
                <w:rFonts w:hint="eastAsia"/>
                <w:color w:val="000000" w:themeColor="text1"/>
                <w:sz w:val="18"/>
                <w:szCs w:val="18"/>
              </w:rPr>
              <w:t>中期筛选</w:t>
            </w:r>
          </w:p>
        </w:tc>
        <w:tc>
          <w:tcPr>
            <w:tcW w:w="1081" w:type="dxa"/>
            <w:vAlign w:val="center"/>
          </w:tcPr>
          <w:p w14:paraId="58B53F34">
            <w:pPr>
              <w:jc w:val="center"/>
              <w:rPr>
                <w:color w:val="000000" w:themeColor="text1"/>
                <w:sz w:val="18"/>
                <w:szCs w:val="18"/>
              </w:rPr>
            </w:pPr>
          </w:p>
        </w:tc>
        <w:tc>
          <w:tcPr>
            <w:tcW w:w="709" w:type="dxa"/>
            <w:vAlign w:val="center"/>
          </w:tcPr>
          <w:p w14:paraId="078620DB">
            <w:pPr>
              <w:jc w:val="center"/>
              <w:rPr>
                <w:color w:val="000000" w:themeColor="text1"/>
                <w:sz w:val="18"/>
                <w:szCs w:val="18"/>
              </w:rPr>
            </w:pPr>
          </w:p>
        </w:tc>
        <w:tc>
          <w:tcPr>
            <w:tcW w:w="709" w:type="dxa"/>
            <w:vAlign w:val="center"/>
          </w:tcPr>
          <w:p w14:paraId="1486145A">
            <w:pPr>
              <w:jc w:val="center"/>
              <w:rPr>
                <w:color w:val="000000" w:themeColor="text1"/>
                <w:sz w:val="18"/>
                <w:szCs w:val="18"/>
              </w:rPr>
            </w:pPr>
            <w:r>
              <w:rPr>
                <w:color w:val="000000" w:themeColor="text1"/>
                <w:sz w:val="18"/>
                <w:szCs w:val="18"/>
              </w:rPr>
              <w:t>3</w:t>
            </w:r>
          </w:p>
        </w:tc>
        <w:tc>
          <w:tcPr>
            <w:tcW w:w="1146" w:type="dxa"/>
            <w:vMerge w:val="restart"/>
            <w:vAlign w:val="center"/>
          </w:tcPr>
          <w:p w14:paraId="6620D37B">
            <w:pPr>
              <w:jc w:val="center"/>
              <w:rPr>
                <w:color w:val="000000" w:themeColor="text1"/>
                <w:sz w:val="18"/>
                <w:szCs w:val="18"/>
              </w:rPr>
            </w:pPr>
            <w:r>
              <w:rPr>
                <w:color w:val="000000" w:themeColor="text1"/>
                <w:sz w:val="18"/>
                <w:szCs w:val="18"/>
              </w:rPr>
              <w:t>过程管理</w:t>
            </w:r>
          </w:p>
          <w:p w14:paraId="071ADED2">
            <w:pPr>
              <w:jc w:val="center"/>
              <w:rPr>
                <w:color w:val="000000" w:themeColor="text1"/>
                <w:sz w:val="18"/>
                <w:szCs w:val="18"/>
              </w:rPr>
            </w:pPr>
            <w:r>
              <w:rPr>
                <w:color w:val="000000" w:themeColor="text1"/>
                <w:sz w:val="18"/>
                <w:szCs w:val="18"/>
              </w:rPr>
              <w:t>无学分</w:t>
            </w:r>
          </w:p>
        </w:tc>
      </w:tr>
      <w:tr w14:paraId="1A442A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271F5F66">
            <w:pPr>
              <w:rPr>
                <w:b/>
                <w:color w:val="000000" w:themeColor="text1"/>
                <w:sz w:val="18"/>
                <w:szCs w:val="18"/>
              </w:rPr>
            </w:pPr>
          </w:p>
        </w:tc>
        <w:tc>
          <w:tcPr>
            <w:tcW w:w="1418" w:type="dxa"/>
            <w:vMerge w:val="continue"/>
            <w:vAlign w:val="center"/>
          </w:tcPr>
          <w:p w14:paraId="1AFE0DE9">
            <w:pPr>
              <w:jc w:val="center"/>
              <w:rPr>
                <w:b/>
                <w:color w:val="000000" w:themeColor="text1"/>
                <w:sz w:val="18"/>
                <w:szCs w:val="18"/>
              </w:rPr>
            </w:pPr>
          </w:p>
        </w:tc>
        <w:tc>
          <w:tcPr>
            <w:tcW w:w="3353" w:type="dxa"/>
            <w:vAlign w:val="center"/>
          </w:tcPr>
          <w:p w14:paraId="3584475D">
            <w:pPr>
              <w:rPr>
                <w:color w:val="000000" w:themeColor="text1"/>
                <w:sz w:val="18"/>
                <w:szCs w:val="18"/>
              </w:rPr>
            </w:pPr>
            <w:r>
              <w:rPr>
                <w:color w:val="000000" w:themeColor="text1"/>
                <w:sz w:val="18"/>
                <w:szCs w:val="18"/>
              </w:rPr>
              <w:t>论文开题</w:t>
            </w:r>
          </w:p>
        </w:tc>
        <w:tc>
          <w:tcPr>
            <w:tcW w:w="1081" w:type="dxa"/>
            <w:vAlign w:val="center"/>
          </w:tcPr>
          <w:p w14:paraId="17D4AC38">
            <w:pPr>
              <w:jc w:val="center"/>
              <w:rPr>
                <w:color w:val="000000" w:themeColor="text1"/>
                <w:sz w:val="18"/>
                <w:szCs w:val="18"/>
              </w:rPr>
            </w:pPr>
          </w:p>
        </w:tc>
        <w:tc>
          <w:tcPr>
            <w:tcW w:w="709" w:type="dxa"/>
            <w:vAlign w:val="center"/>
          </w:tcPr>
          <w:p w14:paraId="3EE0E0A8">
            <w:pPr>
              <w:jc w:val="center"/>
              <w:rPr>
                <w:color w:val="000000" w:themeColor="text1"/>
                <w:sz w:val="18"/>
                <w:szCs w:val="18"/>
              </w:rPr>
            </w:pPr>
          </w:p>
        </w:tc>
        <w:tc>
          <w:tcPr>
            <w:tcW w:w="709" w:type="dxa"/>
            <w:vAlign w:val="center"/>
          </w:tcPr>
          <w:p w14:paraId="2867EB8D">
            <w:pPr>
              <w:jc w:val="center"/>
              <w:rPr>
                <w:color w:val="000000" w:themeColor="text1"/>
                <w:sz w:val="18"/>
                <w:szCs w:val="18"/>
              </w:rPr>
            </w:pPr>
            <w:r>
              <w:rPr>
                <w:color w:val="000000" w:themeColor="text1"/>
                <w:sz w:val="18"/>
                <w:szCs w:val="18"/>
              </w:rPr>
              <w:t>3</w:t>
            </w:r>
          </w:p>
        </w:tc>
        <w:tc>
          <w:tcPr>
            <w:tcW w:w="1146" w:type="dxa"/>
            <w:vMerge w:val="continue"/>
            <w:vAlign w:val="center"/>
          </w:tcPr>
          <w:p w14:paraId="2591DE2A">
            <w:pPr>
              <w:jc w:val="center"/>
              <w:rPr>
                <w:color w:val="000000" w:themeColor="text1"/>
                <w:sz w:val="18"/>
                <w:szCs w:val="18"/>
              </w:rPr>
            </w:pPr>
          </w:p>
        </w:tc>
      </w:tr>
      <w:tr w14:paraId="0BD0C5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387B9A92">
            <w:pPr>
              <w:rPr>
                <w:b/>
                <w:color w:val="000000" w:themeColor="text1"/>
                <w:sz w:val="18"/>
                <w:szCs w:val="18"/>
              </w:rPr>
            </w:pPr>
          </w:p>
        </w:tc>
        <w:tc>
          <w:tcPr>
            <w:tcW w:w="1418" w:type="dxa"/>
            <w:vMerge w:val="continue"/>
            <w:vAlign w:val="center"/>
          </w:tcPr>
          <w:p w14:paraId="4B6034F8">
            <w:pPr>
              <w:jc w:val="center"/>
              <w:rPr>
                <w:b/>
                <w:color w:val="000000" w:themeColor="text1"/>
                <w:sz w:val="18"/>
                <w:szCs w:val="18"/>
              </w:rPr>
            </w:pPr>
          </w:p>
        </w:tc>
        <w:tc>
          <w:tcPr>
            <w:tcW w:w="3353" w:type="dxa"/>
            <w:vAlign w:val="center"/>
          </w:tcPr>
          <w:p w14:paraId="25C09213">
            <w:pPr>
              <w:rPr>
                <w:color w:val="000000" w:themeColor="text1"/>
                <w:sz w:val="18"/>
                <w:szCs w:val="18"/>
              </w:rPr>
            </w:pPr>
            <w:r>
              <w:rPr>
                <w:rFonts w:hint="eastAsia"/>
                <w:color w:val="000000" w:themeColor="text1"/>
                <w:sz w:val="18"/>
                <w:szCs w:val="18"/>
              </w:rPr>
              <w:t>论文中期进展报告</w:t>
            </w:r>
          </w:p>
        </w:tc>
        <w:tc>
          <w:tcPr>
            <w:tcW w:w="1081" w:type="dxa"/>
            <w:vAlign w:val="center"/>
          </w:tcPr>
          <w:p w14:paraId="119ACFA1">
            <w:pPr>
              <w:jc w:val="center"/>
              <w:rPr>
                <w:color w:val="000000" w:themeColor="text1"/>
                <w:sz w:val="18"/>
                <w:szCs w:val="18"/>
              </w:rPr>
            </w:pPr>
          </w:p>
        </w:tc>
        <w:tc>
          <w:tcPr>
            <w:tcW w:w="709" w:type="dxa"/>
            <w:vAlign w:val="center"/>
          </w:tcPr>
          <w:p w14:paraId="710BDE9D">
            <w:pPr>
              <w:jc w:val="center"/>
              <w:rPr>
                <w:color w:val="000000" w:themeColor="text1"/>
                <w:sz w:val="18"/>
                <w:szCs w:val="18"/>
              </w:rPr>
            </w:pPr>
          </w:p>
        </w:tc>
        <w:tc>
          <w:tcPr>
            <w:tcW w:w="709" w:type="dxa"/>
            <w:vAlign w:val="center"/>
          </w:tcPr>
          <w:p w14:paraId="5D96541E">
            <w:pPr>
              <w:jc w:val="center"/>
              <w:rPr>
                <w:color w:val="000000" w:themeColor="text1"/>
                <w:sz w:val="18"/>
                <w:szCs w:val="18"/>
              </w:rPr>
            </w:pPr>
            <w:r>
              <w:rPr>
                <w:color w:val="000000" w:themeColor="text1"/>
                <w:sz w:val="18"/>
                <w:szCs w:val="18"/>
              </w:rPr>
              <w:t>5</w:t>
            </w:r>
          </w:p>
        </w:tc>
        <w:tc>
          <w:tcPr>
            <w:tcW w:w="1146" w:type="dxa"/>
            <w:vMerge w:val="continue"/>
            <w:vAlign w:val="center"/>
          </w:tcPr>
          <w:p w14:paraId="26570219">
            <w:pPr>
              <w:jc w:val="center"/>
              <w:rPr>
                <w:color w:val="000000" w:themeColor="text1"/>
                <w:sz w:val="18"/>
                <w:szCs w:val="18"/>
              </w:rPr>
            </w:pPr>
          </w:p>
        </w:tc>
      </w:tr>
      <w:tr w14:paraId="6E1898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73E77C02">
            <w:pPr>
              <w:rPr>
                <w:b/>
                <w:color w:val="000000" w:themeColor="text1"/>
                <w:sz w:val="18"/>
                <w:szCs w:val="18"/>
              </w:rPr>
            </w:pPr>
          </w:p>
        </w:tc>
        <w:tc>
          <w:tcPr>
            <w:tcW w:w="1418" w:type="dxa"/>
            <w:vMerge w:val="continue"/>
            <w:vAlign w:val="center"/>
          </w:tcPr>
          <w:p w14:paraId="73156022">
            <w:pPr>
              <w:jc w:val="center"/>
              <w:rPr>
                <w:b/>
                <w:color w:val="000000" w:themeColor="text1"/>
                <w:sz w:val="18"/>
                <w:szCs w:val="18"/>
              </w:rPr>
            </w:pPr>
          </w:p>
        </w:tc>
        <w:tc>
          <w:tcPr>
            <w:tcW w:w="3353" w:type="dxa"/>
            <w:vAlign w:val="center"/>
          </w:tcPr>
          <w:p w14:paraId="44E5338A">
            <w:pPr>
              <w:rPr>
                <w:color w:val="000000" w:themeColor="text1"/>
                <w:sz w:val="18"/>
                <w:szCs w:val="18"/>
              </w:rPr>
            </w:pPr>
            <w:r>
              <w:rPr>
                <w:rFonts w:hint="eastAsia"/>
                <w:color w:val="000000" w:themeColor="text1"/>
                <w:sz w:val="18"/>
                <w:szCs w:val="18"/>
              </w:rPr>
              <w:t>论文</w:t>
            </w:r>
            <w:r>
              <w:rPr>
                <w:color w:val="000000" w:themeColor="text1"/>
                <w:sz w:val="18"/>
                <w:szCs w:val="18"/>
              </w:rPr>
              <w:t>预答辩</w:t>
            </w:r>
          </w:p>
        </w:tc>
        <w:tc>
          <w:tcPr>
            <w:tcW w:w="1081" w:type="dxa"/>
            <w:vAlign w:val="center"/>
          </w:tcPr>
          <w:p w14:paraId="52E24004">
            <w:pPr>
              <w:jc w:val="center"/>
              <w:rPr>
                <w:color w:val="000000" w:themeColor="text1"/>
                <w:sz w:val="18"/>
                <w:szCs w:val="18"/>
              </w:rPr>
            </w:pPr>
          </w:p>
        </w:tc>
        <w:tc>
          <w:tcPr>
            <w:tcW w:w="709" w:type="dxa"/>
            <w:vAlign w:val="center"/>
          </w:tcPr>
          <w:p w14:paraId="6810CB8E">
            <w:pPr>
              <w:jc w:val="center"/>
              <w:rPr>
                <w:color w:val="000000" w:themeColor="text1"/>
                <w:sz w:val="18"/>
                <w:szCs w:val="18"/>
              </w:rPr>
            </w:pPr>
          </w:p>
        </w:tc>
        <w:tc>
          <w:tcPr>
            <w:tcW w:w="709" w:type="dxa"/>
            <w:vAlign w:val="center"/>
          </w:tcPr>
          <w:p w14:paraId="57F6B598">
            <w:pPr>
              <w:jc w:val="center"/>
              <w:rPr>
                <w:color w:val="000000" w:themeColor="text1"/>
                <w:sz w:val="18"/>
                <w:szCs w:val="18"/>
              </w:rPr>
            </w:pPr>
            <w:r>
              <w:rPr>
                <w:color w:val="000000" w:themeColor="text1"/>
                <w:sz w:val="18"/>
                <w:szCs w:val="18"/>
              </w:rPr>
              <w:t>6</w:t>
            </w:r>
          </w:p>
        </w:tc>
        <w:tc>
          <w:tcPr>
            <w:tcW w:w="1146" w:type="dxa"/>
            <w:vMerge w:val="continue"/>
          </w:tcPr>
          <w:p w14:paraId="745C64E3">
            <w:pPr>
              <w:jc w:val="center"/>
              <w:rPr>
                <w:color w:val="000000" w:themeColor="text1"/>
                <w:sz w:val="18"/>
                <w:szCs w:val="18"/>
              </w:rPr>
            </w:pPr>
          </w:p>
        </w:tc>
      </w:tr>
      <w:tr w14:paraId="6C52A7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11AB6019">
            <w:pPr>
              <w:rPr>
                <w:color w:val="000000" w:themeColor="text1"/>
                <w:sz w:val="18"/>
                <w:szCs w:val="18"/>
              </w:rPr>
            </w:pPr>
          </w:p>
        </w:tc>
        <w:tc>
          <w:tcPr>
            <w:tcW w:w="1418" w:type="dxa"/>
            <w:vMerge w:val="continue"/>
          </w:tcPr>
          <w:p w14:paraId="5CD69B66">
            <w:pPr>
              <w:jc w:val="center"/>
              <w:rPr>
                <w:color w:val="000000" w:themeColor="text1"/>
                <w:sz w:val="18"/>
                <w:szCs w:val="18"/>
              </w:rPr>
            </w:pPr>
          </w:p>
        </w:tc>
        <w:tc>
          <w:tcPr>
            <w:tcW w:w="3353" w:type="dxa"/>
            <w:vAlign w:val="center"/>
          </w:tcPr>
          <w:p w14:paraId="70D52B71">
            <w:pPr>
              <w:rPr>
                <w:color w:val="000000" w:themeColor="text1"/>
                <w:sz w:val="18"/>
                <w:szCs w:val="18"/>
              </w:rPr>
            </w:pPr>
            <w:r>
              <w:rPr>
                <w:rFonts w:hint="eastAsia"/>
                <w:color w:val="000000" w:themeColor="text1"/>
                <w:sz w:val="18"/>
                <w:szCs w:val="18"/>
              </w:rPr>
              <w:t>论文</w:t>
            </w:r>
            <w:r>
              <w:rPr>
                <w:color w:val="000000" w:themeColor="text1"/>
                <w:sz w:val="18"/>
                <w:szCs w:val="18"/>
              </w:rPr>
              <w:t>评审</w:t>
            </w:r>
          </w:p>
        </w:tc>
        <w:tc>
          <w:tcPr>
            <w:tcW w:w="1081" w:type="dxa"/>
            <w:vAlign w:val="center"/>
          </w:tcPr>
          <w:p w14:paraId="653513FE">
            <w:pPr>
              <w:jc w:val="center"/>
              <w:rPr>
                <w:color w:val="000000" w:themeColor="text1"/>
                <w:sz w:val="18"/>
                <w:szCs w:val="18"/>
              </w:rPr>
            </w:pPr>
          </w:p>
        </w:tc>
        <w:tc>
          <w:tcPr>
            <w:tcW w:w="709" w:type="dxa"/>
            <w:vAlign w:val="center"/>
          </w:tcPr>
          <w:p w14:paraId="2637C7A9">
            <w:pPr>
              <w:jc w:val="center"/>
              <w:rPr>
                <w:color w:val="000000" w:themeColor="text1"/>
                <w:sz w:val="18"/>
                <w:szCs w:val="18"/>
              </w:rPr>
            </w:pPr>
          </w:p>
        </w:tc>
        <w:tc>
          <w:tcPr>
            <w:tcW w:w="709" w:type="dxa"/>
            <w:vAlign w:val="center"/>
          </w:tcPr>
          <w:p w14:paraId="46459726">
            <w:pPr>
              <w:jc w:val="center"/>
              <w:rPr>
                <w:color w:val="000000" w:themeColor="text1"/>
                <w:sz w:val="18"/>
                <w:szCs w:val="18"/>
              </w:rPr>
            </w:pPr>
            <w:r>
              <w:rPr>
                <w:color w:val="000000" w:themeColor="text1"/>
                <w:sz w:val="18"/>
                <w:szCs w:val="18"/>
              </w:rPr>
              <w:t>6</w:t>
            </w:r>
          </w:p>
        </w:tc>
        <w:tc>
          <w:tcPr>
            <w:tcW w:w="1146" w:type="dxa"/>
            <w:vMerge w:val="continue"/>
          </w:tcPr>
          <w:p w14:paraId="580DDF1E">
            <w:pPr>
              <w:jc w:val="center"/>
              <w:rPr>
                <w:color w:val="000000" w:themeColor="text1"/>
                <w:sz w:val="18"/>
                <w:szCs w:val="18"/>
              </w:rPr>
            </w:pPr>
          </w:p>
        </w:tc>
      </w:tr>
      <w:tr w14:paraId="03C7DE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021" w:type="dxa"/>
            <w:vMerge w:val="continue"/>
          </w:tcPr>
          <w:p w14:paraId="702694C1">
            <w:pPr>
              <w:rPr>
                <w:color w:val="000000" w:themeColor="text1"/>
                <w:sz w:val="18"/>
                <w:szCs w:val="18"/>
              </w:rPr>
            </w:pPr>
          </w:p>
        </w:tc>
        <w:tc>
          <w:tcPr>
            <w:tcW w:w="1418" w:type="dxa"/>
            <w:vMerge w:val="continue"/>
          </w:tcPr>
          <w:p w14:paraId="37B9BC42">
            <w:pPr>
              <w:jc w:val="center"/>
              <w:rPr>
                <w:color w:val="000000" w:themeColor="text1"/>
                <w:sz w:val="18"/>
                <w:szCs w:val="18"/>
              </w:rPr>
            </w:pPr>
          </w:p>
        </w:tc>
        <w:tc>
          <w:tcPr>
            <w:tcW w:w="3353" w:type="dxa"/>
            <w:vAlign w:val="center"/>
          </w:tcPr>
          <w:p w14:paraId="18314BCE">
            <w:pPr>
              <w:rPr>
                <w:color w:val="000000" w:themeColor="text1"/>
                <w:sz w:val="18"/>
                <w:szCs w:val="18"/>
              </w:rPr>
            </w:pPr>
            <w:r>
              <w:rPr>
                <w:rFonts w:hint="eastAsia"/>
                <w:color w:val="000000" w:themeColor="text1"/>
                <w:sz w:val="18"/>
                <w:szCs w:val="18"/>
              </w:rPr>
              <w:t>论文</w:t>
            </w:r>
            <w:r>
              <w:rPr>
                <w:color w:val="000000" w:themeColor="text1"/>
                <w:sz w:val="18"/>
                <w:szCs w:val="18"/>
              </w:rPr>
              <w:t>答辩</w:t>
            </w:r>
          </w:p>
        </w:tc>
        <w:tc>
          <w:tcPr>
            <w:tcW w:w="1081" w:type="dxa"/>
            <w:vAlign w:val="center"/>
          </w:tcPr>
          <w:p w14:paraId="346034D3">
            <w:pPr>
              <w:jc w:val="center"/>
              <w:rPr>
                <w:color w:val="000000" w:themeColor="text1"/>
                <w:sz w:val="18"/>
                <w:szCs w:val="18"/>
              </w:rPr>
            </w:pPr>
          </w:p>
        </w:tc>
        <w:tc>
          <w:tcPr>
            <w:tcW w:w="709" w:type="dxa"/>
            <w:vAlign w:val="center"/>
          </w:tcPr>
          <w:p w14:paraId="64FBBDC7">
            <w:pPr>
              <w:jc w:val="center"/>
              <w:rPr>
                <w:color w:val="000000" w:themeColor="text1"/>
                <w:sz w:val="18"/>
                <w:szCs w:val="18"/>
              </w:rPr>
            </w:pPr>
          </w:p>
        </w:tc>
        <w:tc>
          <w:tcPr>
            <w:tcW w:w="709" w:type="dxa"/>
            <w:vAlign w:val="center"/>
          </w:tcPr>
          <w:p w14:paraId="34A5CB04">
            <w:pPr>
              <w:jc w:val="center"/>
              <w:rPr>
                <w:color w:val="000000" w:themeColor="text1"/>
                <w:sz w:val="18"/>
                <w:szCs w:val="18"/>
              </w:rPr>
            </w:pPr>
            <w:r>
              <w:rPr>
                <w:color w:val="000000" w:themeColor="text1"/>
                <w:sz w:val="18"/>
                <w:szCs w:val="18"/>
              </w:rPr>
              <w:t>6</w:t>
            </w:r>
          </w:p>
        </w:tc>
        <w:tc>
          <w:tcPr>
            <w:tcW w:w="1146" w:type="dxa"/>
            <w:vMerge w:val="continue"/>
          </w:tcPr>
          <w:p w14:paraId="0CD026C4">
            <w:pPr>
              <w:jc w:val="center"/>
              <w:rPr>
                <w:color w:val="000000" w:themeColor="text1"/>
                <w:sz w:val="18"/>
                <w:szCs w:val="18"/>
              </w:rPr>
            </w:pPr>
          </w:p>
        </w:tc>
      </w:tr>
    </w:tbl>
    <w:p w14:paraId="00B54725">
      <w:pPr>
        <w:spacing w:line="440" w:lineRule="exact"/>
        <w:rPr>
          <w:rFonts w:eastAsiaTheme="minorEastAsia"/>
          <w:bCs/>
          <w:sz w:val="24"/>
        </w:rPr>
      </w:pPr>
      <w:r>
        <w:rPr>
          <w:rFonts w:eastAsiaTheme="minorEastAsia"/>
          <w:bCs/>
          <w:sz w:val="24"/>
        </w:rPr>
        <w:t>*公共外语课程按入学时的外国语考试科目修读相关语种。</w:t>
      </w:r>
    </w:p>
    <w:p w14:paraId="377650F2">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38F5FB25">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bookmarkEnd w:id="0"/>
    <w:bookmarkEnd w:id="1"/>
    <w:p w14:paraId="6777C00F">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1ACBC1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2E997D"/>
    <w:multiLevelType w:val="singleLevel"/>
    <w:tmpl w:val="2A2E997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D61BE"/>
    <w:rsid w:val="00005370"/>
    <w:rsid w:val="000533C0"/>
    <w:rsid w:val="001154CD"/>
    <w:rsid w:val="001179FF"/>
    <w:rsid w:val="00282EAD"/>
    <w:rsid w:val="00356D1D"/>
    <w:rsid w:val="00443FB9"/>
    <w:rsid w:val="00480310"/>
    <w:rsid w:val="004C7DFA"/>
    <w:rsid w:val="004E560F"/>
    <w:rsid w:val="005624ED"/>
    <w:rsid w:val="005C1A44"/>
    <w:rsid w:val="005F7696"/>
    <w:rsid w:val="00660D7C"/>
    <w:rsid w:val="006E7AEB"/>
    <w:rsid w:val="00710D6C"/>
    <w:rsid w:val="007A2F8F"/>
    <w:rsid w:val="007D61BE"/>
    <w:rsid w:val="00940627"/>
    <w:rsid w:val="009D6A2B"/>
    <w:rsid w:val="00A737B2"/>
    <w:rsid w:val="00AD7BF7"/>
    <w:rsid w:val="00AF693C"/>
    <w:rsid w:val="00E877CC"/>
    <w:rsid w:val="04F12C14"/>
    <w:rsid w:val="09A37133"/>
    <w:rsid w:val="0BAA76C9"/>
    <w:rsid w:val="0CFD6E04"/>
    <w:rsid w:val="0DDD1286"/>
    <w:rsid w:val="29EB5213"/>
    <w:rsid w:val="5ABA7432"/>
    <w:rsid w:val="66DD268B"/>
    <w:rsid w:val="680F1391"/>
    <w:rsid w:val="6FB86298"/>
    <w:rsid w:val="798508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widowControl/>
      <w:jc w:val="left"/>
    </w:pPr>
    <w:rPr>
      <w:rFonts w:ascii="楷体_GB2312" w:hAnsi="Arial" w:eastAsia="楷体_GB2312"/>
      <w:kern w:val="0"/>
      <w:sz w:val="28"/>
      <w:szCs w:val="20"/>
    </w:rPr>
  </w:style>
  <w:style w:type="paragraph" w:styleId="3">
    <w:name w:val="Balloon Text"/>
    <w:basedOn w:val="1"/>
    <w:link w:val="10"/>
    <w:semiHidden/>
    <w:unhideWhenUsed/>
    <w:qFormat/>
    <w:uiPriority w:val="99"/>
    <w:rPr>
      <w:sz w:val="18"/>
      <w:szCs w:val="18"/>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character" w:styleId="9">
    <w:name w:val="Strong"/>
    <w:basedOn w:val="8"/>
    <w:qFormat/>
    <w:uiPriority w:val="22"/>
    <w:rPr>
      <w:b/>
    </w:rPr>
  </w:style>
  <w:style w:type="character" w:customStyle="1" w:styleId="10">
    <w:name w:val="批注框文本 Char"/>
    <w:basedOn w:val="8"/>
    <w:link w:val="3"/>
    <w:semiHidden/>
    <w:qFormat/>
    <w:uiPriority w:val="99"/>
    <w:rPr>
      <w:kern w:val="2"/>
      <w:sz w:val="18"/>
      <w:szCs w:val="18"/>
    </w:rPr>
  </w:style>
  <w:style w:type="character" w:customStyle="1" w:styleId="11">
    <w:name w:val="页眉 Char"/>
    <w:basedOn w:val="8"/>
    <w:link w:val="5"/>
    <w:semiHidden/>
    <w:qFormat/>
    <w:uiPriority w:val="99"/>
    <w:rPr>
      <w:kern w:val="2"/>
      <w:sz w:val="18"/>
      <w:szCs w:val="18"/>
    </w:rPr>
  </w:style>
  <w:style w:type="character" w:customStyle="1" w:styleId="12">
    <w:name w:val="页脚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4631</Words>
  <Characters>4831</Characters>
  <Lines>36</Lines>
  <Paragraphs>10</Paragraphs>
  <TotalTime>0</TotalTime>
  <ScaleCrop>false</ScaleCrop>
  <LinksUpToDate>false</LinksUpToDate>
  <CharactersWithSpaces>4842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2025-04-27T09:36:00Z</dcterms:created>
  <dc:creator>刘桂霞</dc:creator>
  <cp:lastModifiedBy>可儿</cp:lastModifiedBy>
  <cp:lastPrinted>2025-06-27T07:53:00Z</cp:lastPrinted>
  <dcterms:modified xsi:type="dcterms:W3CDTF">2025-07-09T03:12:07Z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eyJoZGlkIjoiZTc1ZjU4ZGM4MmRlYjBkMGFiM2M0MTg2NzI5ZTI4NzUiLCJ1c2VySWQiOiIzMjM0MDI2NTMifQ==</vt:lpwstr>
  </property>
  <property fmtid="{D5CDD505-2E9C-101B-9397-08002B2CF9AE}" pid="3" name="KSOProductBuildVer">
    <vt:lpwstr>2052-12.1.0.21915</vt:lpwstr>
  </property>
  <property fmtid="{D5CDD505-2E9C-101B-9397-08002B2CF9AE}" pid="4" name="ICV">
    <vt:lpwstr>7897128BB8964967B32835F59F87D526_12</vt:lpwstr>
  </property>
</Properties>
</file>