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9F60B">
      <w:pPr>
        <w:ind w:left="321" w:leftChars="153" w:right="227"/>
        <w:jc w:val="center"/>
        <w:rPr>
          <w:rFonts w:eastAsia="黑体"/>
          <w:b/>
          <w:bCs/>
          <w:sz w:val="36"/>
          <w:szCs w:val="36"/>
        </w:rPr>
      </w:pPr>
      <w:bookmarkStart w:id="0" w:name="OLE_LINK7"/>
      <w:bookmarkStart w:id="1" w:name="OLE_LINK6"/>
      <w:r>
        <w:rPr>
          <w:rFonts w:hint="eastAsia" w:eastAsia="黑体"/>
          <w:b/>
          <w:bCs/>
          <w:sz w:val="36"/>
          <w:szCs w:val="36"/>
        </w:rPr>
        <w:t>中药学</w:t>
      </w:r>
      <w:r>
        <w:rPr>
          <w:rFonts w:eastAsia="黑体"/>
          <w:b/>
          <w:bCs/>
          <w:sz w:val="36"/>
          <w:szCs w:val="36"/>
        </w:rPr>
        <w:t>专业全日制专业学位硕士研究生培养方案</w:t>
      </w:r>
    </w:p>
    <w:p w14:paraId="39E0C6D5">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中医</w:t>
      </w:r>
      <w:r>
        <w:rPr>
          <w:rFonts w:eastAsia="黑体"/>
          <w:b/>
          <w:bCs/>
          <w:sz w:val="28"/>
          <w:szCs w:val="28"/>
        </w:rPr>
        <w:t>学院)</w:t>
      </w:r>
    </w:p>
    <w:p w14:paraId="3BEAC322">
      <w:pPr>
        <w:spacing w:before="156" w:beforeLines="50" w:line="360" w:lineRule="auto"/>
        <w:ind w:firstLine="562" w:firstLineChars="200"/>
        <w:rPr>
          <w:rFonts w:eastAsia="黑体"/>
          <w:b/>
          <w:sz w:val="28"/>
          <w:szCs w:val="28"/>
        </w:rPr>
      </w:pPr>
      <w:r>
        <w:rPr>
          <w:rFonts w:eastAsia="黑体"/>
          <w:b/>
          <w:sz w:val="28"/>
          <w:szCs w:val="28"/>
        </w:rPr>
        <w:t>一、专业名称、代码</w:t>
      </w:r>
    </w:p>
    <w:p w14:paraId="384CB94E">
      <w:pPr>
        <w:widowControl/>
        <w:spacing w:before="156" w:beforeLines="50" w:line="360" w:lineRule="auto"/>
        <w:ind w:firstLine="480" w:firstLineChars="200"/>
        <w:jc w:val="left"/>
        <w:rPr>
          <w:kern w:val="0"/>
          <w:sz w:val="18"/>
          <w:szCs w:val="18"/>
        </w:rPr>
      </w:pPr>
      <w:r>
        <w:rPr>
          <w:kern w:val="0"/>
          <w:sz w:val="24"/>
        </w:rPr>
        <w:t>专业名称：</w:t>
      </w:r>
      <w:r>
        <w:rPr>
          <w:rFonts w:hint="eastAsia"/>
          <w:kern w:val="0"/>
          <w:sz w:val="24"/>
        </w:rPr>
        <w:t>中药学</w:t>
      </w:r>
    </w:p>
    <w:p w14:paraId="726DC9E3">
      <w:pPr>
        <w:widowControl/>
        <w:spacing w:before="156" w:beforeLines="50" w:line="360" w:lineRule="auto"/>
        <w:ind w:firstLine="480" w:firstLineChars="200"/>
        <w:jc w:val="left"/>
        <w:rPr>
          <w:kern w:val="0"/>
          <w:sz w:val="18"/>
          <w:szCs w:val="18"/>
        </w:rPr>
      </w:pPr>
      <w:r>
        <w:rPr>
          <w:kern w:val="0"/>
          <w:sz w:val="24"/>
        </w:rPr>
        <w:t>专业代码：</w:t>
      </w:r>
      <w:r>
        <w:rPr>
          <w:rFonts w:hint="eastAsia"/>
          <w:kern w:val="0"/>
          <w:sz w:val="24"/>
        </w:rPr>
        <w:t>1056</w:t>
      </w:r>
    </w:p>
    <w:p w14:paraId="78E70086">
      <w:pPr>
        <w:spacing w:before="156" w:beforeLines="50" w:line="360" w:lineRule="auto"/>
        <w:ind w:firstLine="562" w:firstLineChars="200"/>
        <w:rPr>
          <w:rFonts w:eastAsia="黑体"/>
          <w:b/>
          <w:i/>
          <w:sz w:val="28"/>
          <w:szCs w:val="28"/>
        </w:rPr>
      </w:pPr>
      <w:r>
        <w:rPr>
          <w:rFonts w:eastAsia="黑体"/>
          <w:b/>
          <w:sz w:val="28"/>
          <w:szCs w:val="28"/>
        </w:rPr>
        <w:t>二、专业简介</w:t>
      </w:r>
    </w:p>
    <w:p w14:paraId="62E412D0">
      <w:pPr>
        <w:spacing w:before="156" w:beforeLines="50" w:line="360" w:lineRule="auto"/>
        <w:ind w:firstLine="480" w:firstLineChars="200"/>
        <w:rPr>
          <w:kern w:val="0"/>
          <w:sz w:val="24"/>
        </w:rPr>
      </w:pPr>
      <w:r>
        <w:rPr>
          <w:rFonts w:hint="eastAsia"/>
          <w:color w:val="0000FF"/>
          <w:sz w:val="24"/>
        </w:rPr>
        <w:t>中药学专业学位硕士研究生教育，旨在面向中药产业现代化、国际化发展需求，培养德智体美劳全面发展，具备扎实的中药学理论基础、系统的专业知识、突出的实践应用能力和创新能力的高层次、应用型专门人才。本专业强调产教融合、校企协同育人，着重培养学生解决中药研发、生产、质控、流通、使用及管理等环节实际问题的能力，使其能够胜任中药相关领域的技术研发、生产管理、质量监控、注册申报、临床评价、市场推广等工作</w:t>
      </w:r>
      <w:r>
        <w:rPr>
          <w:color w:val="0000FF"/>
          <w:sz w:val="24"/>
        </w:rPr>
        <w:t>。</w:t>
      </w:r>
    </w:p>
    <w:p w14:paraId="62B29E29">
      <w:pPr>
        <w:spacing w:before="156" w:beforeLines="50" w:line="360" w:lineRule="auto"/>
        <w:ind w:firstLine="480" w:firstLineChars="200"/>
        <w:rPr>
          <w:kern w:val="0"/>
          <w:sz w:val="24"/>
        </w:rPr>
      </w:pPr>
      <w:r>
        <w:rPr>
          <w:rFonts w:hint="eastAsia"/>
          <w:kern w:val="0"/>
          <w:sz w:val="24"/>
        </w:rPr>
        <w:t>学院专任教师35人，其中37% 具有高级职称（13人），中药专业专业学位硕士研究生导师16人（100% 博士研究生）。有“河北省拔尖人才”2人，河北省中药特色技术传承人1人。学院设有国家中医药管理局农村中医药知识与技能培训基地、省级科普示范基地——河北大学中医药文化科普基地。2024年新增河北省中医药管理局重点研究室1个。近五年，本学科承担科研项目96余项，其中省部级以上科研项目 25项，发表学术论文80余篇。</w:t>
      </w:r>
    </w:p>
    <w:p w14:paraId="2BEA7F9F">
      <w:pPr>
        <w:spacing w:before="156" w:beforeLines="50" w:line="360" w:lineRule="auto"/>
        <w:rPr>
          <w:color w:val="0000FF"/>
          <w:sz w:val="24"/>
        </w:rPr>
      </w:pPr>
      <w:r>
        <w:rPr>
          <w:rFonts w:hint="eastAsia"/>
          <w:color w:val="0000FF"/>
          <w:sz w:val="24"/>
        </w:rPr>
        <w:t xml:space="preserve">    专业</w:t>
      </w:r>
      <w:r>
        <w:rPr>
          <w:color w:val="0000FF"/>
          <w:sz w:val="24"/>
        </w:rPr>
        <w:t>特色</w:t>
      </w:r>
      <w:r>
        <w:rPr>
          <w:rFonts w:hint="eastAsia"/>
          <w:color w:val="0000FF"/>
          <w:sz w:val="24"/>
        </w:rPr>
        <w:t>：</w:t>
      </w:r>
      <w:r>
        <w:rPr>
          <w:color w:val="0000FF"/>
          <w:sz w:val="24"/>
        </w:rPr>
        <w:t>第一是</w:t>
      </w:r>
      <w:r>
        <w:rPr>
          <w:rFonts w:hint="eastAsia"/>
          <w:color w:val="0000FF"/>
          <w:sz w:val="24"/>
        </w:rPr>
        <w:t>产教融合，协同育人：以燕赵</w:t>
      </w:r>
      <w:r>
        <w:rPr>
          <w:color w:val="0000FF"/>
          <w:sz w:val="24"/>
        </w:rPr>
        <w:t>中医</w:t>
      </w:r>
      <w:r>
        <w:rPr>
          <w:rFonts w:hint="eastAsia"/>
          <w:color w:val="0000FF"/>
          <w:sz w:val="24"/>
        </w:rPr>
        <w:t>药</w:t>
      </w:r>
      <w:r>
        <w:rPr>
          <w:color w:val="0000FF"/>
          <w:sz w:val="24"/>
        </w:rPr>
        <w:t>学为底蕴，</w:t>
      </w:r>
      <w:r>
        <w:rPr>
          <w:rFonts w:hint="eastAsia"/>
          <w:color w:val="0000FF"/>
          <w:sz w:val="24"/>
        </w:rPr>
        <w:t>深度推进中药</w:t>
      </w:r>
      <w:r>
        <w:rPr>
          <w:color w:val="0000FF"/>
          <w:sz w:val="24"/>
        </w:rPr>
        <w:t>产业链</w:t>
      </w:r>
      <w:r>
        <w:rPr>
          <w:rFonts w:hint="eastAsia"/>
          <w:color w:val="0000FF"/>
          <w:sz w:val="24"/>
        </w:rPr>
        <w:t>整合</w:t>
      </w:r>
      <w:r>
        <w:rPr>
          <w:color w:val="0000FF"/>
          <w:sz w:val="24"/>
        </w:rPr>
        <w:t>和</w:t>
      </w:r>
      <w:r>
        <w:rPr>
          <w:rFonts w:hint="eastAsia"/>
          <w:color w:val="0000FF"/>
          <w:sz w:val="24"/>
        </w:rPr>
        <w:t>协调</w:t>
      </w:r>
      <w:r>
        <w:rPr>
          <w:color w:val="0000FF"/>
          <w:sz w:val="24"/>
        </w:rPr>
        <w:t>发展</w:t>
      </w:r>
      <w:r>
        <w:rPr>
          <w:rFonts w:hint="eastAsia"/>
          <w:color w:val="0000FF"/>
          <w:kern w:val="0"/>
          <w:sz w:val="24"/>
        </w:rPr>
        <w:t>以安国数字中药都、河北省以岭药业、河北省药品检验研究院为实践基地，建立“两阶段、双导师”培养模式，聘请在中药生产、研发、注册等环节拥有丰富实践经验的专家参与教学，</w:t>
      </w:r>
      <w:r>
        <w:rPr>
          <w:rFonts w:hint="eastAsia"/>
          <w:color w:val="0000FF"/>
          <w:sz w:val="24"/>
        </w:rPr>
        <w:t>共同指导学生的理论学习和专业实践。第二</w:t>
      </w:r>
      <w:r>
        <w:rPr>
          <w:color w:val="0000FF"/>
          <w:sz w:val="24"/>
        </w:rPr>
        <w:t>，</w:t>
      </w:r>
      <w:r>
        <w:rPr>
          <w:rFonts w:hint="eastAsia"/>
          <w:color w:val="0000FF"/>
          <w:sz w:val="24"/>
        </w:rPr>
        <w:t>对接前沿，鼓励创新：关注中药学领域的最新科技进展和产业发展动态，引导学生掌握现代技术手段，如生物技术、信息技术、人工智能等在中药研究中的应用，培养创新思维和解决新问题的能力。</w:t>
      </w:r>
    </w:p>
    <w:p w14:paraId="5567CC6B">
      <w:pPr>
        <w:spacing w:before="156" w:beforeLines="50" w:line="360" w:lineRule="auto"/>
        <w:ind w:firstLine="562" w:firstLineChars="200"/>
        <w:rPr>
          <w:rFonts w:eastAsia="黑体"/>
          <w:b/>
          <w:sz w:val="28"/>
          <w:szCs w:val="28"/>
        </w:rPr>
      </w:pPr>
      <w:r>
        <w:rPr>
          <w:rFonts w:eastAsia="黑体"/>
          <w:b/>
          <w:sz w:val="28"/>
          <w:szCs w:val="28"/>
        </w:rPr>
        <w:t>三、研究方向</w:t>
      </w:r>
    </w:p>
    <w:p w14:paraId="33C0C479">
      <w:pPr>
        <w:spacing w:before="156" w:beforeLines="50" w:line="360" w:lineRule="auto"/>
        <w:ind w:firstLine="480" w:firstLineChars="200"/>
        <w:rPr>
          <w:kern w:val="0"/>
          <w:sz w:val="24"/>
        </w:rPr>
      </w:pPr>
      <w:r>
        <w:rPr>
          <w:rFonts w:hint="eastAsia"/>
          <w:kern w:val="0"/>
          <w:sz w:val="24"/>
        </w:rPr>
        <w:t>（一）中药制药工程与技术</w:t>
      </w:r>
    </w:p>
    <w:p w14:paraId="74D57398">
      <w:pPr>
        <w:spacing w:before="156" w:beforeLines="50" w:line="360" w:lineRule="auto"/>
        <w:ind w:firstLine="480" w:firstLineChars="200"/>
        <w:rPr>
          <w:kern w:val="0"/>
          <w:sz w:val="24"/>
        </w:rPr>
      </w:pPr>
      <w:r>
        <w:rPr>
          <w:rFonts w:hint="eastAsia"/>
          <w:kern w:val="0"/>
          <w:sz w:val="24"/>
        </w:rPr>
        <w:t>掌握中药前处理,包括炮制、提取、精制、制剂成型及质量检验、新药研发、GMP管理等岗位实践。掌握中药常见固体、液体剂型及中药饮片生产基本理论、生产流程与各岗位标准操作规范（SOP），协助进行SOP以及生产工艺的制定与修订工作。质量检验、新药及保健食品研发、GMP管理等专业实践采取现场实践和专题讲座方式进行。应达到独立完成现场采样、检验、质量标准的制定与修订工作，或能够组织立项并开展中药新药临床前研究、中药保健食品实验研究等相关工作，或具备实施GMP管理及开展技术改造工作的能力。</w:t>
      </w:r>
    </w:p>
    <w:p w14:paraId="3BC0977D">
      <w:pPr>
        <w:spacing w:before="156" w:beforeLines="50" w:line="360" w:lineRule="auto"/>
        <w:ind w:firstLine="480" w:firstLineChars="200"/>
        <w:rPr>
          <w:kern w:val="0"/>
          <w:sz w:val="24"/>
        </w:rPr>
      </w:pPr>
      <w:r>
        <w:rPr>
          <w:rFonts w:hint="eastAsia"/>
          <w:kern w:val="0"/>
          <w:sz w:val="24"/>
        </w:rPr>
        <w:t>（二）中药检验与质量控制</w:t>
      </w:r>
    </w:p>
    <w:p w14:paraId="66806741">
      <w:pPr>
        <w:spacing w:before="156" w:beforeLines="50" w:line="360" w:lineRule="auto"/>
        <w:ind w:firstLine="480" w:firstLineChars="200"/>
        <w:rPr>
          <w:kern w:val="0"/>
          <w:sz w:val="24"/>
        </w:rPr>
      </w:pPr>
      <w:r>
        <w:rPr>
          <w:rFonts w:hint="eastAsia"/>
          <w:kern w:val="0"/>
          <w:sz w:val="24"/>
        </w:rPr>
        <w:t>应熟练掌握UV、TLC、HPLC、GC、LC-MS、GC-MS、ICP-MS等现代分析仪器的原理、标准操作规程、日常维护及简单故障的排除方法；熟练应用常用的数理统计知识处理实验数据。</w:t>
      </w:r>
    </w:p>
    <w:p w14:paraId="67062870">
      <w:pPr>
        <w:spacing w:before="156" w:beforeLines="50" w:line="360" w:lineRule="auto"/>
        <w:ind w:firstLine="480" w:firstLineChars="200"/>
        <w:rPr>
          <w:kern w:val="0"/>
          <w:sz w:val="24"/>
        </w:rPr>
      </w:pPr>
      <w:r>
        <w:rPr>
          <w:rFonts w:hint="eastAsia"/>
          <w:kern w:val="0"/>
          <w:sz w:val="24"/>
        </w:rPr>
        <w:t xml:space="preserve">中药质量评价：应熟悉实验室操作规范（包括基本操作、基本概念），熟练常规检查的检验操作（包括药典制剂通则的检查和附录检查法），掌握中药制剂的定性鉴别、检查和含量测定方法，对中药制剂进行全面质量评价和质量控制，掌握中药质量标准制定的基本原则和质量标准的方法学验证等内容。 </w:t>
      </w:r>
    </w:p>
    <w:p w14:paraId="724A4C3E">
      <w:pPr>
        <w:spacing w:before="156" w:beforeLines="50" w:line="360" w:lineRule="auto"/>
        <w:ind w:firstLine="480" w:firstLineChars="200"/>
        <w:rPr>
          <w:kern w:val="0"/>
          <w:sz w:val="24"/>
        </w:rPr>
      </w:pPr>
      <w:r>
        <w:rPr>
          <w:rFonts w:hint="eastAsia"/>
          <w:kern w:val="0"/>
          <w:sz w:val="24"/>
        </w:rPr>
        <w:t>（三）中药药效评价与临床应用</w:t>
      </w:r>
    </w:p>
    <w:p w14:paraId="275BD485">
      <w:pPr>
        <w:spacing w:before="156" w:beforeLines="50" w:line="360" w:lineRule="auto"/>
        <w:ind w:firstLine="480" w:firstLineChars="200"/>
        <w:rPr>
          <w:kern w:val="0"/>
          <w:sz w:val="24"/>
        </w:rPr>
      </w:pPr>
      <w:r>
        <w:rPr>
          <w:rFonts w:hint="eastAsia"/>
          <w:kern w:val="0"/>
          <w:sz w:val="24"/>
        </w:rPr>
        <w:t>中药药效评价：掌握中药药效评价的常用方法，掌握和熟悉中药药效作用机理的常用研究方法，包括整体动物实验、组织器官、细胞和分子生物学4 个药理水平上的药效研究。掌握常用的实验动物基本实验方法和技能，掌握常用的实验动物模型建立和检测指标的选择；熟悉中药新药研究过程中药效、毒理等临床前研究基本思路和方法。</w:t>
      </w:r>
    </w:p>
    <w:p w14:paraId="08F4BEAC">
      <w:pPr>
        <w:spacing w:before="156" w:beforeLines="50" w:line="360" w:lineRule="auto"/>
        <w:ind w:firstLine="480" w:firstLineChars="200"/>
        <w:rPr>
          <w:kern w:val="0"/>
          <w:sz w:val="24"/>
        </w:rPr>
      </w:pPr>
      <w:r>
        <w:rPr>
          <w:rFonts w:hint="eastAsia"/>
          <w:kern w:val="0"/>
          <w:sz w:val="24"/>
        </w:rPr>
        <w:t>中药临床应用：应掌握中药药性理论, 掌握约200种中药的性能、功效、主治、临床应用、使用注意、用法, 用药禁忌；掌握约150种中药的药理作用、不良反应等；掌握中药临床应用的基本原则,联合用药原则; 掌握中药不良反应的监测与中药应用合理性的监测方法；熟悉常用中药的作用机理；熟悉中药临床应用的管理,包括含毒性中药材临床应用的管理;要求能够协助医生临床查房，进行病例讨论，对患者进行中药使用的指导与评价，收集、分析、评价中药不良反应与药品不良事件。</w:t>
      </w:r>
    </w:p>
    <w:p w14:paraId="3043837C">
      <w:pPr>
        <w:spacing w:before="156" w:beforeLines="50" w:line="360" w:lineRule="auto"/>
        <w:ind w:firstLine="480" w:firstLineChars="200"/>
        <w:rPr>
          <w:kern w:val="0"/>
          <w:sz w:val="24"/>
        </w:rPr>
      </w:pPr>
      <w:r>
        <w:rPr>
          <w:rFonts w:hint="eastAsia"/>
          <w:kern w:val="0"/>
          <w:sz w:val="24"/>
        </w:rPr>
        <w:t>（四）中药化学成分的研究与应用</w:t>
      </w:r>
    </w:p>
    <w:p w14:paraId="4B179D3D">
      <w:pPr>
        <w:spacing w:before="156" w:beforeLines="50" w:line="360" w:lineRule="auto"/>
        <w:ind w:firstLine="480" w:firstLineChars="200"/>
        <w:rPr>
          <w:kern w:val="0"/>
          <w:sz w:val="24"/>
        </w:rPr>
      </w:pPr>
      <w:r>
        <w:rPr>
          <w:rFonts w:hint="eastAsia"/>
          <w:kern w:val="0"/>
          <w:sz w:val="24"/>
        </w:rPr>
        <w:t>熟悉中药提取与分离纯化新技术，掌握各类化学成分的结构特征、理化性质，熟悉已知化合物的结构鉴定方法（IR，UV，MS，NMR）。能够深入研究中药化学成分的药理作用及分子机制，为新药的研发提供理论支持。同时结合品种开发和中药提取分离技术，促进中药新药创制和中药复方的二次开发。深入挖掘中药的有效成分及其作用机制，提升中药的质量控制水平，扩大其在临床治疗中的应用范围，并推动中药产业的创新发展。</w:t>
      </w:r>
    </w:p>
    <w:p w14:paraId="15C413E3">
      <w:pPr>
        <w:spacing w:before="156" w:beforeLines="50" w:line="360" w:lineRule="auto"/>
        <w:ind w:firstLine="480" w:firstLineChars="200"/>
        <w:rPr>
          <w:kern w:val="0"/>
          <w:sz w:val="24"/>
        </w:rPr>
      </w:pPr>
      <w:r>
        <w:rPr>
          <w:rFonts w:hint="eastAsia"/>
          <w:kern w:val="0"/>
          <w:sz w:val="24"/>
        </w:rPr>
        <w:t xml:space="preserve">  （五）中药资源开发与品质评价</w:t>
      </w:r>
    </w:p>
    <w:p w14:paraId="1E3BA4F0">
      <w:pPr>
        <w:spacing w:before="156" w:beforeLines="50" w:line="360" w:lineRule="auto"/>
        <w:ind w:firstLine="480" w:firstLineChars="200"/>
        <w:rPr>
          <w:kern w:val="0"/>
          <w:sz w:val="24"/>
        </w:rPr>
      </w:pPr>
      <w:r>
        <w:rPr>
          <w:rFonts w:hint="eastAsia"/>
          <w:kern w:val="0"/>
          <w:sz w:val="24"/>
        </w:rPr>
        <w:t>药材生产及质量评价：掌握药用植物的种质保存、快速繁殖、引种驯化、栽培的知识与技能；尤其是掌握常规及珍稀中草药栽培、常规与基因工程育种以及细胞培养、组织培养等现代中药生产技术与现代生物技术及其品质评价研究；</w:t>
      </w:r>
    </w:p>
    <w:p w14:paraId="71334AE0">
      <w:pPr>
        <w:spacing w:before="156" w:beforeLines="50" w:line="360" w:lineRule="auto"/>
        <w:ind w:firstLine="480" w:firstLineChars="200"/>
        <w:rPr>
          <w:kern w:val="0"/>
          <w:sz w:val="24"/>
        </w:rPr>
      </w:pPr>
      <w:r>
        <w:rPr>
          <w:rFonts w:hint="eastAsia"/>
          <w:kern w:val="0"/>
          <w:sz w:val="24"/>
        </w:rPr>
        <w:t>中药资源质量评价及合理开发利用：掌握中药资源质量评价的基本理论和基本方法，掌握中药活性成分的提取、分离、检测的方法，以及利用DNA指纹图谱、蛋白质图谱、红外光谱等技术对中药材进行真伪、品质等评价方法。熟悉中药资源的合理开发、利用及保护实施的基本思路和策略。</w:t>
      </w:r>
    </w:p>
    <w:p w14:paraId="57CC5C59">
      <w:pPr>
        <w:spacing w:before="156" w:beforeLines="50" w:line="360" w:lineRule="auto"/>
        <w:ind w:firstLine="480" w:firstLineChars="200"/>
        <w:rPr>
          <w:kern w:val="0"/>
          <w:sz w:val="24"/>
        </w:rPr>
      </w:pPr>
      <w:r>
        <w:rPr>
          <w:rFonts w:hint="eastAsia"/>
          <w:kern w:val="0"/>
          <w:sz w:val="24"/>
        </w:rPr>
        <w:t>（六）中药炮制原理与饮片质量标准</w:t>
      </w:r>
    </w:p>
    <w:p w14:paraId="4EF0619D">
      <w:pPr>
        <w:spacing w:before="156" w:beforeLines="50" w:line="360" w:lineRule="auto"/>
        <w:ind w:firstLine="480" w:firstLineChars="200"/>
        <w:rPr>
          <w:kern w:val="0"/>
          <w:sz w:val="24"/>
        </w:rPr>
      </w:pPr>
      <w:r>
        <w:rPr>
          <w:rFonts w:hint="eastAsia"/>
          <w:kern w:val="0"/>
          <w:sz w:val="24"/>
        </w:rPr>
        <w:t>遵循中医药理论体系，在继承中药传统炮制理论和技术的基础上，应用现代科学技术开展研究，通过炮制对中药药性影响研究，明确其药效物质基础及作用机理，将基础研究与应用研究相结合，明确中药在不同炮制方法下的化学成分变化、药理作用以及临床疗效之间的关系。毒性</w:t>
      </w:r>
      <w:r>
        <w:rPr>
          <w:kern w:val="0"/>
          <w:sz w:val="24"/>
        </w:rPr>
        <w:t>中药</w:t>
      </w:r>
      <w:r>
        <w:rPr>
          <w:rFonts w:hint="eastAsia"/>
          <w:kern w:val="0"/>
          <w:sz w:val="24"/>
        </w:rPr>
        <w:t>通过炮制可以降低或消除药物的毒性或副作用，改变或缓和药物的性能，增强药物疗效，以及改变或增强药物作用的部位和趋向。在完善</w:t>
      </w:r>
      <w:r>
        <w:rPr>
          <w:kern w:val="0"/>
          <w:sz w:val="24"/>
        </w:rPr>
        <w:t>炮制工艺的基础之上，</w:t>
      </w:r>
      <w:r>
        <w:rPr>
          <w:rFonts w:hint="eastAsia"/>
          <w:kern w:val="0"/>
          <w:sz w:val="24"/>
        </w:rPr>
        <w:t>制定和完善中药饮片的质量控制标准。使药材的来源、产地、采集、加工炮制、储存、保管等各个环节的质量控制都能</w:t>
      </w:r>
      <w:r>
        <w:rPr>
          <w:kern w:val="0"/>
          <w:sz w:val="24"/>
        </w:rPr>
        <w:t>达到</w:t>
      </w:r>
      <w:r>
        <w:rPr>
          <w:rFonts w:hint="eastAsia"/>
          <w:kern w:val="0"/>
          <w:sz w:val="24"/>
        </w:rPr>
        <w:t>临床应用的要求。研究和制定出更加科学和数量化的质量标准。尤其是</w:t>
      </w:r>
      <w:r>
        <w:rPr>
          <w:kern w:val="0"/>
          <w:sz w:val="24"/>
        </w:rPr>
        <w:t>在</w:t>
      </w:r>
      <w:r>
        <w:rPr>
          <w:rFonts w:hint="eastAsia"/>
          <w:kern w:val="0"/>
          <w:sz w:val="24"/>
        </w:rPr>
        <w:t>发酵类中药、中药大分子方面如多糖类的炮制原理研究，在规范炮制工艺，优化质量标准，提高中药饮片质量的</w:t>
      </w:r>
      <w:r>
        <w:rPr>
          <w:kern w:val="0"/>
          <w:sz w:val="24"/>
        </w:rPr>
        <w:t>基础上</w:t>
      </w:r>
      <w:r>
        <w:rPr>
          <w:rFonts w:hint="eastAsia"/>
          <w:kern w:val="0"/>
          <w:sz w:val="24"/>
        </w:rPr>
        <w:t>，充分体现中药传统与现代药学相结合的特色。</w:t>
      </w:r>
    </w:p>
    <w:p w14:paraId="2FE997C2">
      <w:pPr>
        <w:spacing w:before="156" w:beforeLines="50" w:line="360" w:lineRule="auto"/>
        <w:ind w:firstLine="420" w:firstLineChars="200"/>
        <w:rPr>
          <w:rStyle w:val="15"/>
        </w:rPr>
      </w:pPr>
    </w:p>
    <w:p w14:paraId="25A31762">
      <w:pPr>
        <w:spacing w:before="156" w:beforeLines="50" w:line="360" w:lineRule="auto"/>
        <w:ind w:firstLine="562" w:firstLineChars="200"/>
        <w:rPr>
          <w:rFonts w:eastAsia="黑体"/>
          <w:b/>
          <w:sz w:val="28"/>
          <w:szCs w:val="28"/>
        </w:rPr>
      </w:pPr>
      <w:r>
        <w:rPr>
          <w:rFonts w:eastAsia="黑体"/>
          <w:b/>
          <w:sz w:val="28"/>
          <w:szCs w:val="28"/>
        </w:rPr>
        <w:t>四、学制及学习年限</w:t>
      </w:r>
    </w:p>
    <w:p w14:paraId="7CC4C14C">
      <w:pPr>
        <w:spacing w:before="156" w:beforeLines="50" w:line="360" w:lineRule="auto"/>
        <w:ind w:firstLine="480" w:firstLineChars="200"/>
        <w:rPr>
          <w:rFonts w:eastAsiaTheme="minorEastAsia"/>
          <w:i/>
          <w:sz w:val="24"/>
        </w:rPr>
      </w:pPr>
      <w:r>
        <w:rPr>
          <w:rFonts w:eastAsiaTheme="minorEastAsia"/>
          <w:sz w:val="24"/>
        </w:rPr>
        <w:t>本专业学制为3年，在校最长学习年限（含休学）不超过6年。</w:t>
      </w:r>
    </w:p>
    <w:p w14:paraId="23387161">
      <w:pPr>
        <w:spacing w:before="156" w:beforeLines="50" w:line="360" w:lineRule="auto"/>
        <w:ind w:firstLine="562" w:firstLineChars="200"/>
        <w:rPr>
          <w:rFonts w:eastAsia="黑体"/>
          <w:b/>
          <w:sz w:val="28"/>
          <w:szCs w:val="28"/>
        </w:rPr>
      </w:pPr>
      <w:r>
        <w:rPr>
          <w:rFonts w:eastAsia="黑体"/>
          <w:b/>
          <w:sz w:val="28"/>
          <w:szCs w:val="28"/>
        </w:rPr>
        <w:t>五、培养目标</w:t>
      </w:r>
    </w:p>
    <w:p w14:paraId="47FAF1B4">
      <w:pPr>
        <w:spacing w:before="156" w:beforeLines="50" w:line="360" w:lineRule="auto"/>
        <w:ind w:firstLine="480" w:firstLineChars="200"/>
        <w:rPr>
          <w:rFonts w:eastAsiaTheme="minorEastAsia"/>
          <w:bCs/>
          <w:sz w:val="24"/>
        </w:rPr>
      </w:pPr>
      <w:r>
        <w:rPr>
          <w:rFonts w:hint="eastAsia" w:eastAsiaTheme="minorEastAsia"/>
          <w:bCs/>
          <w:sz w:val="24"/>
        </w:rPr>
        <w:t>中药学硕士专业学位研究生的培养工作遵循中医药高等教育规律和中药人才成长规律，贯彻“面向现代化、面向世界、面向未来”的指导思想，坚持德、智、体全面发展，注重内涵发展，培养创新型人才。旨在培养胜任中药规范化生产、质量评价与控制、新药研发、流通管理、临床及社会服务等工作要求的应用型中药学专门人才。具体要求如下：</w:t>
      </w:r>
    </w:p>
    <w:p w14:paraId="62C3A877">
      <w:pPr>
        <w:spacing w:before="156" w:beforeLines="50" w:line="360" w:lineRule="auto"/>
        <w:ind w:firstLine="480" w:firstLineChars="200"/>
        <w:rPr>
          <w:rFonts w:eastAsiaTheme="minorEastAsia"/>
          <w:bCs/>
          <w:sz w:val="24"/>
        </w:rPr>
      </w:pPr>
      <w:r>
        <w:rPr>
          <w:rFonts w:hint="eastAsia" w:eastAsiaTheme="minorEastAsia"/>
          <w:bCs/>
          <w:sz w:val="24"/>
        </w:rPr>
        <w:t>1. 树立正确的中国特色社会主义核心价值观，具有坚定的理想信念，高尚的道德情操，优良的学术作风，高度的社会责任感，积极为社会主义现代化建设和发展中医药事业服务。</w:t>
      </w:r>
    </w:p>
    <w:p w14:paraId="76ABA1EF">
      <w:pPr>
        <w:spacing w:before="156" w:beforeLines="50" w:line="360" w:lineRule="auto"/>
        <w:ind w:firstLine="480" w:firstLineChars="200"/>
        <w:rPr>
          <w:rFonts w:eastAsiaTheme="minorEastAsia"/>
          <w:bCs/>
          <w:sz w:val="24"/>
        </w:rPr>
      </w:pPr>
      <w:r>
        <w:rPr>
          <w:rFonts w:hint="eastAsia" w:eastAsiaTheme="minorEastAsia"/>
          <w:bCs/>
          <w:sz w:val="24"/>
        </w:rPr>
        <w:t>2. 具有扎实的中医药基本理论知识和本学科专业知识及技能，熟悉本学科国内外学术发展动态，掌握与中药学研究相关的技术与研究方法，胜任中药规范化生产、质量评价与控制、新药研发、流通管理、临床及社会服务等工作。</w:t>
      </w:r>
    </w:p>
    <w:p w14:paraId="31703F31">
      <w:pPr>
        <w:spacing w:before="156" w:beforeLines="50" w:line="360" w:lineRule="auto"/>
        <w:ind w:firstLine="480" w:firstLineChars="200"/>
        <w:rPr>
          <w:rFonts w:eastAsiaTheme="minorEastAsia"/>
          <w:bCs/>
          <w:sz w:val="24"/>
        </w:rPr>
      </w:pPr>
      <w:r>
        <w:rPr>
          <w:rFonts w:hint="eastAsia" w:eastAsiaTheme="minorEastAsia"/>
          <w:bCs/>
          <w:sz w:val="24"/>
        </w:rPr>
        <w:t>3. 掌握一门外国语，能熟练地查阅本专业的外文文献，具有撰写学术论文和进行国际学术交流的能力。</w:t>
      </w:r>
    </w:p>
    <w:p w14:paraId="46703BC0">
      <w:pPr>
        <w:spacing w:before="156" w:beforeLines="50" w:line="360" w:lineRule="auto"/>
        <w:ind w:firstLine="480" w:firstLineChars="200"/>
        <w:rPr>
          <w:rFonts w:eastAsiaTheme="minorEastAsia"/>
          <w:bCs/>
          <w:sz w:val="24"/>
        </w:rPr>
      </w:pPr>
      <w:r>
        <w:rPr>
          <w:rFonts w:hint="eastAsia" w:eastAsiaTheme="minorEastAsia"/>
          <w:bCs/>
          <w:sz w:val="24"/>
        </w:rPr>
        <w:t>4. 具有良好的团队意识与团队合作精神。</w:t>
      </w:r>
    </w:p>
    <w:p w14:paraId="5B597FCE">
      <w:pPr>
        <w:spacing w:before="156" w:beforeLines="50" w:line="360" w:lineRule="auto"/>
        <w:ind w:firstLine="480" w:firstLineChars="200"/>
        <w:rPr>
          <w:rFonts w:eastAsiaTheme="minorEastAsia"/>
          <w:bCs/>
          <w:sz w:val="24"/>
        </w:rPr>
      </w:pPr>
      <w:r>
        <w:rPr>
          <w:rFonts w:hint="eastAsia" w:eastAsiaTheme="minorEastAsia"/>
          <w:bCs/>
          <w:sz w:val="24"/>
        </w:rPr>
        <w:t>5. 具有健康的体魄和良好的心理素质。</w:t>
      </w:r>
    </w:p>
    <w:p w14:paraId="439ACBEC">
      <w:pPr>
        <w:spacing w:before="156" w:beforeLines="50" w:line="360" w:lineRule="auto"/>
        <w:ind w:firstLine="480" w:firstLineChars="200"/>
        <w:rPr>
          <w:rFonts w:eastAsiaTheme="minorEastAsia"/>
          <w:bCs/>
          <w:sz w:val="24"/>
        </w:rPr>
      </w:pPr>
      <w:r>
        <w:rPr>
          <w:rFonts w:hint="eastAsia" w:eastAsiaTheme="minorEastAsia"/>
          <w:bCs/>
          <w:sz w:val="24"/>
        </w:rPr>
        <w:t>6. 培养德智体美劳全面发展的社会主义事业接班人。</w:t>
      </w:r>
    </w:p>
    <w:p w14:paraId="69E209E1">
      <w:pPr>
        <w:spacing w:before="156" w:beforeLines="50" w:line="360" w:lineRule="auto"/>
        <w:ind w:firstLine="560" w:firstLineChars="200"/>
        <w:rPr>
          <w:rFonts w:eastAsia="黑体"/>
          <w:bCs/>
          <w:sz w:val="28"/>
          <w:szCs w:val="28"/>
        </w:rPr>
      </w:pPr>
      <w:r>
        <w:rPr>
          <w:rFonts w:eastAsia="黑体"/>
          <w:bCs/>
          <w:sz w:val="28"/>
          <w:szCs w:val="28"/>
        </w:rPr>
        <w:t>六、培养方式</w:t>
      </w:r>
    </w:p>
    <w:p w14:paraId="0CBCCE19">
      <w:pPr>
        <w:spacing w:before="156" w:beforeLines="50" w:line="360" w:lineRule="auto"/>
        <w:ind w:firstLine="480" w:firstLineChars="200"/>
        <w:rPr>
          <w:rFonts w:eastAsiaTheme="minorEastAsia"/>
          <w:bCs/>
          <w:sz w:val="24"/>
        </w:rPr>
      </w:pPr>
      <w:r>
        <w:rPr>
          <w:rFonts w:hint="eastAsia" w:eastAsiaTheme="minorEastAsia"/>
          <w:bCs/>
          <w:sz w:val="24"/>
        </w:rPr>
        <w:t>中药学专业学位研究生的培养方式，坚持理论与实践结合、从实践中学习的原则，注重科学技术向生产力转化的衔接，实现社会优质资源的最佳配置。采用“校-企”、“校-医”、“校-所”等学校与企事业部门双导师制模式培养。</w:t>
      </w:r>
    </w:p>
    <w:p w14:paraId="077D3CDE">
      <w:pPr>
        <w:spacing w:before="156" w:beforeLines="50" w:line="360" w:lineRule="auto"/>
        <w:ind w:firstLine="480" w:firstLineChars="200"/>
        <w:rPr>
          <w:rFonts w:eastAsiaTheme="minorEastAsia"/>
          <w:bCs/>
          <w:sz w:val="24"/>
        </w:rPr>
      </w:pPr>
      <w:r>
        <w:rPr>
          <w:rFonts w:hint="eastAsia" w:eastAsiaTheme="minorEastAsia"/>
          <w:bCs/>
          <w:sz w:val="24"/>
        </w:rPr>
        <w:t>教学采用课程理论讲授、实际案例研讨和专业技术研究实践等多种形式进行，聘请在中药研发、注册、生产、流通、临床应用、市场监管等企事业单位或部门有丰富实践经验的专家参与教学和指导，教学方式注重教师讲授与学生研讨、模拟实际应用、应用案例教学等的有机结合，着重在实际应用能力和技术的训练与培养。</w:t>
      </w:r>
    </w:p>
    <w:p w14:paraId="7F2BC0A2">
      <w:pPr>
        <w:spacing w:before="156" w:beforeLines="50" w:line="360" w:lineRule="auto"/>
        <w:ind w:firstLine="480" w:firstLineChars="200"/>
        <w:rPr>
          <w:rFonts w:eastAsiaTheme="minorEastAsia"/>
          <w:bCs/>
          <w:sz w:val="24"/>
        </w:rPr>
      </w:pPr>
      <w:r>
        <w:rPr>
          <w:rFonts w:hint="eastAsia" w:eastAsiaTheme="minorEastAsia"/>
          <w:bCs/>
          <w:sz w:val="24"/>
        </w:rPr>
        <w:t>课程教育在学校完成，实践研究等其他培养环节在企业、医院、院所等单位实施。中药学专业学位研究生的硕士学位论文选题要求注重实用性、创新性及与生产、技术和临床应用等的实际工作相结合。学生结合所在单位的性质与需要选择相应的研究方向。</w:t>
      </w:r>
    </w:p>
    <w:p w14:paraId="2369071F">
      <w:pPr>
        <w:spacing w:before="156" w:beforeLines="50"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0F430529">
      <w:pPr>
        <w:spacing w:before="156" w:beforeLines="50"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1929A1A8">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D2B6080">
      <w:pPr>
        <w:widowControl/>
        <w:spacing w:before="156" w:beforeLines="50" w:line="360" w:lineRule="auto"/>
        <w:ind w:firstLine="480" w:firstLineChars="200"/>
        <w:jc w:val="left"/>
        <w:rPr>
          <w:kern w:val="0"/>
          <w:sz w:val="24"/>
        </w:rPr>
      </w:pPr>
      <w:r>
        <w:rPr>
          <w:bCs/>
          <w:kern w:val="0"/>
          <w:sz w:val="24"/>
        </w:rPr>
        <w:t>1.总体要求：</w:t>
      </w:r>
      <w:r>
        <w:rPr>
          <w:kern w:val="0"/>
          <w:sz w:val="24"/>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kern w:val="0"/>
          <w:sz w:val="24"/>
        </w:rPr>
        <w:t>）规定，硕士研究生论文开题与答辩时间间隔原则上不少于12个月。学位（毕业）论文应当表明作者具有独立从事学术研究工作的能力，鼓励硕士研究生参与科学研究，取得创新性成果</w:t>
      </w:r>
    </w:p>
    <w:p w14:paraId="342210BA">
      <w:pPr>
        <w:widowControl/>
        <w:spacing w:before="156" w:beforeLines="50" w:line="360" w:lineRule="auto"/>
        <w:ind w:firstLine="480" w:firstLineChars="200"/>
        <w:jc w:val="left"/>
        <w:rPr>
          <w:kern w:val="0"/>
          <w:sz w:val="24"/>
        </w:rPr>
      </w:pPr>
      <w:r>
        <w:rPr>
          <w:bCs/>
          <w:kern w:val="0"/>
          <w:sz w:val="24"/>
        </w:rPr>
        <w:t>2.开题：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9E87DB9">
      <w:pPr>
        <w:widowControl/>
        <w:spacing w:before="156" w:beforeLines="50" w:line="360" w:lineRule="auto"/>
        <w:ind w:firstLine="480" w:firstLineChars="200"/>
        <w:jc w:val="left"/>
        <w:rPr>
          <w:kern w:val="0"/>
          <w:sz w:val="24"/>
        </w:rPr>
      </w:pPr>
      <w:r>
        <w:rPr>
          <w:rFonts w:hint="eastAsia"/>
          <w:color w:val="EE0000"/>
          <w:kern w:val="0"/>
          <w:sz w:val="24"/>
        </w:rPr>
        <w:t>第3学期或最晚第4学期3月31日前完成论文开题</w:t>
      </w:r>
      <w:r>
        <w:rPr>
          <w:kern w:val="0"/>
          <w:sz w:val="24"/>
        </w:rPr>
        <w:t>。开题由3-5名具有高级专业技术职务人员参加，以学术报告的方式进行。</w:t>
      </w:r>
    </w:p>
    <w:p w14:paraId="072BE6FF">
      <w:pPr>
        <w:widowControl/>
        <w:spacing w:before="156" w:beforeLines="50" w:line="360" w:lineRule="auto"/>
        <w:ind w:firstLine="480" w:firstLineChars="200"/>
        <w:jc w:val="left"/>
        <w:rPr>
          <w:kern w:val="0"/>
          <w:sz w:val="24"/>
        </w:rPr>
      </w:pPr>
      <w:r>
        <w:rPr>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A496E5F">
      <w:pPr>
        <w:widowControl/>
        <w:spacing w:before="156" w:beforeLines="50" w:line="360" w:lineRule="auto"/>
        <w:ind w:firstLine="480" w:firstLineChars="200"/>
        <w:jc w:val="left"/>
        <w:rPr>
          <w:kern w:val="0"/>
          <w:sz w:val="24"/>
        </w:rPr>
      </w:pPr>
      <w:r>
        <w:rPr>
          <w:kern w:val="0"/>
          <w:sz w:val="24"/>
        </w:rPr>
        <w:t>4.学位申请：达到学位授予条件的申请人，经导师同意后，应于答辩前三个月，向所属学位评定分委员会提出学位申请，提交学位申请材料。</w:t>
      </w:r>
    </w:p>
    <w:p w14:paraId="2E1C1305">
      <w:pPr>
        <w:widowControl/>
        <w:spacing w:before="156" w:beforeLines="50" w:line="360" w:lineRule="auto"/>
        <w:ind w:firstLine="480" w:firstLineChars="200"/>
        <w:jc w:val="left"/>
        <w:rPr>
          <w:kern w:val="0"/>
          <w:sz w:val="24"/>
        </w:rPr>
      </w:pPr>
      <w:r>
        <w:rPr>
          <w:kern w:val="0"/>
          <w:sz w:val="24"/>
        </w:rPr>
        <w:t>5.预答辩：学位申请人须进行学位论文预答辩。预答辩通过者，方可进入学位论文评阅、学位论文答辩等环节。。学位（毕业）论文预答辩在正式答辩前3个月进行。</w:t>
      </w:r>
    </w:p>
    <w:p w14:paraId="06127EDC">
      <w:pPr>
        <w:widowControl/>
        <w:spacing w:before="156" w:beforeLines="50" w:line="360" w:lineRule="auto"/>
        <w:ind w:firstLine="480" w:firstLineChars="200"/>
        <w:jc w:val="left"/>
        <w:rPr>
          <w:kern w:val="0"/>
          <w:sz w:val="24"/>
        </w:rPr>
      </w:pPr>
      <w:r>
        <w:rPr>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0E9981CF">
      <w:pPr>
        <w:widowControl/>
        <w:spacing w:before="156" w:beforeLines="50" w:line="360" w:lineRule="auto"/>
        <w:ind w:firstLine="482" w:firstLineChars="200"/>
        <w:jc w:val="left"/>
        <w:rPr>
          <w:rFonts w:eastAsiaTheme="minorEastAsia"/>
          <w:i/>
          <w:sz w:val="24"/>
        </w:rPr>
      </w:pPr>
      <w:r>
        <w:rPr>
          <w:b/>
          <w:bCs/>
          <w:kern w:val="0"/>
          <w:sz w:val="24"/>
        </w:rPr>
        <w:t>7.答辩：</w:t>
      </w:r>
      <w:r>
        <w:rPr>
          <w:bCs/>
          <w:kern w:val="0"/>
          <w:sz w:val="24"/>
        </w:rPr>
        <w:t>学位（毕业）论文答辩按照</w:t>
      </w:r>
      <w:r>
        <w:rPr>
          <w:kern w:val="0"/>
          <w:sz w:val="24"/>
        </w:rPr>
        <w:t>《河北大学博士、硕士学位授予工作实施细则》（校政字〔2025〕7号）执行。</w:t>
      </w:r>
    </w:p>
    <w:p w14:paraId="3215AB68">
      <w:pPr>
        <w:spacing w:before="156" w:beforeLines="50"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45D7A05">
      <w:pPr>
        <w:spacing w:before="156" w:beforeLines="50"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11EBF00">
      <w:pPr>
        <w:spacing w:before="156" w:beforeLines="50"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246FBEDE">
      <w:pPr>
        <w:spacing w:before="156" w:beforeLines="50"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57F49731">
      <w:pPr>
        <w:spacing w:before="156" w:beforeLines="50" w:line="360" w:lineRule="auto"/>
        <w:ind w:firstLine="480" w:firstLineChars="200"/>
        <w:rPr>
          <w:bCs/>
          <w:kern w:val="0"/>
          <w:sz w:val="24"/>
        </w:rPr>
      </w:pPr>
      <w:r>
        <w:rPr>
          <w:bCs/>
          <w:kern w:val="0"/>
          <w:sz w:val="24"/>
        </w:rPr>
        <w:t>（2）实践活动：参与本专业相关的社会实践，由相关单位出具相关实践证明材料；或组织开展与本专业相关的调查、考察等活动，并提交相关报告。</w:t>
      </w:r>
    </w:p>
    <w:p w14:paraId="41B05D08">
      <w:pPr>
        <w:spacing w:before="156" w:beforeLines="50"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25EDE2EF">
      <w:pPr>
        <w:spacing w:before="156" w:beforeLines="50"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3227BB4C">
      <w:pPr>
        <w:spacing w:before="156" w:beforeLines="50"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016966F">
      <w:pPr>
        <w:spacing w:before="156" w:beforeLines="50" w:line="360" w:lineRule="auto"/>
        <w:ind w:firstLine="480" w:firstLineChars="200"/>
        <w:rPr>
          <w:rFonts w:eastAsiaTheme="minorEastAsia"/>
          <w:sz w:val="24"/>
        </w:rPr>
      </w:pPr>
      <w:r>
        <w:rPr>
          <w:rFonts w:hint="eastAsia" w:eastAsiaTheme="minorEastAsia"/>
          <w:sz w:val="24"/>
        </w:rPr>
        <w:t>符合</w:t>
      </w:r>
      <w:r>
        <w:rPr>
          <w:rFonts w:eastAsiaTheme="minorEastAsia"/>
          <w:sz w:val="24"/>
        </w:rPr>
        <w:t>以下情况之一，均可申请学位</w:t>
      </w:r>
      <w:r>
        <w:rPr>
          <w:rFonts w:hint="eastAsia" w:eastAsiaTheme="minorEastAsia"/>
          <w:sz w:val="24"/>
        </w:rPr>
        <w:t>(期刊</w:t>
      </w:r>
      <w:r>
        <w:rPr>
          <w:rFonts w:eastAsiaTheme="minorEastAsia"/>
          <w:sz w:val="24"/>
        </w:rPr>
        <w:t>论文第一完成单位为</w:t>
      </w:r>
      <w:r>
        <w:rPr>
          <w:rFonts w:hint="eastAsia" w:eastAsiaTheme="minorEastAsia"/>
          <w:sz w:val="24"/>
        </w:rPr>
        <w:t>河北</w:t>
      </w:r>
      <w:r>
        <w:rPr>
          <w:rFonts w:eastAsiaTheme="minorEastAsia"/>
          <w:sz w:val="24"/>
        </w:rPr>
        <w:t>大学</w:t>
      </w:r>
      <w:r>
        <w:rPr>
          <w:rFonts w:hint="eastAsia" w:eastAsiaTheme="minorEastAsia"/>
          <w:sz w:val="24"/>
        </w:rPr>
        <w:t>中医</w:t>
      </w:r>
      <w:r>
        <w:rPr>
          <w:rFonts w:eastAsiaTheme="minorEastAsia"/>
          <w:sz w:val="24"/>
        </w:rPr>
        <w:t>学院，其余</w:t>
      </w:r>
      <w:r>
        <w:rPr>
          <w:rFonts w:hint="eastAsia" w:eastAsiaTheme="minorEastAsia"/>
          <w:sz w:val="24"/>
        </w:rPr>
        <w:t>成果第一完成单位需要为河北大学）</w:t>
      </w:r>
    </w:p>
    <w:p w14:paraId="36FC79C3">
      <w:pPr>
        <w:numPr>
          <w:ilvl w:val="0"/>
          <w:numId w:val="1"/>
        </w:numPr>
        <w:spacing w:before="156" w:beforeLines="50" w:line="360" w:lineRule="auto"/>
        <w:ind w:firstLine="480" w:firstLineChars="200"/>
        <w:rPr>
          <w:rFonts w:eastAsiaTheme="minorEastAsia"/>
          <w:sz w:val="24"/>
        </w:rPr>
      </w:pPr>
      <w:r>
        <w:rPr>
          <w:rFonts w:hint="eastAsia" w:eastAsiaTheme="minorEastAsia"/>
          <w:sz w:val="24"/>
        </w:rPr>
        <w:t>以第一作者录用省级期刊论文1篇（导师通讯），或以前2作者录用中文核心期刊论文1篇（导师第一或通讯），或以前三作者录用SCI及以上级别期刊论文1篇（导师第一或通讯）。</w:t>
      </w:r>
    </w:p>
    <w:p w14:paraId="6E374FA2">
      <w:pPr>
        <w:numPr>
          <w:ilvl w:val="0"/>
          <w:numId w:val="1"/>
        </w:numPr>
        <w:spacing w:before="156" w:beforeLines="50" w:line="360" w:lineRule="auto"/>
        <w:ind w:firstLine="480" w:firstLineChars="200"/>
        <w:rPr>
          <w:rFonts w:eastAsiaTheme="minorEastAsia"/>
          <w:sz w:val="24"/>
        </w:rPr>
      </w:pPr>
      <w:r>
        <w:rPr>
          <w:rFonts w:hint="eastAsia" w:eastAsiaTheme="minorEastAsia"/>
          <w:sz w:val="24"/>
        </w:rPr>
        <w:t>参与智库报告撰写，提交</w:t>
      </w:r>
      <w:r>
        <w:rPr>
          <w:rFonts w:eastAsiaTheme="minorEastAsia"/>
          <w:sz w:val="24"/>
        </w:rPr>
        <w:t>的</w:t>
      </w:r>
      <w:r>
        <w:rPr>
          <w:rFonts w:hint="eastAsia" w:eastAsiaTheme="minorEastAsia"/>
          <w:sz w:val="24"/>
        </w:rPr>
        <w:t>智库</w:t>
      </w:r>
      <w:r>
        <w:rPr>
          <w:rFonts w:eastAsiaTheme="minorEastAsia"/>
          <w:sz w:val="24"/>
        </w:rPr>
        <w:t>报告</w:t>
      </w:r>
      <w:r>
        <w:rPr>
          <w:rFonts w:hint="eastAsia" w:eastAsiaTheme="minorEastAsia"/>
          <w:sz w:val="24"/>
        </w:rPr>
        <w:t>（学生要求有署名）至少</w:t>
      </w:r>
      <w:r>
        <w:rPr>
          <w:rFonts w:eastAsiaTheme="minorEastAsia"/>
          <w:sz w:val="24"/>
        </w:rPr>
        <w:t>被</w:t>
      </w:r>
      <w:r>
        <w:rPr>
          <w:rFonts w:hint="eastAsia" w:eastAsiaTheme="minorEastAsia"/>
          <w:sz w:val="24"/>
        </w:rPr>
        <w:t>县市级</w:t>
      </w:r>
      <w:r>
        <w:rPr>
          <w:rFonts w:eastAsiaTheme="minorEastAsia"/>
          <w:sz w:val="24"/>
        </w:rPr>
        <w:t>政府</w:t>
      </w:r>
      <w:r>
        <w:rPr>
          <w:rFonts w:hint="eastAsia" w:eastAsiaTheme="minorEastAsia"/>
          <w:sz w:val="24"/>
        </w:rPr>
        <w:t>主要领导批示，</w:t>
      </w:r>
      <w:r>
        <w:rPr>
          <w:rFonts w:eastAsiaTheme="minorEastAsia"/>
          <w:sz w:val="24"/>
        </w:rPr>
        <w:t>或</w:t>
      </w:r>
      <w:r>
        <w:rPr>
          <w:rFonts w:hint="eastAsia" w:eastAsiaTheme="minorEastAsia"/>
          <w:sz w:val="24"/>
        </w:rPr>
        <w:t>被</w:t>
      </w:r>
      <w:r>
        <w:rPr>
          <w:rFonts w:eastAsiaTheme="minorEastAsia"/>
          <w:sz w:val="24"/>
        </w:rPr>
        <w:t>厅局级</w:t>
      </w:r>
      <w:r>
        <w:rPr>
          <w:rFonts w:hint="eastAsia" w:eastAsiaTheme="minorEastAsia"/>
          <w:sz w:val="24"/>
        </w:rPr>
        <w:t>管理</w:t>
      </w:r>
      <w:r>
        <w:rPr>
          <w:rFonts w:eastAsiaTheme="minorEastAsia"/>
          <w:sz w:val="24"/>
        </w:rPr>
        <w:t>部门</w:t>
      </w:r>
      <w:r>
        <w:rPr>
          <w:rFonts w:hint="eastAsia" w:eastAsiaTheme="minorEastAsia"/>
          <w:sz w:val="24"/>
        </w:rPr>
        <w:t>采纳</w:t>
      </w:r>
      <w:r>
        <w:rPr>
          <w:rFonts w:eastAsiaTheme="minorEastAsia"/>
          <w:sz w:val="24"/>
        </w:rPr>
        <w:t>。</w:t>
      </w:r>
    </w:p>
    <w:p w14:paraId="3EB54304">
      <w:pPr>
        <w:numPr>
          <w:ilvl w:val="0"/>
          <w:numId w:val="1"/>
        </w:numPr>
        <w:spacing w:before="156" w:beforeLines="50" w:line="360" w:lineRule="auto"/>
        <w:ind w:firstLine="480" w:firstLineChars="200"/>
        <w:rPr>
          <w:rFonts w:eastAsiaTheme="minorEastAsia"/>
          <w:sz w:val="24"/>
        </w:rPr>
      </w:pPr>
      <w:r>
        <w:rPr>
          <w:rFonts w:hint="eastAsia" w:eastAsiaTheme="minorEastAsia"/>
          <w:sz w:val="24"/>
        </w:rPr>
        <w:t>硕士研究生在从事与本专业相关的学术性活动和创新创业等竞赛，获省部级及以上项目或奖励者(以证书或</w:t>
      </w:r>
      <w:r>
        <w:rPr>
          <w:rFonts w:eastAsiaTheme="minorEastAsia"/>
          <w:sz w:val="24"/>
        </w:rPr>
        <w:t>任务书</w:t>
      </w:r>
      <w:r>
        <w:rPr>
          <w:rFonts w:hint="eastAsia" w:eastAsiaTheme="minorEastAsia"/>
          <w:sz w:val="24"/>
        </w:rPr>
        <w:t>为准，均需排名第</w:t>
      </w:r>
      <w:r>
        <w:rPr>
          <w:rFonts w:hint="eastAsia" w:eastAsiaTheme="minorEastAsia"/>
          <w:color w:val="EE0000"/>
          <w:sz w:val="24"/>
        </w:rPr>
        <w:t>1</w:t>
      </w:r>
      <w:r>
        <w:rPr>
          <w:rFonts w:hint="eastAsia" w:eastAsiaTheme="minorEastAsia"/>
          <w:sz w:val="24"/>
        </w:rPr>
        <w:t>)。</w:t>
      </w:r>
    </w:p>
    <w:p w14:paraId="5FD45AA2">
      <w:pPr>
        <w:spacing w:before="156" w:beforeLines="50" w:line="360" w:lineRule="auto"/>
        <w:ind w:firstLine="480" w:firstLineChars="200"/>
        <w:rPr>
          <w:rFonts w:eastAsiaTheme="minorEastAsia"/>
          <w:sz w:val="24"/>
        </w:rPr>
      </w:pPr>
      <w:r>
        <w:rPr>
          <w:rFonts w:hint="eastAsia" w:eastAsiaTheme="minorEastAsia"/>
          <w:sz w:val="24"/>
        </w:rPr>
        <w:t>4. 以前二发明人申报发明专利一项获得受理，或以前二发明人授权实用新型及其它类型专利或软件著作权1项。</w:t>
      </w:r>
    </w:p>
    <w:p w14:paraId="5E7EBE4F">
      <w:pPr>
        <w:spacing w:before="156" w:beforeLines="50" w:line="360" w:lineRule="auto"/>
        <w:ind w:firstLine="480" w:firstLineChars="200"/>
        <w:rPr>
          <w:rFonts w:eastAsiaTheme="minorEastAsia"/>
          <w:sz w:val="24"/>
        </w:rPr>
      </w:pPr>
      <w:r>
        <w:rPr>
          <w:rFonts w:hint="eastAsia" w:eastAsiaTheme="minorEastAsia"/>
          <w:sz w:val="24"/>
        </w:rPr>
        <w:t>5. 出版学术专著，参与专著撰写，独立完成3万字。</w:t>
      </w:r>
    </w:p>
    <w:p w14:paraId="5F0A2EAE">
      <w:pPr>
        <w:spacing w:before="156" w:beforeLines="50" w:line="360" w:lineRule="auto"/>
        <w:ind w:firstLine="480" w:firstLineChars="200"/>
        <w:rPr>
          <w:rFonts w:eastAsiaTheme="minorEastAsia"/>
          <w:sz w:val="24"/>
        </w:rPr>
      </w:pPr>
      <w:r>
        <w:rPr>
          <w:rFonts w:hint="eastAsia" w:eastAsiaTheme="minorEastAsia"/>
          <w:sz w:val="24"/>
        </w:rPr>
        <w:t>6. 参与获批地市级及以上级别行业标准制定（以官方批件</w:t>
      </w:r>
      <w:r>
        <w:rPr>
          <w:rFonts w:eastAsiaTheme="minorEastAsia"/>
          <w:sz w:val="24"/>
        </w:rPr>
        <w:t>为准，</w:t>
      </w:r>
      <w:r>
        <w:rPr>
          <w:rFonts w:hint="eastAsia" w:eastAsiaTheme="minorEastAsia"/>
          <w:sz w:val="24"/>
        </w:rPr>
        <w:t>排名</w:t>
      </w:r>
      <w:r>
        <w:rPr>
          <w:rFonts w:eastAsiaTheme="minorEastAsia"/>
          <w:sz w:val="24"/>
        </w:rPr>
        <w:t>前</w:t>
      </w:r>
      <w:r>
        <w:rPr>
          <w:rFonts w:hint="eastAsia" w:eastAsiaTheme="minorEastAsia"/>
          <w:color w:val="EE0000"/>
          <w:sz w:val="24"/>
        </w:rPr>
        <w:t>3</w:t>
      </w:r>
      <w:r>
        <w:rPr>
          <w:rFonts w:hint="eastAsia" w:eastAsiaTheme="minorEastAsia"/>
          <w:sz w:val="24"/>
        </w:rPr>
        <w:t>）。</w:t>
      </w:r>
    </w:p>
    <w:p w14:paraId="47B3C404">
      <w:pPr>
        <w:spacing w:before="156" w:beforeLines="50" w:line="360" w:lineRule="auto"/>
        <w:ind w:firstLine="560" w:firstLineChars="200"/>
        <w:rPr>
          <w:rFonts w:eastAsia="黑体"/>
          <w:bCs/>
          <w:sz w:val="28"/>
          <w:szCs w:val="28"/>
        </w:rPr>
      </w:pPr>
      <w:r>
        <w:rPr>
          <w:rFonts w:eastAsia="黑体"/>
          <w:bCs/>
          <w:sz w:val="28"/>
          <w:szCs w:val="28"/>
        </w:rPr>
        <w:t>十一、学位授予</w:t>
      </w:r>
    </w:p>
    <w:p w14:paraId="5673B993">
      <w:pPr>
        <w:spacing w:before="156" w:beforeLines="50" w:line="360" w:lineRule="auto"/>
        <w:ind w:firstLine="480" w:firstLineChars="200"/>
        <w:rPr>
          <w:rFonts w:eastAsiaTheme="minorEastAsia"/>
          <w:bCs/>
          <w:sz w:val="24"/>
        </w:rPr>
      </w:pPr>
      <w:r>
        <w:rPr>
          <w:rFonts w:eastAsiaTheme="minorEastAsia"/>
          <w:bCs/>
          <w:sz w:val="24"/>
        </w:rPr>
        <w:t>研究生通过毕业资格审查，</w:t>
      </w:r>
      <w:r>
        <w:rPr>
          <w:kern w:val="0"/>
          <w:sz w:val="24"/>
        </w:rPr>
        <w:t>满足本</w:t>
      </w:r>
      <w:r>
        <w:rPr>
          <w:rFonts w:hint="eastAsia" w:eastAsiaTheme="minorEastAsia"/>
          <w:bCs/>
          <w:sz w:val="24"/>
        </w:rPr>
        <w:t>学院</w:t>
      </w:r>
      <w:r>
        <w:rPr>
          <w:rFonts w:eastAsiaTheme="minorEastAsia"/>
          <w:bCs/>
          <w:sz w:val="24"/>
        </w:rPr>
        <w:t>制定</w:t>
      </w:r>
      <w:r>
        <w:rPr>
          <w:kern w:val="0"/>
          <w:sz w:val="24"/>
        </w:rPr>
        <w:t>的创新性成果要求，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0A31A5D">
      <w:pPr>
        <w:spacing w:before="156" w:beforeLines="50"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7C373314">
      <w:pPr>
        <w:spacing w:before="156" w:beforeLines="50"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color w:val="EE0000"/>
          <w:sz w:val="24"/>
        </w:rPr>
        <w:t>24</w:t>
      </w:r>
      <w:r>
        <w:rPr>
          <w:rFonts w:eastAsiaTheme="minorEastAsia"/>
          <w:sz w:val="24"/>
        </w:rPr>
        <w:t>分，其中学位课</w:t>
      </w:r>
      <w:r>
        <w:rPr>
          <w:rFonts w:hint="eastAsia" w:eastAsiaTheme="minorEastAsia"/>
          <w:color w:val="EE0000"/>
          <w:sz w:val="24"/>
        </w:rPr>
        <w:t>16</w:t>
      </w:r>
      <w:r>
        <w:rPr>
          <w:rFonts w:eastAsiaTheme="minorEastAsia"/>
          <w:sz w:val="24"/>
        </w:rPr>
        <w:t>学分，非学位课</w:t>
      </w:r>
      <w:r>
        <w:rPr>
          <w:rFonts w:hint="eastAsia" w:eastAsiaTheme="minorEastAsia"/>
          <w:color w:val="EE0000"/>
          <w:sz w:val="24"/>
        </w:rPr>
        <w:t>6</w:t>
      </w:r>
      <w:r>
        <w:rPr>
          <w:rFonts w:eastAsiaTheme="minorEastAsia"/>
          <w:sz w:val="24"/>
        </w:rPr>
        <w:t>学分，必修环节</w:t>
      </w:r>
      <w:r>
        <w:rPr>
          <w:rFonts w:hint="eastAsia" w:eastAsiaTheme="minorEastAsia"/>
          <w:color w:val="FF0000"/>
          <w:sz w:val="24"/>
        </w:rPr>
        <w:t>2</w:t>
      </w:r>
      <w:r>
        <w:rPr>
          <w:rFonts w:eastAsiaTheme="minorEastAsia"/>
          <w:sz w:val="24"/>
        </w:rPr>
        <w:t>分。</w:t>
      </w:r>
    </w:p>
    <w:p w14:paraId="6CAF898A">
      <w:pPr>
        <w:spacing w:before="156" w:beforeLines="50" w:line="360" w:lineRule="auto"/>
        <w:ind w:firstLine="480" w:firstLineChars="200"/>
        <w:rPr>
          <w:sz w:val="24"/>
        </w:rPr>
      </w:pPr>
      <w:r>
        <w:rPr>
          <w:rFonts w:eastAsiaTheme="minorEastAsia"/>
          <w:sz w:val="24"/>
        </w:rPr>
        <w:t xml:space="preserve">    课程考试不设补考环节，</w:t>
      </w:r>
      <w:r>
        <w:rPr>
          <w:sz w:val="24"/>
        </w:rPr>
        <w:t>考试成绩低于60分的需重修。</w:t>
      </w:r>
    </w:p>
    <w:p w14:paraId="7EF7F201">
      <w:pPr>
        <w:spacing w:before="156" w:beforeLines="50" w:line="360" w:lineRule="auto"/>
        <w:ind w:firstLine="480" w:firstLineChars="200"/>
        <w:rPr>
          <w:rFonts w:eastAsiaTheme="minorEastAsia"/>
          <w:i/>
          <w:sz w:val="24"/>
        </w:rPr>
      </w:pPr>
    </w:p>
    <w:p w14:paraId="12F110AE">
      <w:pPr>
        <w:spacing w:line="360" w:lineRule="auto"/>
        <w:ind w:firstLine="480"/>
        <w:rPr>
          <w:rFonts w:eastAsiaTheme="minorEastAsia"/>
          <w:i/>
          <w:sz w:val="24"/>
        </w:rPr>
      </w:pPr>
    </w:p>
    <w:p w14:paraId="61D81367">
      <w:pPr>
        <w:spacing w:line="360" w:lineRule="auto"/>
        <w:ind w:firstLine="480"/>
        <w:rPr>
          <w:rFonts w:eastAsiaTheme="minorEastAsia"/>
          <w:i/>
          <w:sz w:val="24"/>
        </w:rPr>
      </w:pPr>
    </w:p>
    <w:p w14:paraId="30B279AE">
      <w:pPr>
        <w:spacing w:line="360" w:lineRule="auto"/>
        <w:ind w:firstLine="480"/>
        <w:rPr>
          <w:rFonts w:eastAsiaTheme="minorEastAsia"/>
          <w:i/>
          <w:sz w:val="24"/>
        </w:rPr>
      </w:pPr>
    </w:p>
    <w:p w14:paraId="02C341D5">
      <w:pPr>
        <w:spacing w:line="360" w:lineRule="auto"/>
        <w:ind w:firstLine="480"/>
        <w:rPr>
          <w:rFonts w:eastAsiaTheme="minorEastAsia"/>
          <w:i/>
          <w:sz w:val="24"/>
        </w:rPr>
      </w:pPr>
    </w:p>
    <w:p w14:paraId="6D8EF64C">
      <w:pPr>
        <w:spacing w:line="360" w:lineRule="auto"/>
        <w:ind w:firstLine="480"/>
        <w:rPr>
          <w:rFonts w:eastAsiaTheme="minorEastAsia"/>
          <w:i/>
          <w:sz w:val="24"/>
        </w:rPr>
      </w:pPr>
    </w:p>
    <w:p w14:paraId="290DA2F9">
      <w:pPr>
        <w:spacing w:line="360" w:lineRule="auto"/>
        <w:ind w:firstLine="480"/>
        <w:rPr>
          <w:rFonts w:eastAsiaTheme="minorEastAsia"/>
          <w:i/>
          <w:sz w:val="24"/>
        </w:rPr>
      </w:pPr>
    </w:p>
    <w:p w14:paraId="17DBD4CB">
      <w:pPr>
        <w:spacing w:line="360" w:lineRule="auto"/>
        <w:ind w:firstLine="480"/>
        <w:rPr>
          <w:rFonts w:eastAsiaTheme="minorEastAsia"/>
          <w:i/>
          <w:sz w:val="24"/>
        </w:rPr>
      </w:pPr>
    </w:p>
    <w:p w14:paraId="169ECF0B">
      <w:pPr>
        <w:spacing w:line="360" w:lineRule="auto"/>
        <w:ind w:firstLine="480"/>
        <w:rPr>
          <w:rFonts w:eastAsiaTheme="minorEastAsia"/>
          <w:i/>
          <w:sz w:val="24"/>
        </w:rPr>
      </w:pPr>
    </w:p>
    <w:p w14:paraId="01EC7CB2">
      <w:pPr>
        <w:spacing w:line="360" w:lineRule="auto"/>
        <w:ind w:firstLine="480"/>
        <w:rPr>
          <w:rFonts w:eastAsiaTheme="minorEastAsia"/>
          <w:i/>
          <w:sz w:val="24"/>
        </w:rPr>
      </w:pPr>
    </w:p>
    <w:p w14:paraId="2CB42F8C">
      <w:pPr>
        <w:spacing w:line="360" w:lineRule="auto"/>
        <w:ind w:firstLine="480"/>
        <w:rPr>
          <w:rFonts w:eastAsiaTheme="minorEastAsia"/>
          <w:i/>
          <w:sz w:val="24"/>
        </w:rPr>
      </w:pPr>
    </w:p>
    <w:p w14:paraId="5B31D9CC">
      <w:pPr>
        <w:spacing w:line="360" w:lineRule="auto"/>
        <w:ind w:firstLine="480"/>
        <w:rPr>
          <w:rFonts w:eastAsiaTheme="minorEastAsia"/>
          <w:i/>
          <w:sz w:val="24"/>
        </w:rPr>
      </w:pPr>
    </w:p>
    <w:p w14:paraId="16BAAEB0">
      <w:pPr>
        <w:spacing w:after="156" w:afterLines="50" w:line="440" w:lineRule="exact"/>
        <w:ind w:firstLine="482" w:firstLineChars="200"/>
        <w:jc w:val="center"/>
        <w:rPr>
          <w:rFonts w:eastAsiaTheme="minorEastAsia"/>
          <w:b/>
          <w:bCs/>
          <w:sz w:val="24"/>
        </w:rPr>
      </w:pPr>
      <w:r>
        <w:rPr>
          <w:rFonts w:hint="eastAsia" w:eastAsiaTheme="minorEastAsia"/>
          <w:b/>
          <w:bCs/>
          <w:sz w:val="24"/>
        </w:rPr>
        <w:t>中药学</w:t>
      </w:r>
      <w:r>
        <w:rPr>
          <w:rFonts w:eastAsiaTheme="minorEastAsia"/>
          <w:b/>
          <w:bCs/>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654"/>
        <w:gridCol w:w="1100"/>
      </w:tblGrid>
      <w:tr w14:paraId="5A15A9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2CC5422">
            <w:pPr>
              <w:jc w:val="center"/>
              <w:rPr>
                <w:b/>
                <w:szCs w:val="21"/>
              </w:rPr>
            </w:pPr>
            <w:r>
              <w:rPr>
                <w:b/>
                <w:szCs w:val="21"/>
              </w:rPr>
              <w:t>课程类别</w:t>
            </w:r>
          </w:p>
        </w:tc>
        <w:tc>
          <w:tcPr>
            <w:tcW w:w="3516" w:type="dxa"/>
            <w:vAlign w:val="center"/>
          </w:tcPr>
          <w:p w14:paraId="43C446B0">
            <w:pPr>
              <w:jc w:val="center"/>
              <w:rPr>
                <w:b/>
                <w:szCs w:val="21"/>
              </w:rPr>
            </w:pPr>
            <w:r>
              <w:rPr>
                <w:b/>
                <w:szCs w:val="21"/>
              </w:rPr>
              <w:t>课程说明</w:t>
            </w:r>
          </w:p>
        </w:tc>
        <w:tc>
          <w:tcPr>
            <w:tcW w:w="1081" w:type="dxa"/>
            <w:vAlign w:val="center"/>
          </w:tcPr>
          <w:p w14:paraId="5BD89977">
            <w:pPr>
              <w:jc w:val="center"/>
              <w:rPr>
                <w:b/>
                <w:szCs w:val="21"/>
              </w:rPr>
            </w:pPr>
            <w:r>
              <w:rPr>
                <w:b/>
                <w:szCs w:val="21"/>
              </w:rPr>
              <w:t>课程编号</w:t>
            </w:r>
          </w:p>
        </w:tc>
        <w:tc>
          <w:tcPr>
            <w:tcW w:w="709" w:type="dxa"/>
            <w:vAlign w:val="center"/>
          </w:tcPr>
          <w:p w14:paraId="1F8447AB">
            <w:pPr>
              <w:jc w:val="center"/>
              <w:rPr>
                <w:b/>
                <w:szCs w:val="21"/>
              </w:rPr>
            </w:pPr>
            <w:r>
              <w:rPr>
                <w:b/>
                <w:szCs w:val="21"/>
              </w:rPr>
              <w:t>学分</w:t>
            </w:r>
          </w:p>
        </w:tc>
        <w:tc>
          <w:tcPr>
            <w:tcW w:w="654" w:type="dxa"/>
            <w:vAlign w:val="center"/>
          </w:tcPr>
          <w:p w14:paraId="30BE3201">
            <w:pPr>
              <w:jc w:val="center"/>
              <w:rPr>
                <w:b/>
                <w:szCs w:val="21"/>
              </w:rPr>
            </w:pPr>
            <w:r>
              <w:rPr>
                <w:b/>
                <w:szCs w:val="21"/>
              </w:rPr>
              <w:t>学期</w:t>
            </w:r>
          </w:p>
        </w:tc>
        <w:tc>
          <w:tcPr>
            <w:tcW w:w="1100" w:type="dxa"/>
            <w:vAlign w:val="center"/>
          </w:tcPr>
          <w:p w14:paraId="0B9123C3">
            <w:pPr>
              <w:jc w:val="center"/>
              <w:rPr>
                <w:b/>
                <w:szCs w:val="21"/>
              </w:rPr>
            </w:pPr>
            <w:r>
              <w:rPr>
                <w:b/>
                <w:szCs w:val="21"/>
              </w:rPr>
              <w:t>备注</w:t>
            </w:r>
          </w:p>
        </w:tc>
      </w:tr>
      <w:tr w14:paraId="6F193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227" w:hRule="atLeast"/>
          <w:jc w:val="center"/>
        </w:trPr>
        <w:tc>
          <w:tcPr>
            <w:tcW w:w="571" w:type="dxa"/>
            <w:vMerge w:val="restart"/>
            <w:vAlign w:val="center"/>
          </w:tcPr>
          <w:p w14:paraId="0C1B811C">
            <w:pPr>
              <w:jc w:val="center"/>
              <w:rPr>
                <w:b/>
                <w:sz w:val="18"/>
                <w:szCs w:val="18"/>
              </w:rPr>
            </w:pPr>
            <w:r>
              <w:rPr>
                <w:b/>
                <w:sz w:val="18"/>
                <w:szCs w:val="18"/>
              </w:rPr>
              <w:t>学位课</w:t>
            </w:r>
          </w:p>
        </w:tc>
        <w:tc>
          <w:tcPr>
            <w:tcW w:w="1226" w:type="dxa"/>
            <w:vMerge w:val="restart"/>
            <w:vAlign w:val="center"/>
          </w:tcPr>
          <w:p w14:paraId="1634BD2E">
            <w:pPr>
              <w:jc w:val="center"/>
              <w:rPr>
                <w:b/>
                <w:sz w:val="18"/>
                <w:szCs w:val="18"/>
              </w:rPr>
            </w:pPr>
            <w:r>
              <w:rPr>
                <w:b/>
                <w:sz w:val="18"/>
                <w:szCs w:val="18"/>
              </w:rPr>
              <w:t>公共必修课</w:t>
            </w:r>
          </w:p>
          <w:p w14:paraId="004A556C">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3EBBBD31">
            <w:pPr>
              <w:rPr>
                <w:sz w:val="18"/>
                <w:szCs w:val="18"/>
              </w:rPr>
            </w:pPr>
            <w:r>
              <w:rPr>
                <w:sz w:val="18"/>
                <w:szCs w:val="18"/>
              </w:rPr>
              <w:t>新时代中国特色社会主义理论与实践</w:t>
            </w:r>
          </w:p>
        </w:tc>
        <w:tc>
          <w:tcPr>
            <w:tcW w:w="1081" w:type="dxa"/>
            <w:vAlign w:val="center"/>
          </w:tcPr>
          <w:p w14:paraId="4355DA0B">
            <w:pPr>
              <w:jc w:val="center"/>
              <w:rPr>
                <w:sz w:val="18"/>
                <w:szCs w:val="18"/>
              </w:rPr>
            </w:pPr>
            <w:r>
              <w:rPr>
                <w:sz w:val="18"/>
                <w:szCs w:val="18"/>
              </w:rPr>
              <w:t>TS0000001</w:t>
            </w:r>
          </w:p>
        </w:tc>
        <w:tc>
          <w:tcPr>
            <w:tcW w:w="709" w:type="dxa"/>
            <w:vAlign w:val="center"/>
          </w:tcPr>
          <w:p w14:paraId="4F9AA6AC">
            <w:pPr>
              <w:jc w:val="center"/>
              <w:rPr>
                <w:sz w:val="18"/>
                <w:szCs w:val="18"/>
              </w:rPr>
            </w:pPr>
            <w:r>
              <w:rPr>
                <w:sz w:val="18"/>
                <w:szCs w:val="18"/>
              </w:rPr>
              <w:t>2</w:t>
            </w:r>
          </w:p>
        </w:tc>
        <w:tc>
          <w:tcPr>
            <w:tcW w:w="654" w:type="dxa"/>
            <w:vAlign w:val="center"/>
          </w:tcPr>
          <w:p w14:paraId="7AF8E3AE">
            <w:pPr>
              <w:jc w:val="center"/>
              <w:rPr>
                <w:sz w:val="18"/>
                <w:szCs w:val="18"/>
              </w:rPr>
            </w:pPr>
            <w:r>
              <w:rPr>
                <w:sz w:val="18"/>
                <w:szCs w:val="18"/>
              </w:rPr>
              <w:t>1</w:t>
            </w:r>
          </w:p>
        </w:tc>
        <w:tc>
          <w:tcPr>
            <w:tcW w:w="1100" w:type="dxa"/>
            <w:vAlign w:val="center"/>
          </w:tcPr>
          <w:p w14:paraId="39438A30">
            <w:pPr>
              <w:jc w:val="center"/>
              <w:rPr>
                <w:sz w:val="18"/>
                <w:szCs w:val="18"/>
              </w:rPr>
            </w:pPr>
            <w:r>
              <w:rPr>
                <w:rFonts w:hint="eastAsia"/>
                <w:sz w:val="18"/>
                <w:szCs w:val="18"/>
              </w:rPr>
              <w:t>考查</w:t>
            </w:r>
          </w:p>
        </w:tc>
      </w:tr>
      <w:tr w14:paraId="167EAF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354F3E6E">
            <w:pPr>
              <w:jc w:val="center"/>
              <w:rPr>
                <w:b/>
                <w:sz w:val="18"/>
                <w:szCs w:val="18"/>
              </w:rPr>
            </w:pPr>
          </w:p>
        </w:tc>
        <w:tc>
          <w:tcPr>
            <w:tcW w:w="1226" w:type="dxa"/>
            <w:vMerge w:val="continue"/>
            <w:vAlign w:val="center"/>
          </w:tcPr>
          <w:p w14:paraId="3C1ACF36">
            <w:pPr>
              <w:jc w:val="center"/>
              <w:rPr>
                <w:b/>
                <w:sz w:val="18"/>
                <w:szCs w:val="18"/>
              </w:rPr>
            </w:pPr>
          </w:p>
        </w:tc>
        <w:tc>
          <w:tcPr>
            <w:tcW w:w="3516" w:type="dxa"/>
            <w:vAlign w:val="center"/>
          </w:tcPr>
          <w:p w14:paraId="6B8C2EDE">
            <w:pPr>
              <w:rPr>
                <w:sz w:val="18"/>
                <w:szCs w:val="18"/>
              </w:rPr>
            </w:pPr>
            <w:r>
              <w:rPr>
                <w:sz w:val="18"/>
                <w:szCs w:val="18"/>
              </w:rPr>
              <w:t>通用学术英语</w:t>
            </w:r>
          </w:p>
        </w:tc>
        <w:tc>
          <w:tcPr>
            <w:tcW w:w="1081" w:type="dxa"/>
            <w:vAlign w:val="center"/>
          </w:tcPr>
          <w:p w14:paraId="7BEEFC32">
            <w:pPr>
              <w:jc w:val="center"/>
              <w:rPr>
                <w:sz w:val="18"/>
                <w:szCs w:val="18"/>
              </w:rPr>
            </w:pPr>
            <w:r>
              <w:rPr>
                <w:sz w:val="18"/>
                <w:szCs w:val="18"/>
              </w:rPr>
              <w:t>TS0000002</w:t>
            </w:r>
          </w:p>
        </w:tc>
        <w:tc>
          <w:tcPr>
            <w:tcW w:w="709" w:type="dxa"/>
            <w:vAlign w:val="center"/>
          </w:tcPr>
          <w:p w14:paraId="1A4E0C9E">
            <w:pPr>
              <w:jc w:val="center"/>
              <w:rPr>
                <w:sz w:val="18"/>
                <w:szCs w:val="18"/>
              </w:rPr>
            </w:pPr>
            <w:r>
              <w:rPr>
                <w:sz w:val="18"/>
                <w:szCs w:val="18"/>
              </w:rPr>
              <w:t>2</w:t>
            </w:r>
          </w:p>
        </w:tc>
        <w:tc>
          <w:tcPr>
            <w:tcW w:w="654" w:type="dxa"/>
            <w:vAlign w:val="center"/>
          </w:tcPr>
          <w:p w14:paraId="3F46C604">
            <w:pPr>
              <w:jc w:val="center"/>
              <w:rPr>
                <w:sz w:val="18"/>
                <w:szCs w:val="18"/>
              </w:rPr>
            </w:pPr>
            <w:r>
              <w:rPr>
                <w:sz w:val="18"/>
                <w:szCs w:val="18"/>
              </w:rPr>
              <w:t>1</w:t>
            </w:r>
          </w:p>
        </w:tc>
        <w:tc>
          <w:tcPr>
            <w:tcW w:w="1100" w:type="dxa"/>
            <w:vAlign w:val="center"/>
          </w:tcPr>
          <w:p w14:paraId="19275F46">
            <w:pPr>
              <w:jc w:val="center"/>
              <w:rPr>
                <w:sz w:val="18"/>
                <w:szCs w:val="18"/>
              </w:rPr>
            </w:pPr>
            <w:r>
              <w:rPr>
                <w:rFonts w:hint="eastAsia"/>
                <w:sz w:val="18"/>
                <w:szCs w:val="18"/>
              </w:rPr>
              <w:t>考查</w:t>
            </w:r>
          </w:p>
        </w:tc>
      </w:tr>
      <w:tr w14:paraId="3C886A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151C24B7">
            <w:pPr>
              <w:jc w:val="center"/>
              <w:rPr>
                <w:b/>
                <w:sz w:val="18"/>
                <w:szCs w:val="18"/>
              </w:rPr>
            </w:pPr>
          </w:p>
        </w:tc>
        <w:tc>
          <w:tcPr>
            <w:tcW w:w="1226" w:type="dxa"/>
            <w:vMerge w:val="restart"/>
            <w:vAlign w:val="center"/>
          </w:tcPr>
          <w:p w14:paraId="73B94496">
            <w:pPr>
              <w:jc w:val="center"/>
              <w:rPr>
                <w:b/>
                <w:sz w:val="18"/>
                <w:szCs w:val="18"/>
              </w:rPr>
            </w:pPr>
            <w:r>
              <w:rPr>
                <w:b/>
                <w:sz w:val="18"/>
                <w:szCs w:val="18"/>
              </w:rPr>
              <w:t>学科基础课</w:t>
            </w:r>
          </w:p>
          <w:p w14:paraId="258932F8">
            <w:pPr>
              <w:jc w:val="center"/>
              <w:rPr>
                <w:b/>
                <w:sz w:val="18"/>
                <w:szCs w:val="18"/>
              </w:rPr>
            </w:pPr>
            <w:r>
              <w:rPr>
                <w:b/>
                <w:sz w:val="18"/>
                <w:szCs w:val="18"/>
              </w:rPr>
              <w:t>（</w:t>
            </w:r>
            <w:r>
              <w:rPr>
                <w:rFonts w:hint="eastAsia"/>
                <w:b/>
                <w:color w:val="EE0000"/>
                <w:sz w:val="18"/>
                <w:szCs w:val="18"/>
                <w:lang w:val="en-US" w:eastAsia="zh-CN"/>
              </w:rPr>
              <w:t>6</w:t>
            </w:r>
            <w:r>
              <w:rPr>
                <w:b/>
                <w:color w:val="EE0000"/>
                <w:sz w:val="18"/>
                <w:szCs w:val="18"/>
              </w:rPr>
              <w:t>学分</w:t>
            </w:r>
            <w:r>
              <w:rPr>
                <w:b/>
                <w:sz w:val="18"/>
                <w:szCs w:val="18"/>
              </w:rPr>
              <w:t>）</w:t>
            </w:r>
          </w:p>
        </w:tc>
        <w:tc>
          <w:tcPr>
            <w:tcW w:w="3516" w:type="dxa"/>
            <w:vAlign w:val="center"/>
          </w:tcPr>
          <w:p w14:paraId="1B750CF8">
            <w:pPr>
              <w:rPr>
                <w:sz w:val="18"/>
                <w:szCs w:val="18"/>
              </w:rPr>
            </w:pPr>
            <w:r>
              <w:rPr>
                <w:sz w:val="18"/>
                <w:szCs w:val="18"/>
              </w:rPr>
              <w:t>学术道德与论文写作</w:t>
            </w:r>
          </w:p>
        </w:tc>
        <w:tc>
          <w:tcPr>
            <w:tcW w:w="1081" w:type="dxa"/>
            <w:vAlign w:val="center"/>
          </w:tcPr>
          <w:p w14:paraId="747F3466">
            <w:pPr>
              <w:jc w:val="center"/>
              <w:rPr>
                <w:i/>
                <w:sz w:val="18"/>
                <w:szCs w:val="18"/>
              </w:rPr>
            </w:pPr>
            <w:r>
              <w:rPr>
                <w:rFonts w:hint="eastAsia"/>
                <w:iCs/>
                <w:sz w:val="18"/>
                <w:szCs w:val="18"/>
              </w:rPr>
              <w:t>Z</w:t>
            </w:r>
            <w:r>
              <w:rPr>
                <w:iCs/>
                <w:sz w:val="18"/>
                <w:szCs w:val="18"/>
              </w:rPr>
              <w:t>S250</w:t>
            </w:r>
            <w:r>
              <w:rPr>
                <w:rFonts w:hint="eastAsia"/>
                <w:iCs/>
                <w:sz w:val="18"/>
                <w:szCs w:val="18"/>
              </w:rPr>
              <w:t>1</w:t>
            </w:r>
            <w:r>
              <w:rPr>
                <w:iCs/>
                <w:sz w:val="18"/>
                <w:szCs w:val="18"/>
              </w:rPr>
              <w:t>001</w:t>
            </w:r>
          </w:p>
        </w:tc>
        <w:tc>
          <w:tcPr>
            <w:tcW w:w="709" w:type="dxa"/>
            <w:vAlign w:val="center"/>
          </w:tcPr>
          <w:p w14:paraId="4F0A10A2">
            <w:pPr>
              <w:jc w:val="center"/>
              <w:rPr>
                <w:rFonts w:hint="eastAsia" w:eastAsia="宋体"/>
                <w:lang w:eastAsia="zh-CN"/>
              </w:rPr>
            </w:pPr>
            <w:r>
              <w:rPr>
                <w:rFonts w:hint="eastAsia"/>
                <w:color w:val="FF0000"/>
                <w:sz w:val="18"/>
                <w:szCs w:val="18"/>
                <w:lang w:val="en-US" w:eastAsia="zh-CN"/>
              </w:rPr>
              <w:t>1</w:t>
            </w:r>
          </w:p>
        </w:tc>
        <w:tc>
          <w:tcPr>
            <w:tcW w:w="654" w:type="dxa"/>
            <w:vAlign w:val="center"/>
          </w:tcPr>
          <w:p w14:paraId="502D0020">
            <w:pPr>
              <w:jc w:val="center"/>
            </w:pPr>
            <w:r>
              <w:rPr>
                <w:sz w:val="18"/>
                <w:szCs w:val="18"/>
              </w:rPr>
              <w:t>1</w:t>
            </w:r>
          </w:p>
        </w:tc>
        <w:tc>
          <w:tcPr>
            <w:tcW w:w="1100" w:type="dxa"/>
            <w:vAlign w:val="center"/>
          </w:tcPr>
          <w:p w14:paraId="696AAD54">
            <w:pPr>
              <w:jc w:val="center"/>
              <w:rPr>
                <w:i/>
                <w:sz w:val="18"/>
                <w:szCs w:val="18"/>
              </w:rPr>
            </w:pPr>
            <w:r>
              <w:rPr>
                <w:rFonts w:hint="eastAsia"/>
                <w:iCs/>
                <w:sz w:val="18"/>
                <w:szCs w:val="18"/>
              </w:rPr>
              <w:t>考试</w:t>
            </w:r>
          </w:p>
        </w:tc>
      </w:tr>
      <w:tr w14:paraId="737033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7076041C">
            <w:pPr>
              <w:jc w:val="center"/>
              <w:rPr>
                <w:b/>
                <w:sz w:val="18"/>
                <w:szCs w:val="18"/>
              </w:rPr>
            </w:pPr>
          </w:p>
        </w:tc>
        <w:tc>
          <w:tcPr>
            <w:tcW w:w="1226" w:type="dxa"/>
            <w:vMerge w:val="continue"/>
            <w:vAlign w:val="center"/>
          </w:tcPr>
          <w:p w14:paraId="4AE0713D">
            <w:pPr>
              <w:jc w:val="center"/>
              <w:rPr>
                <w:b/>
                <w:sz w:val="18"/>
                <w:szCs w:val="18"/>
              </w:rPr>
            </w:pPr>
          </w:p>
        </w:tc>
        <w:tc>
          <w:tcPr>
            <w:tcW w:w="3516" w:type="dxa"/>
            <w:shd w:val="clear" w:color="auto" w:fill="auto"/>
            <w:vAlign w:val="center"/>
          </w:tcPr>
          <w:p w14:paraId="7BC1E557">
            <w:pPr>
              <w:adjustRightInd w:val="0"/>
              <w:snapToGrid w:val="0"/>
              <w:rPr>
                <w:sz w:val="18"/>
                <w:szCs w:val="18"/>
              </w:rPr>
            </w:pPr>
            <w:r>
              <w:rPr>
                <w:rFonts w:hint="eastAsia"/>
                <w:sz w:val="18"/>
                <w:szCs w:val="18"/>
              </w:rPr>
              <w:t>医学统计学专论</w:t>
            </w:r>
          </w:p>
        </w:tc>
        <w:tc>
          <w:tcPr>
            <w:tcW w:w="1081" w:type="dxa"/>
            <w:shd w:val="clear" w:color="auto" w:fill="auto"/>
            <w:vAlign w:val="center"/>
          </w:tcPr>
          <w:p w14:paraId="2046D270">
            <w:pPr>
              <w:jc w:val="center"/>
              <w:rPr>
                <w:i/>
                <w:sz w:val="18"/>
                <w:szCs w:val="18"/>
              </w:rPr>
            </w:pPr>
            <w:r>
              <w:rPr>
                <w:rFonts w:hint="eastAsia"/>
                <w:sz w:val="18"/>
                <w:szCs w:val="18"/>
              </w:rPr>
              <w:t>X</w:t>
            </w:r>
            <w:r>
              <w:rPr>
                <w:sz w:val="18"/>
                <w:szCs w:val="18"/>
              </w:rPr>
              <w:t>S250</w:t>
            </w:r>
            <w:r>
              <w:rPr>
                <w:rFonts w:hint="eastAsia"/>
                <w:sz w:val="18"/>
                <w:szCs w:val="18"/>
              </w:rPr>
              <w:t>4</w:t>
            </w:r>
            <w:r>
              <w:rPr>
                <w:sz w:val="18"/>
                <w:szCs w:val="18"/>
              </w:rPr>
              <w:t>00</w:t>
            </w:r>
            <w:r>
              <w:rPr>
                <w:rFonts w:hint="eastAsia"/>
                <w:sz w:val="18"/>
                <w:szCs w:val="18"/>
              </w:rPr>
              <w:t>1</w:t>
            </w:r>
          </w:p>
        </w:tc>
        <w:tc>
          <w:tcPr>
            <w:tcW w:w="709" w:type="dxa"/>
            <w:shd w:val="clear" w:color="auto" w:fill="auto"/>
            <w:vAlign w:val="center"/>
          </w:tcPr>
          <w:p w14:paraId="718494C1">
            <w:pPr>
              <w:jc w:val="center"/>
              <w:rPr>
                <w:i/>
                <w:sz w:val="18"/>
                <w:szCs w:val="18"/>
              </w:rPr>
            </w:pPr>
            <w:r>
              <w:rPr>
                <w:rFonts w:hint="eastAsia"/>
                <w:sz w:val="18"/>
                <w:szCs w:val="18"/>
              </w:rPr>
              <w:t>2</w:t>
            </w:r>
          </w:p>
        </w:tc>
        <w:tc>
          <w:tcPr>
            <w:tcW w:w="654" w:type="dxa"/>
            <w:shd w:val="clear" w:color="auto" w:fill="auto"/>
            <w:vAlign w:val="center"/>
          </w:tcPr>
          <w:p w14:paraId="097E6024">
            <w:pPr>
              <w:jc w:val="center"/>
              <w:rPr>
                <w:i/>
                <w:sz w:val="18"/>
                <w:szCs w:val="18"/>
              </w:rPr>
            </w:pPr>
            <w:r>
              <w:rPr>
                <w:sz w:val="18"/>
                <w:szCs w:val="18"/>
              </w:rPr>
              <w:t>1</w:t>
            </w:r>
          </w:p>
        </w:tc>
        <w:tc>
          <w:tcPr>
            <w:tcW w:w="1100" w:type="dxa"/>
            <w:vAlign w:val="center"/>
          </w:tcPr>
          <w:p w14:paraId="06438C3D">
            <w:pPr>
              <w:adjustRightInd w:val="0"/>
              <w:snapToGrid w:val="0"/>
              <w:jc w:val="center"/>
              <w:rPr>
                <w:sz w:val="18"/>
                <w:szCs w:val="18"/>
              </w:rPr>
            </w:pPr>
            <w:r>
              <w:rPr>
                <w:rFonts w:hint="eastAsia"/>
                <w:sz w:val="18"/>
                <w:szCs w:val="18"/>
              </w:rPr>
              <w:t>考试</w:t>
            </w:r>
          </w:p>
        </w:tc>
      </w:tr>
      <w:tr w14:paraId="248EC6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2" w:hRule="atLeast"/>
          <w:jc w:val="center"/>
        </w:trPr>
        <w:tc>
          <w:tcPr>
            <w:tcW w:w="571" w:type="dxa"/>
            <w:vMerge w:val="continue"/>
            <w:vAlign w:val="center"/>
          </w:tcPr>
          <w:p w14:paraId="0B5BBEB2">
            <w:pPr>
              <w:jc w:val="center"/>
              <w:rPr>
                <w:b/>
                <w:sz w:val="18"/>
                <w:szCs w:val="18"/>
              </w:rPr>
            </w:pPr>
          </w:p>
        </w:tc>
        <w:tc>
          <w:tcPr>
            <w:tcW w:w="1226" w:type="dxa"/>
            <w:vMerge w:val="continue"/>
            <w:vAlign w:val="center"/>
          </w:tcPr>
          <w:p w14:paraId="0A83110E">
            <w:pPr>
              <w:jc w:val="center"/>
              <w:rPr>
                <w:b/>
                <w:sz w:val="18"/>
                <w:szCs w:val="18"/>
              </w:rPr>
            </w:pPr>
          </w:p>
        </w:tc>
        <w:tc>
          <w:tcPr>
            <w:tcW w:w="3516" w:type="dxa"/>
            <w:shd w:val="clear" w:color="auto" w:fill="auto"/>
            <w:vAlign w:val="center"/>
          </w:tcPr>
          <w:p w14:paraId="78126700">
            <w:pPr>
              <w:adjustRightInd w:val="0"/>
              <w:snapToGrid w:val="0"/>
              <w:rPr>
                <w:sz w:val="18"/>
                <w:szCs w:val="18"/>
              </w:rPr>
            </w:pPr>
            <w:r>
              <w:rPr>
                <w:rFonts w:hint="eastAsia"/>
                <w:sz w:val="18"/>
                <w:szCs w:val="18"/>
              </w:rPr>
              <w:t>临床中药学选论</w:t>
            </w:r>
          </w:p>
        </w:tc>
        <w:tc>
          <w:tcPr>
            <w:tcW w:w="1081" w:type="dxa"/>
            <w:vAlign w:val="center"/>
          </w:tcPr>
          <w:p w14:paraId="1D9E083F">
            <w:pPr>
              <w:jc w:val="center"/>
              <w:rPr>
                <w:i/>
                <w:sz w:val="18"/>
                <w:szCs w:val="18"/>
              </w:rPr>
            </w:pPr>
            <w:r>
              <w:rPr>
                <w:rFonts w:hint="eastAsia"/>
                <w:i/>
                <w:sz w:val="18"/>
                <w:szCs w:val="18"/>
              </w:rPr>
              <w:t>ZS2505001</w:t>
            </w:r>
          </w:p>
        </w:tc>
        <w:tc>
          <w:tcPr>
            <w:tcW w:w="709" w:type="dxa"/>
            <w:vAlign w:val="center"/>
          </w:tcPr>
          <w:p w14:paraId="670E2F79">
            <w:pPr>
              <w:jc w:val="center"/>
              <w:rPr>
                <w:i/>
                <w:sz w:val="18"/>
                <w:szCs w:val="18"/>
              </w:rPr>
            </w:pPr>
            <w:r>
              <w:rPr>
                <w:rFonts w:hint="eastAsia"/>
                <w:sz w:val="18"/>
                <w:szCs w:val="18"/>
              </w:rPr>
              <w:t>1</w:t>
            </w:r>
          </w:p>
        </w:tc>
        <w:tc>
          <w:tcPr>
            <w:tcW w:w="654" w:type="dxa"/>
            <w:vAlign w:val="center"/>
          </w:tcPr>
          <w:p w14:paraId="0FF25D4F">
            <w:pPr>
              <w:jc w:val="center"/>
              <w:rPr>
                <w:i/>
                <w:sz w:val="18"/>
                <w:szCs w:val="18"/>
              </w:rPr>
            </w:pPr>
            <w:r>
              <w:rPr>
                <w:rFonts w:hint="eastAsia"/>
                <w:sz w:val="18"/>
                <w:szCs w:val="18"/>
              </w:rPr>
              <w:t>1</w:t>
            </w:r>
          </w:p>
        </w:tc>
        <w:tc>
          <w:tcPr>
            <w:tcW w:w="1100" w:type="dxa"/>
            <w:vAlign w:val="center"/>
          </w:tcPr>
          <w:p w14:paraId="324290AC">
            <w:pPr>
              <w:adjustRightInd w:val="0"/>
              <w:snapToGrid w:val="0"/>
              <w:jc w:val="center"/>
              <w:rPr>
                <w:sz w:val="18"/>
                <w:szCs w:val="18"/>
              </w:rPr>
            </w:pPr>
            <w:r>
              <w:rPr>
                <w:rFonts w:hint="eastAsia"/>
                <w:sz w:val="18"/>
                <w:szCs w:val="18"/>
              </w:rPr>
              <w:t>考查</w:t>
            </w:r>
          </w:p>
        </w:tc>
      </w:tr>
      <w:tr w14:paraId="2940A1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0B5315C9">
            <w:pPr>
              <w:jc w:val="center"/>
              <w:rPr>
                <w:b/>
                <w:sz w:val="18"/>
                <w:szCs w:val="18"/>
              </w:rPr>
            </w:pPr>
          </w:p>
        </w:tc>
        <w:tc>
          <w:tcPr>
            <w:tcW w:w="1226" w:type="dxa"/>
            <w:vMerge w:val="continue"/>
            <w:vAlign w:val="center"/>
          </w:tcPr>
          <w:p w14:paraId="378302EB">
            <w:pPr>
              <w:jc w:val="center"/>
              <w:rPr>
                <w:b/>
                <w:sz w:val="18"/>
                <w:szCs w:val="18"/>
              </w:rPr>
            </w:pPr>
          </w:p>
        </w:tc>
        <w:tc>
          <w:tcPr>
            <w:tcW w:w="3516" w:type="dxa"/>
            <w:shd w:val="clear" w:color="auto" w:fill="auto"/>
            <w:vAlign w:val="center"/>
          </w:tcPr>
          <w:p w14:paraId="24F2D0F2">
            <w:pPr>
              <w:adjustRightInd w:val="0"/>
              <w:snapToGrid w:val="0"/>
              <w:rPr>
                <w:sz w:val="18"/>
                <w:szCs w:val="18"/>
              </w:rPr>
            </w:pPr>
            <w:r>
              <w:rPr>
                <w:rFonts w:hint="eastAsia"/>
                <w:sz w:val="18"/>
                <w:szCs w:val="18"/>
              </w:rPr>
              <w:t>中药化学选论</w:t>
            </w:r>
          </w:p>
        </w:tc>
        <w:tc>
          <w:tcPr>
            <w:tcW w:w="1081" w:type="dxa"/>
            <w:vAlign w:val="center"/>
          </w:tcPr>
          <w:p w14:paraId="02D43450">
            <w:pPr>
              <w:adjustRightInd w:val="0"/>
              <w:snapToGrid w:val="0"/>
              <w:rPr>
                <w:i/>
                <w:sz w:val="18"/>
                <w:szCs w:val="18"/>
              </w:rPr>
            </w:pPr>
            <w:r>
              <w:rPr>
                <w:sz w:val="18"/>
                <w:szCs w:val="18"/>
              </w:rPr>
              <w:t>XS250</w:t>
            </w:r>
            <w:r>
              <w:rPr>
                <w:rFonts w:hint="eastAsia"/>
                <w:sz w:val="18"/>
                <w:szCs w:val="18"/>
              </w:rPr>
              <w:t>40</w:t>
            </w:r>
            <w:bookmarkStart w:id="3" w:name="_GoBack"/>
            <w:bookmarkEnd w:id="3"/>
            <w:r>
              <w:rPr>
                <w:sz w:val="18"/>
                <w:szCs w:val="18"/>
              </w:rPr>
              <w:t>0</w:t>
            </w:r>
            <w:r>
              <w:rPr>
                <w:rFonts w:hint="eastAsia"/>
                <w:sz w:val="18"/>
                <w:szCs w:val="18"/>
              </w:rPr>
              <w:t>7</w:t>
            </w:r>
          </w:p>
        </w:tc>
        <w:tc>
          <w:tcPr>
            <w:tcW w:w="709" w:type="dxa"/>
            <w:vAlign w:val="center"/>
          </w:tcPr>
          <w:p w14:paraId="6EBE197B">
            <w:pPr>
              <w:adjustRightInd w:val="0"/>
              <w:snapToGrid w:val="0"/>
              <w:jc w:val="center"/>
              <w:rPr>
                <w:i/>
                <w:sz w:val="18"/>
                <w:szCs w:val="18"/>
              </w:rPr>
            </w:pPr>
            <w:r>
              <w:rPr>
                <w:rFonts w:hint="eastAsia"/>
                <w:sz w:val="18"/>
                <w:szCs w:val="18"/>
              </w:rPr>
              <w:t>2</w:t>
            </w:r>
          </w:p>
        </w:tc>
        <w:tc>
          <w:tcPr>
            <w:tcW w:w="654" w:type="dxa"/>
            <w:vAlign w:val="center"/>
          </w:tcPr>
          <w:p w14:paraId="3F04D358">
            <w:pPr>
              <w:adjustRightInd w:val="0"/>
              <w:snapToGrid w:val="0"/>
              <w:jc w:val="center"/>
              <w:rPr>
                <w:i/>
                <w:sz w:val="18"/>
                <w:szCs w:val="18"/>
              </w:rPr>
            </w:pPr>
            <w:r>
              <w:rPr>
                <w:sz w:val="18"/>
                <w:szCs w:val="18"/>
              </w:rPr>
              <w:t>1</w:t>
            </w:r>
          </w:p>
        </w:tc>
        <w:tc>
          <w:tcPr>
            <w:tcW w:w="1100" w:type="dxa"/>
            <w:vAlign w:val="center"/>
          </w:tcPr>
          <w:p w14:paraId="1212B74A">
            <w:pPr>
              <w:adjustRightInd w:val="0"/>
              <w:snapToGrid w:val="0"/>
              <w:jc w:val="center"/>
              <w:rPr>
                <w:i/>
                <w:sz w:val="18"/>
                <w:szCs w:val="18"/>
              </w:rPr>
            </w:pPr>
            <w:r>
              <w:rPr>
                <w:rFonts w:hint="eastAsia"/>
                <w:sz w:val="18"/>
                <w:szCs w:val="18"/>
              </w:rPr>
              <w:t>考查</w:t>
            </w:r>
          </w:p>
        </w:tc>
      </w:tr>
      <w:tr w14:paraId="752FFF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7A5ED312">
            <w:pPr>
              <w:jc w:val="center"/>
              <w:rPr>
                <w:b/>
                <w:sz w:val="18"/>
                <w:szCs w:val="18"/>
              </w:rPr>
            </w:pPr>
          </w:p>
        </w:tc>
        <w:tc>
          <w:tcPr>
            <w:tcW w:w="1226" w:type="dxa"/>
            <w:vMerge w:val="restart"/>
            <w:vAlign w:val="center"/>
          </w:tcPr>
          <w:p w14:paraId="2A2A87C6">
            <w:pPr>
              <w:jc w:val="center"/>
              <w:rPr>
                <w:b/>
                <w:sz w:val="18"/>
                <w:szCs w:val="18"/>
              </w:rPr>
            </w:pPr>
            <w:r>
              <w:rPr>
                <w:b/>
                <w:sz w:val="18"/>
                <w:szCs w:val="18"/>
              </w:rPr>
              <w:t>专业必修课</w:t>
            </w:r>
          </w:p>
          <w:p w14:paraId="3CA792A4">
            <w:pPr>
              <w:jc w:val="center"/>
              <w:rPr>
                <w:b/>
                <w:sz w:val="18"/>
                <w:szCs w:val="18"/>
              </w:rPr>
            </w:pPr>
            <w:r>
              <w:rPr>
                <w:b/>
                <w:sz w:val="18"/>
                <w:szCs w:val="18"/>
              </w:rPr>
              <w:t>（</w:t>
            </w:r>
            <w:r>
              <w:rPr>
                <w:rFonts w:hint="eastAsia"/>
                <w:b/>
                <w:color w:val="EE0000"/>
                <w:sz w:val="18"/>
                <w:szCs w:val="18"/>
                <w:lang w:val="en-US" w:eastAsia="zh-CN"/>
              </w:rPr>
              <w:t>6</w:t>
            </w:r>
            <w:r>
              <w:rPr>
                <w:b/>
                <w:sz w:val="18"/>
                <w:szCs w:val="18"/>
              </w:rPr>
              <w:t>学分）</w:t>
            </w:r>
          </w:p>
        </w:tc>
        <w:tc>
          <w:tcPr>
            <w:tcW w:w="3516" w:type="dxa"/>
            <w:shd w:val="clear" w:color="auto" w:fill="auto"/>
            <w:vAlign w:val="center"/>
          </w:tcPr>
          <w:p w14:paraId="03B18402">
            <w:pPr>
              <w:adjustRightInd w:val="0"/>
              <w:snapToGrid w:val="0"/>
              <w:rPr>
                <w:sz w:val="18"/>
                <w:szCs w:val="18"/>
              </w:rPr>
            </w:pPr>
            <w:r>
              <w:rPr>
                <w:rFonts w:hint="eastAsia"/>
                <w:sz w:val="18"/>
                <w:szCs w:val="18"/>
              </w:rPr>
              <w:t>中药质量分析与评价</w:t>
            </w:r>
          </w:p>
        </w:tc>
        <w:tc>
          <w:tcPr>
            <w:tcW w:w="1081" w:type="dxa"/>
            <w:shd w:val="clear" w:color="auto" w:fill="auto"/>
            <w:vAlign w:val="center"/>
          </w:tcPr>
          <w:p w14:paraId="4C21FFD1">
            <w:pPr>
              <w:adjustRightInd w:val="0"/>
              <w:snapToGrid w:val="0"/>
              <w:rPr>
                <w:sz w:val="18"/>
                <w:szCs w:val="18"/>
              </w:rPr>
            </w:pPr>
            <w:r>
              <w:rPr>
                <w:sz w:val="18"/>
                <w:szCs w:val="18"/>
              </w:rPr>
              <w:t>XS250</w:t>
            </w:r>
            <w:r>
              <w:rPr>
                <w:rFonts w:hint="eastAsia"/>
                <w:sz w:val="18"/>
                <w:szCs w:val="18"/>
              </w:rPr>
              <w:t>40</w:t>
            </w:r>
            <w:r>
              <w:rPr>
                <w:sz w:val="18"/>
                <w:szCs w:val="18"/>
              </w:rPr>
              <w:t>0</w:t>
            </w:r>
            <w:r>
              <w:rPr>
                <w:rFonts w:hint="eastAsia"/>
                <w:sz w:val="18"/>
                <w:szCs w:val="18"/>
              </w:rPr>
              <w:t>3</w:t>
            </w:r>
          </w:p>
        </w:tc>
        <w:tc>
          <w:tcPr>
            <w:tcW w:w="709" w:type="dxa"/>
            <w:shd w:val="clear" w:color="auto" w:fill="auto"/>
            <w:vAlign w:val="center"/>
          </w:tcPr>
          <w:p w14:paraId="4F5FCC84">
            <w:pPr>
              <w:adjustRightInd w:val="0"/>
              <w:snapToGrid w:val="0"/>
              <w:jc w:val="center"/>
              <w:rPr>
                <w:sz w:val="18"/>
                <w:szCs w:val="18"/>
              </w:rPr>
            </w:pPr>
            <w:r>
              <w:rPr>
                <w:rFonts w:hint="eastAsia"/>
                <w:sz w:val="18"/>
                <w:szCs w:val="18"/>
              </w:rPr>
              <w:t>2</w:t>
            </w:r>
          </w:p>
        </w:tc>
        <w:tc>
          <w:tcPr>
            <w:tcW w:w="654" w:type="dxa"/>
            <w:shd w:val="clear" w:color="auto" w:fill="auto"/>
            <w:vAlign w:val="center"/>
          </w:tcPr>
          <w:p w14:paraId="2935CAC2">
            <w:pPr>
              <w:adjustRightInd w:val="0"/>
              <w:snapToGrid w:val="0"/>
              <w:jc w:val="center"/>
              <w:rPr>
                <w:sz w:val="18"/>
                <w:szCs w:val="18"/>
              </w:rPr>
            </w:pPr>
            <w:r>
              <w:rPr>
                <w:sz w:val="18"/>
                <w:szCs w:val="18"/>
              </w:rPr>
              <w:t>1</w:t>
            </w:r>
          </w:p>
        </w:tc>
        <w:tc>
          <w:tcPr>
            <w:tcW w:w="1100" w:type="dxa"/>
            <w:shd w:val="clear" w:color="auto" w:fill="auto"/>
            <w:vAlign w:val="center"/>
          </w:tcPr>
          <w:p w14:paraId="0FB0300C">
            <w:pPr>
              <w:adjustRightInd w:val="0"/>
              <w:snapToGrid w:val="0"/>
              <w:jc w:val="center"/>
              <w:rPr>
                <w:sz w:val="18"/>
                <w:szCs w:val="18"/>
              </w:rPr>
            </w:pPr>
            <w:r>
              <w:rPr>
                <w:rFonts w:hint="eastAsia"/>
                <w:sz w:val="18"/>
                <w:szCs w:val="18"/>
              </w:rPr>
              <w:t>考试</w:t>
            </w:r>
          </w:p>
        </w:tc>
      </w:tr>
      <w:tr w14:paraId="331E26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3AE6F39E">
            <w:pPr>
              <w:jc w:val="center"/>
              <w:rPr>
                <w:b/>
                <w:sz w:val="18"/>
                <w:szCs w:val="18"/>
              </w:rPr>
            </w:pPr>
          </w:p>
        </w:tc>
        <w:tc>
          <w:tcPr>
            <w:tcW w:w="1226" w:type="dxa"/>
            <w:vMerge w:val="continue"/>
            <w:vAlign w:val="center"/>
          </w:tcPr>
          <w:p w14:paraId="74499EDA">
            <w:pPr>
              <w:jc w:val="center"/>
              <w:rPr>
                <w:b/>
                <w:sz w:val="18"/>
                <w:szCs w:val="18"/>
              </w:rPr>
            </w:pPr>
          </w:p>
        </w:tc>
        <w:tc>
          <w:tcPr>
            <w:tcW w:w="3516" w:type="dxa"/>
            <w:shd w:val="clear" w:color="auto" w:fill="auto"/>
            <w:vAlign w:val="center"/>
          </w:tcPr>
          <w:p w14:paraId="16EC6E2F">
            <w:pPr>
              <w:adjustRightInd w:val="0"/>
              <w:snapToGrid w:val="0"/>
              <w:rPr>
                <w:sz w:val="18"/>
                <w:szCs w:val="18"/>
              </w:rPr>
            </w:pPr>
            <w:r>
              <w:rPr>
                <w:rFonts w:hint="eastAsia"/>
                <w:sz w:val="18"/>
                <w:szCs w:val="18"/>
              </w:rPr>
              <w:t>中药新药研究与开发</w:t>
            </w:r>
          </w:p>
        </w:tc>
        <w:tc>
          <w:tcPr>
            <w:tcW w:w="1081" w:type="dxa"/>
            <w:shd w:val="clear" w:color="auto" w:fill="auto"/>
            <w:vAlign w:val="center"/>
          </w:tcPr>
          <w:p w14:paraId="137DD0CE">
            <w:pPr>
              <w:adjustRightInd w:val="0"/>
              <w:snapToGrid w:val="0"/>
              <w:rPr>
                <w:sz w:val="18"/>
                <w:szCs w:val="18"/>
              </w:rPr>
            </w:pPr>
            <w:r>
              <w:rPr>
                <w:sz w:val="18"/>
                <w:szCs w:val="18"/>
              </w:rPr>
              <w:t>XS250</w:t>
            </w:r>
            <w:r>
              <w:rPr>
                <w:rFonts w:hint="eastAsia"/>
                <w:sz w:val="18"/>
                <w:szCs w:val="18"/>
              </w:rPr>
              <w:t>40</w:t>
            </w:r>
            <w:r>
              <w:rPr>
                <w:sz w:val="18"/>
                <w:szCs w:val="18"/>
              </w:rPr>
              <w:t>0</w:t>
            </w:r>
            <w:r>
              <w:rPr>
                <w:rFonts w:hint="eastAsia"/>
                <w:sz w:val="18"/>
                <w:szCs w:val="18"/>
              </w:rPr>
              <w:t>4</w:t>
            </w:r>
          </w:p>
        </w:tc>
        <w:tc>
          <w:tcPr>
            <w:tcW w:w="709" w:type="dxa"/>
            <w:shd w:val="clear" w:color="auto" w:fill="auto"/>
            <w:vAlign w:val="center"/>
          </w:tcPr>
          <w:p w14:paraId="50DD0D94">
            <w:pPr>
              <w:adjustRightInd w:val="0"/>
              <w:snapToGrid w:val="0"/>
              <w:jc w:val="center"/>
              <w:rPr>
                <w:sz w:val="18"/>
                <w:szCs w:val="18"/>
              </w:rPr>
            </w:pPr>
            <w:r>
              <w:rPr>
                <w:rFonts w:hint="eastAsia"/>
                <w:sz w:val="18"/>
                <w:szCs w:val="18"/>
              </w:rPr>
              <w:t>1</w:t>
            </w:r>
          </w:p>
        </w:tc>
        <w:tc>
          <w:tcPr>
            <w:tcW w:w="654" w:type="dxa"/>
            <w:shd w:val="clear" w:color="auto" w:fill="auto"/>
            <w:vAlign w:val="center"/>
          </w:tcPr>
          <w:p w14:paraId="1CB455D8">
            <w:pPr>
              <w:adjustRightInd w:val="0"/>
              <w:snapToGrid w:val="0"/>
              <w:jc w:val="center"/>
              <w:rPr>
                <w:sz w:val="18"/>
                <w:szCs w:val="18"/>
              </w:rPr>
            </w:pPr>
            <w:r>
              <w:rPr>
                <w:sz w:val="18"/>
                <w:szCs w:val="18"/>
              </w:rPr>
              <w:t>1</w:t>
            </w:r>
          </w:p>
        </w:tc>
        <w:tc>
          <w:tcPr>
            <w:tcW w:w="1100" w:type="dxa"/>
            <w:shd w:val="clear" w:color="auto" w:fill="auto"/>
            <w:vAlign w:val="center"/>
          </w:tcPr>
          <w:p w14:paraId="65AECCCB">
            <w:pPr>
              <w:adjustRightInd w:val="0"/>
              <w:snapToGrid w:val="0"/>
              <w:jc w:val="center"/>
              <w:rPr>
                <w:sz w:val="18"/>
                <w:szCs w:val="18"/>
              </w:rPr>
            </w:pPr>
            <w:r>
              <w:rPr>
                <w:rFonts w:hint="eastAsia"/>
                <w:sz w:val="18"/>
                <w:szCs w:val="18"/>
              </w:rPr>
              <w:t>考试</w:t>
            </w:r>
          </w:p>
        </w:tc>
      </w:tr>
      <w:tr w14:paraId="2722FE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0A75C047">
            <w:pPr>
              <w:jc w:val="center"/>
              <w:rPr>
                <w:b/>
                <w:sz w:val="18"/>
                <w:szCs w:val="18"/>
              </w:rPr>
            </w:pPr>
          </w:p>
        </w:tc>
        <w:tc>
          <w:tcPr>
            <w:tcW w:w="1226" w:type="dxa"/>
            <w:vMerge w:val="continue"/>
            <w:vAlign w:val="center"/>
          </w:tcPr>
          <w:p w14:paraId="4D88DD03">
            <w:pPr>
              <w:jc w:val="center"/>
              <w:rPr>
                <w:b/>
                <w:sz w:val="18"/>
                <w:szCs w:val="18"/>
              </w:rPr>
            </w:pPr>
          </w:p>
        </w:tc>
        <w:tc>
          <w:tcPr>
            <w:tcW w:w="3516" w:type="dxa"/>
            <w:shd w:val="clear" w:color="auto" w:fill="auto"/>
            <w:vAlign w:val="center"/>
          </w:tcPr>
          <w:p w14:paraId="31BBC1DB">
            <w:pPr>
              <w:adjustRightInd w:val="0"/>
              <w:snapToGrid w:val="0"/>
              <w:rPr>
                <w:sz w:val="18"/>
                <w:szCs w:val="18"/>
              </w:rPr>
            </w:pPr>
            <w:r>
              <w:rPr>
                <w:rFonts w:hint="eastAsia"/>
                <w:sz w:val="18"/>
                <w:szCs w:val="18"/>
              </w:rPr>
              <w:t>中药药理学专论</w:t>
            </w:r>
          </w:p>
        </w:tc>
        <w:tc>
          <w:tcPr>
            <w:tcW w:w="1081" w:type="dxa"/>
            <w:shd w:val="clear" w:color="auto" w:fill="auto"/>
            <w:vAlign w:val="center"/>
          </w:tcPr>
          <w:p w14:paraId="45BBCD63">
            <w:pPr>
              <w:adjustRightInd w:val="0"/>
              <w:snapToGrid w:val="0"/>
              <w:rPr>
                <w:sz w:val="18"/>
                <w:szCs w:val="18"/>
              </w:rPr>
            </w:pPr>
            <w:r>
              <w:rPr>
                <w:sz w:val="18"/>
                <w:szCs w:val="18"/>
              </w:rPr>
              <w:t>XS250</w:t>
            </w:r>
            <w:r>
              <w:rPr>
                <w:rFonts w:hint="eastAsia"/>
                <w:sz w:val="18"/>
                <w:szCs w:val="18"/>
              </w:rPr>
              <w:t>40</w:t>
            </w:r>
            <w:r>
              <w:rPr>
                <w:sz w:val="18"/>
                <w:szCs w:val="18"/>
              </w:rPr>
              <w:t>0</w:t>
            </w:r>
            <w:r>
              <w:rPr>
                <w:rFonts w:hint="eastAsia"/>
                <w:sz w:val="18"/>
                <w:szCs w:val="18"/>
              </w:rPr>
              <w:t>5</w:t>
            </w:r>
          </w:p>
        </w:tc>
        <w:tc>
          <w:tcPr>
            <w:tcW w:w="709" w:type="dxa"/>
            <w:shd w:val="clear" w:color="auto" w:fill="auto"/>
            <w:vAlign w:val="center"/>
          </w:tcPr>
          <w:p w14:paraId="47986E17">
            <w:pPr>
              <w:adjustRightInd w:val="0"/>
              <w:snapToGrid w:val="0"/>
              <w:jc w:val="center"/>
              <w:rPr>
                <w:sz w:val="18"/>
                <w:szCs w:val="18"/>
              </w:rPr>
            </w:pPr>
            <w:r>
              <w:rPr>
                <w:rFonts w:hint="eastAsia"/>
                <w:sz w:val="18"/>
                <w:szCs w:val="18"/>
              </w:rPr>
              <w:t>2</w:t>
            </w:r>
          </w:p>
        </w:tc>
        <w:tc>
          <w:tcPr>
            <w:tcW w:w="654" w:type="dxa"/>
            <w:shd w:val="clear" w:color="auto" w:fill="auto"/>
            <w:vAlign w:val="center"/>
          </w:tcPr>
          <w:p w14:paraId="4E0C005F">
            <w:pPr>
              <w:adjustRightInd w:val="0"/>
              <w:snapToGrid w:val="0"/>
              <w:jc w:val="center"/>
              <w:rPr>
                <w:sz w:val="18"/>
                <w:szCs w:val="18"/>
              </w:rPr>
            </w:pPr>
            <w:r>
              <w:rPr>
                <w:sz w:val="18"/>
                <w:szCs w:val="18"/>
              </w:rPr>
              <w:t>1</w:t>
            </w:r>
          </w:p>
        </w:tc>
        <w:tc>
          <w:tcPr>
            <w:tcW w:w="1100" w:type="dxa"/>
            <w:shd w:val="clear" w:color="auto" w:fill="auto"/>
            <w:vAlign w:val="center"/>
          </w:tcPr>
          <w:p w14:paraId="45C863BB">
            <w:pPr>
              <w:adjustRightInd w:val="0"/>
              <w:snapToGrid w:val="0"/>
              <w:jc w:val="center"/>
              <w:rPr>
                <w:sz w:val="18"/>
                <w:szCs w:val="18"/>
              </w:rPr>
            </w:pPr>
            <w:r>
              <w:rPr>
                <w:rFonts w:hint="eastAsia"/>
                <w:sz w:val="18"/>
                <w:szCs w:val="18"/>
              </w:rPr>
              <w:t>考查</w:t>
            </w:r>
          </w:p>
        </w:tc>
      </w:tr>
      <w:tr w14:paraId="0966DD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13C5C991">
            <w:pPr>
              <w:jc w:val="center"/>
              <w:rPr>
                <w:b/>
                <w:sz w:val="18"/>
                <w:szCs w:val="18"/>
              </w:rPr>
            </w:pPr>
          </w:p>
        </w:tc>
        <w:tc>
          <w:tcPr>
            <w:tcW w:w="1226" w:type="dxa"/>
            <w:vMerge w:val="continue"/>
            <w:vAlign w:val="center"/>
          </w:tcPr>
          <w:p w14:paraId="121B725C">
            <w:pPr>
              <w:jc w:val="center"/>
              <w:rPr>
                <w:b/>
                <w:sz w:val="18"/>
                <w:szCs w:val="18"/>
              </w:rPr>
            </w:pPr>
          </w:p>
        </w:tc>
        <w:tc>
          <w:tcPr>
            <w:tcW w:w="3516" w:type="dxa"/>
            <w:shd w:val="clear" w:color="auto" w:fill="auto"/>
            <w:vAlign w:val="center"/>
          </w:tcPr>
          <w:p w14:paraId="388CB7E0">
            <w:pPr>
              <w:adjustRightInd w:val="0"/>
              <w:snapToGrid w:val="0"/>
              <w:rPr>
                <w:sz w:val="18"/>
                <w:szCs w:val="18"/>
              </w:rPr>
            </w:pPr>
            <w:r>
              <w:rPr>
                <w:rFonts w:hint="eastAsia"/>
                <w:sz w:val="18"/>
                <w:szCs w:val="18"/>
              </w:rPr>
              <w:t>中药资源学选论</w:t>
            </w:r>
          </w:p>
        </w:tc>
        <w:tc>
          <w:tcPr>
            <w:tcW w:w="1081" w:type="dxa"/>
            <w:shd w:val="clear" w:color="auto" w:fill="auto"/>
            <w:vAlign w:val="center"/>
          </w:tcPr>
          <w:p w14:paraId="71FE16D0">
            <w:pPr>
              <w:adjustRightInd w:val="0"/>
              <w:snapToGrid w:val="0"/>
              <w:rPr>
                <w:sz w:val="18"/>
                <w:szCs w:val="18"/>
              </w:rPr>
            </w:pPr>
            <w:r>
              <w:rPr>
                <w:sz w:val="18"/>
                <w:szCs w:val="18"/>
              </w:rPr>
              <w:t>XS250</w:t>
            </w:r>
            <w:r>
              <w:rPr>
                <w:rFonts w:hint="eastAsia"/>
                <w:sz w:val="18"/>
                <w:szCs w:val="18"/>
              </w:rPr>
              <w:t>40</w:t>
            </w:r>
            <w:r>
              <w:rPr>
                <w:sz w:val="18"/>
                <w:szCs w:val="18"/>
              </w:rPr>
              <w:t>0</w:t>
            </w:r>
            <w:r>
              <w:rPr>
                <w:rFonts w:hint="eastAsia"/>
                <w:sz w:val="18"/>
                <w:szCs w:val="18"/>
              </w:rPr>
              <w:t>6</w:t>
            </w:r>
          </w:p>
        </w:tc>
        <w:tc>
          <w:tcPr>
            <w:tcW w:w="709" w:type="dxa"/>
            <w:shd w:val="clear" w:color="auto" w:fill="auto"/>
            <w:vAlign w:val="center"/>
          </w:tcPr>
          <w:p w14:paraId="3EC0F58B">
            <w:pPr>
              <w:adjustRightInd w:val="0"/>
              <w:snapToGrid w:val="0"/>
              <w:jc w:val="center"/>
              <w:rPr>
                <w:sz w:val="18"/>
                <w:szCs w:val="18"/>
              </w:rPr>
            </w:pPr>
            <w:r>
              <w:rPr>
                <w:sz w:val="18"/>
                <w:szCs w:val="18"/>
              </w:rPr>
              <w:t>1</w:t>
            </w:r>
          </w:p>
        </w:tc>
        <w:tc>
          <w:tcPr>
            <w:tcW w:w="654" w:type="dxa"/>
            <w:shd w:val="clear" w:color="auto" w:fill="auto"/>
            <w:vAlign w:val="center"/>
          </w:tcPr>
          <w:p w14:paraId="413C92C1">
            <w:pPr>
              <w:adjustRightInd w:val="0"/>
              <w:snapToGrid w:val="0"/>
              <w:jc w:val="center"/>
              <w:rPr>
                <w:sz w:val="18"/>
                <w:szCs w:val="18"/>
              </w:rPr>
            </w:pPr>
            <w:r>
              <w:rPr>
                <w:sz w:val="18"/>
                <w:szCs w:val="18"/>
              </w:rPr>
              <w:t>1</w:t>
            </w:r>
          </w:p>
        </w:tc>
        <w:tc>
          <w:tcPr>
            <w:tcW w:w="1100" w:type="dxa"/>
            <w:shd w:val="clear" w:color="auto" w:fill="auto"/>
            <w:vAlign w:val="center"/>
          </w:tcPr>
          <w:p w14:paraId="7AF3B8C3">
            <w:pPr>
              <w:adjustRightInd w:val="0"/>
              <w:snapToGrid w:val="0"/>
              <w:jc w:val="center"/>
              <w:rPr>
                <w:sz w:val="18"/>
                <w:szCs w:val="18"/>
              </w:rPr>
            </w:pPr>
            <w:r>
              <w:rPr>
                <w:rFonts w:hint="eastAsia"/>
                <w:sz w:val="18"/>
                <w:szCs w:val="18"/>
              </w:rPr>
              <w:t>考查</w:t>
            </w:r>
          </w:p>
        </w:tc>
      </w:tr>
      <w:tr w14:paraId="22BD6A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18FBAD8C">
            <w:pPr>
              <w:jc w:val="center"/>
              <w:rPr>
                <w:b/>
                <w:sz w:val="18"/>
                <w:szCs w:val="18"/>
              </w:rPr>
            </w:pPr>
          </w:p>
        </w:tc>
        <w:tc>
          <w:tcPr>
            <w:tcW w:w="1226" w:type="dxa"/>
            <w:vMerge w:val="continue"/>
            <w:vAlign w:val="center"/>
          </w:tcPr>
          <w:p w14:paraId="42732D42">
            <w:pPr>
              <w:jc w:val="center"/>
              <w:rPr>
                <w:b/>
                <w:sz w:val="18"/>
                <w:szCs w:val="18"/>
              </w:rPr>
            </w:pPr>
          </w:p>
        </w:tc>
        <w:tc>
          <w:tcPr>
            <w:tcW w:w="3516" w:type="dxa"/>
            <w:shd w:val="clear" w:color="auto" w:fill="auto"/>
            <w:vAlign w:val="center"/>
          </w:tcPr>
          <w:p w14:paraId="71FE2DE3">
            <w:pPr>
              <w:adjustRightInd w:val="0"/>
              <w:snapToGrid w:val="0"/>
              <w:rPr>
                <w:sz w:val="18"/>
                <w:szCs w:val="18"/>
              </w:rPr>
            </w:pPr>
            <w:r>
              <w:rPr>
                <w:rFonts w:hint="eastAsia"/>
                <w:sz w:val="18"/>
                <w:szCs w:val="18"/>
              </w:rPr>
              <w:t>实验室安全教育</w:t>
            </w:r>
          </w:p>
        </w:tc>
        <w:tc>
          <w:tcPr>
            <w:tcW w:w="1081" w:type="dxa"/>
            <w:shd w:val="clear" w:color="auto" w:fill="auto"/>
            <w:vAlign w:val="center"/>
          </w:tcPr>
          <w:p w14:paraId="56EA40FD">
            <w:pPr>
              <w:adjustRightInd w:val="0"/>
              <w:snapToGrid w:val="0"/>
              <w:rPr>
                <w:sz w:val="18"/>
                <w:szCs w:val="18"/>
              </w:rPr>
            </w:pPr>
            <w:r>
              <w:rPr>
                <w:sz w:val="18"/>
                <w:szCs w:val="18"/>
              </w:rPr>
              <w:t>XS250</w:t>
            </w:r>
            <w:r>
              <w:rPr>
                <w:rFonts w:hint="eastAsia"/>
                <w:sz w:val="18"/>
                <w:szCs w:val="18"/>
              </w:rPr>
              <w:t>40</w:t>
            </w:r>
            <w:r>
              <w:rPr>
                <w:sz w:val="18"/>
                <w:szCs w:val="18"/>
              </w:rPr>
              <w:t>0</w:t>
            </w:r>
            <w:r>
              <w:rPr>
                <w:rFonts w:hint="eastAsia"/>
                <w:sz w:val="18"/>
                <w:szCs w:val="18"/>
              </w:rPr>
              <w:t>8</w:t>
            </w:r>
          </w:p>
        </w:tc>
        <w:tc>
          <w:tcPr>
            <w:tcW w:w="709" w:type="dxa"/>
            <w:shd w:val="clear" w:color="auto" w:fill="auto"/>
            <w:vAlign w:val="center"/>
          </w:tcPr>
          <w:p w14:paraId="41C91811">
            <w:pPr>
              <w:adjustRightInd w:val="0"/>
              <w:snapToGrid w:val="0"/>
              <w:jc w:val="center"/>
              <w:rPr>
                <w:sz w:val="18"/>
                <w:szCs w:val="18"/>
              </w:rPr>
            </w:pPr>
            <w:r>
              <w:rPr>
                <w:sz w:val="18"/>
                <w:szCs w:val="18"/>
              </w:rPr>
              <w:t>1</w:t>
            </w:r>
          </w:p>
        </w:tc>
        <w:tc>
          <w:tcPr>
            <w:tcW w:w="654" w:type="dxa"/>
            <w:shd w:val="clear" w:color="auto" w:fill="auto"/>
            <w:vAlign w:val="center"/>
          </w:tcPr>
          <w:p w14:paraId="23655CA7">
            <w:pPr>
              <w:adjustRightInd w:val="0"/>
              <w:snapToGrid w:val="0"/>
              <w:jc w:val="center"/>
              <w:rPr>
                <w:sz w:val="18"/>
                <w:szCs w:val="18"/>
              </w:rPr>
            </w:pPr>
            <w:r>
              <w:rPr>
                <w:rFonts w:hint="eastAsia"/>
                <w:sz w:val="18"/>
                <w:szCs w:val="18"/>
              </w:rPr>
              <w:t>1</w:t>
            </w:r>
          </w:p>
        </w:tc>
        <w:tc>
          <w:tcPr>
            <w:tcW w:w="1100" w:type="dxa"/>
            <w:shd w:val="clear" w:color="auto" w:fill="auto"/>
            <w:vAlign w:val="center"/>
          </w:tcPr>
          <w:p w14:paraId="06690EF0">
            <w:pPr>
              <w:adjustRightInd w:val="0"/>
              <w:snapToGrid w:val="0"/>
              <w:jc w:val="center"/>
              <w:rPr>
                <w:sz w:val="18"/>
                <w:szCs w:val="18"/>
              </w:rPr>
            </w:pPr>
            <w:r>
              <w:rPr>
                <w:rFonts w:hint="eastAsia"/>
                <w:sz w:val="18"/>
                <w:szCs w:val="18"/>
              </w:rPr>
              <w:t>考查</w:t>
            </w:r>
          </w:p>
        </w:tc>
      </w:tr>
      <w:tr w14:paraId="2470DA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8" w:hRule="atLeast"/>
          <w:jc w:val="center"/>
        </w:trPr>
        <w:tc>
          <w:tcPr>
            <w:tcW w:w="571" w:type="dxa"/>
            <w:vMerge w:val="restart"/>
            <w:vAlign w:val="center"/>
          </w:tcPr>
          <w:p w14:paraId="5E972EA6">
            <w:pPr>
              <w:jc w:val="center"/>
              <w:rPr>
                <w:b/>
                <w:sz w:val="18"/>
                <w:szCs w:val="18"/>
              </w:rPr>
            </w:pPr>
            <w:r>
              <w:rPr>
                <w:b/>
                <w:sz w:val="18"/>
                <w:szCs w:val="18"/>
              </w:rPr>
              <w:t>非学位课</w:t>
            </w:r>
          </w:p>
        </w:tc>
        <w:tc>
          <w:tcPr>
            <w:tcW w:w="1226" w:type="dxa"/>
            <w:vMerge w:val="restart"/>
            <w:vAlign w:val="center"/>
          </w:tcPr>
          <w:p w14:paraId="68E58CFD">
            <w:pPr>
              <w:jc w:val="center"/>
              <w:rPr>
                <w:b/>
                <w:sz w:val="18"/>
                <w:szCs w:val="18"/>
              </w:rPr>
            </w:pPr>
            <w:r>
              <w:rPr>
                <w:b/>
                <w:sz w:val="18"/>
                <w:szCs w:val="18"/>
              </w:rPr>
              <w:t>公共通识课</w:t>
            </w:r>
          </w:p>
          <w:p w14:paraId="495EBB53">
            <w:pPr>
              <w:jc w:val="center"/>
              <w:rPr>
                <w:b/>
                <w:sz w:val="18"/>
                <w:szCs w:val="18"/>
              </w:rPr>
            </w:pPr>
            <w:r>
              <w:rPr>
                <w:b/>
                <w:sz w:val="18"/>
                <w:szCs w:val="18"/>
              </w:rPr>
              <w:t>（2学分）</w:t>
            </w:r>
          </w:p>
        </w:tc>
        <w:tc>
          <w:tcPr>
            <w:tcW w:w="3516" w:type="dxa"/>
            <w:vAlign w:val="center"/>
          </w:tcPr>
          <w:p w14:paraId="52452AD4">
            <w:pPr>
              <w:rPr>
                <w:sz w:val="18"/>
                <w:szCs w:val="18"/>
              </w:rPr>
            </w:pPr>
            <w:r>
              <w:rPr>
                <w:sz w:val="18"/>
                <w:szCs w:val="18"/>
              </w:rPr>
              <w:t>《习近平谈治国理政》研读</w:t>
            </w:r>
          </w:p>
        </w:tc>
        <w:tc>
          <w:tcPr>
            <w:tcW w:w="1081" w:type="dxa"/>
            <w:vAlign w:val="center"/>
          </w:tcPr>
          <w:p w14:paraId="4288F263">
            <w:pPr>
              <w:jc w:val="center"/>
              <w:rPr>
                <w:sz w:val="18"/>
                <w:szCs w:val="18"/>
              </w:rPr>
            </w:pPr>
            <w:r>
              <w:rPr>
                <w:sz w:val="18"/>
                <w:szCs w:val="18"/>
              </w:rPr>
              <w:t>TT0000101</w:t>
            </w:r>
          </w:p>
        </w:tc>
        <w:tc>
          <w:tcPr>
            <w:tcW w:w="709" w:type="dxa"/>
            <w:vAlign w:val="center"/>
          </w:tcPr>
          <w:p w14:paraId="1AC7A4F9">
            <w:pPr>
              <w:jc w:val="center"/>
              <w:rPr>
                <w:sz w:val="18"/>
                <w:szCs w:val="18"/>
              </w:rPr>
            </w:pPr>
            <w:r>
              <w:rPr>
                <w:sz w:val="18"/>
                <w:szCs w:val="18"/>
              </w:rPr>
              <w:t>1</w:t>
            </w:r>
          </w:p>
        </w:tc>
        <w:tc>
          <w:tcPr>
            <w:tcW w:w="654" w:type="dxa"/>
            <w:vAlign w:val="center"/>
          </w:tcPr>
          <w:p w14:paraId="7810923C">
            <w:pPr>
              <w:jc w:val="center"/>
              <w:rPr>
                <w:sz w:val="18"/>
                <w:szCs w:val="18"/>
              </w:rPr>
            </w:pPr>
            <w:r>
              <w:rPr>
                <w:sz w:val="18"/>
                <w:szCs w:val="18"/>
              </w:rPr>
              <w:t>2</w:t>
            </w:r>
          </w:p>
        </w:tc>
        <w:tc>
          <w:tcPr>
            <w:tcW w:w="1100" w:type="dxa"/>
            <w:vAlign w:val="center"/>
          </w:tcPr>
          <w:p w14:paraId="2EC70754">
            <w:pPr>
              <w:jc w:val="center"/>
              <w:rPr>
                <w:sz w:val="18"/>
                <w:szCs w:val="18"/>
              </w:rPr>
            </w:pPr>
            <w:r>
              <w:rPr>
                <w:sz w:val="18"/>
                <w:szCs w:val="18"/>
              </w:rPr>
              <w:t>考查</w:t>
            </w:r>
          </w:p>
        </w:tc>
      </w:tr>
      <w:tr w14:paraId="0718B5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1FC70ABC">
            <w:pPr>
              <w:jc w:val="center"/>
              <w:rPr>
                <w:b/>
                <w:sz w:val="18"/>
                <w:szCs w:val="18"/>
              </w:rPr>
            </w:pPr>
          </w:p>
        </w:tc>
        <w:tc>
          <w:tcPr>
            <w:tcW w:w="1226" w:type="dxa"/>
            <w:vMerge w:val="continue"/>
            <w:vAlign w:val="center"/>
          </w:tcPr>
          <w:p w14:paraId="31F391A9">
            <w:pPr>
              <w:jc w:val="center"/>
              <w:rPr>
                <w:b/>
                <w:sz w:val="18"/>
                <w:szCs w:val="18"/>
              </w:rPr>
            </w:pPr>
          </w:p>
        </w:tc>
        <w:tc>
          <w:tcPr>
            <w:tcW w:w="3516" w:type="dxa"/>
            <w:vAlign w:val="center"/>
          </w:tcPr>
          <w:p w14:paraId="6827BF2F">
            <w:pPr>
              <w:adjustRightInd w:val="0"/>
              <w:rPr>
                <w:sz w:val="18"/>
                <w:szCs w:val="18"/>
              </w:rPr>
            </w:pPr>
            <w:r>
              <w:rPr>
                <w:sz w:val="18"/>
                <w:szCs w:val="18"/>
              </w:rPr>
              <w:t>自然辩证法概论</w:t>
            </w:r>
          </w:p>
        </w:tc>
        <w:tc>
          <w:tcPr>
            <w:tcW w:w="1081" w:type="dxa"/>
            <w:vAlign w:val="center"/>
          </w:tcPr>
          <w:p w14:paraId="57DE5027">
            <w:pPr>
              <w:jc w:val="center"/>
              <w:rPr>
                <w:sz w:val="18"/>
                <w:szCs w:val="18"/>
              </w:rPr>
            </w:pPr>
            <w:r>
              <w:rPr>
                <w:sz w:val="18"/>
                <w:szCs w:val="18"/>
              </w:rPr>
              <w:t>TS0000102</w:t>
            </w:r>
          </w:p>
        </w:tc>
        <w:tc>
          <w:tcPr>
            <w:tcW w:w="709" w:type="dxa"/>
            <w:vAlign w:val="center"/>
          </w:tcPr>
          <w:p w14:paraId="06B5DF75">
            <w:pPr>
              <w:jc w:val="center"/>
              <w:rPr>
                <w:sz w:val="18"/>
                <w:szCs w:val="18"/>
              </w:rPr>
            </w:pPr>
            <w:r>
              <w:rPr>
                <w:sz w:val="18"/>
                <w:szCs w:val="18"/>
              </w:rPr>
              <w:t>1</w:t>
            </w:r>
          </w:p>
        </w:tc>
        <w:tc>
          <w:tcPr>
            <w:tcW w:w="654" w:type="dxa"/>
            <w:vAlign w:val="center"/>
          </w:tcPr>
          <w:p w14:paraId="0A4A4594">
            <w:pPr>
              <w:jc w:val="center"/>
              <w:rPr>
                <w:sz w:val="18"/>
                <w:szCs w:val="18"/>
              </w:rPr>
            </w:pPr>
            <w:r>
              <w:rPr>
                <w:sz w:val="18"/>
                <w:szCs w:val="18"/>
              </w:rPr>
              <w:t>2</w:t>
            </w:r>
          </w:p>
        </w:tc>
        <w:tc>
          <w:tcPr>
            <w:tcW w:w="1100" w:type="dxa"/>
            <w:vAlign w:val="center"/>
          </w:tcPr>
          <w:p w14:paraId="5E5BE979">
            <w:pPr>
              <w:jc w:val="center"/>
              <w:rPr>
                <w:sz w:val="18"/>
                <w:szCs w:val="18"/>
              </w:rPr>
            </w:pPr>
            <w:r>
              <w:rPr>
                <w:sz w:val="18"/>
                <w:szCs w:val="18"/>
              </w:rPr>
              <w:t>考查</w:t>
            </w:r>
          </w:p>
        </w:tc>
      </w:tr>
      <w:tr w14:paraId="511268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59F12058">
            <w:pPr>
              <w:rPr>
                <w:b/>
                <w:sz w:val="18"/>
                <w:szCs w:val="18"/>
              </w:rPr>
            </w:pPr>
          </w:p>
        </w:tc>
        <w:tc>
          <w:tcPr>
            <w:tcW w:w="1226" w:type="dxa"/>
            <w:vMerge w:val="restart"/>
            <w:vAlign w:val="center"/>
          </w:tcPr>
          <w:p w14:paraId="7EF43ED2">
            <w:pPr>
              <w:adjustRightInd w:val="0"/>
              <w:snapToGrid w:val="0"/>
              <w:jc w:val="center"/>
              <w:rPr>
                <w:b/>
                <w:sz w:val="18"/>
                <w:szCs w:val="18"/>
              </w:rPr>
            </w:pPr>
            <w:r>
              <w:rPr>
                <w:rFonts w:hint="eastAsia"/>
                <w:b/>
                <w:sz w:val="18"/>
                <w:szCs w:val="18"/>
              </w:rPr>
              <w:t>选修课</w:t>
            </w:r>
          </w:p>
          <w:p w14:paraId="78C3B950">
            <w:pPr>
              <w:adjustRightInd w:val="0"/>
              <w:snapToGrid w:val="0"/>
              <w:jc w:val="center"/>
              <w:rPr>
                <w:b/>
                <w:sz w:val="18"/>
                <w:szCs w:val="18"/>
              </w:rPr>
            </w:pPr>
            <w:r>
              <w:rPr>
                <w:b/>
                <w:sz w:val="18"/>
                <w:szCs w:val="18"/>
              </w:rPr>
              <w:t>（≥</w:t>
            </w:r>
            <w:r>
              <w:rPr>
                <w:rFonts w:hint="eastAsia"/>
                <w:b/>
                <w:color w:val="000000" w:themeColor="text1"/>
                <w:sz w:val="18"/>
                <w:szCs w:val="18"/>
                <w14:textFill>
                  <w14:solidFill>
                    <w14:schemeClr w14:val="tx1"/>
                  </w14:solidFill>
                </w14:textFill>
              </w:rPr>
              <w:t>4</w:t>
            </w:r>
            <w:r>
              <w:rPr>
                <w:b/>
                <w:sz w:val="18"/>
                <w:szCs w:val="18"/>
              </w:rPr>
              <w:t>学分）</w:t>
            </w:r>
          </w:p>
        </w:tc>
        <w:tc>
          <w:tcPr>
            <w:tcW w:w="3516" w:type="dxa"/>
            <w:shd w:val="clear" w:color="auto" w:fill="auto"/>
            <w:vAlign w:val="center"/>
          </w:tcPr>
          <w:p w14:paraId="7F4BEE7F">
            <w:pPr>
              <w:adjustRightInd w:val="0"/>
              <w:snapToGrid w:val="0"/>
              <w:rPr>
                <w:sz w:val="18"/>
                <w:szCs w:val="18"/>
              </w:rPr>
            </w:pPr>
            <w:r>
              <w:rPr>
                <w:sz w:val="18"/>
                <w:szCs w:val="18"/>
              </w:rPr>
              <w:t>仪器分析专论</w:t>
            </w:r>
          </w:p>
        </w:tc>
        <w:tc>
          <w:tcPr>
            <w:tcW w:w="1081" w:type="dxa"/>
            <w:shd w:val="clear" w:color="auto" w:fill="auto"/>
            <w:vAlign w:val="center"/>
          </w:tcPr>
          <w:p w14:paraId="52B8ED37">
            <w:pPr>
              <w:adjustRightInd w:val="0"/>
              <w:snapToGrid w:val="0"/>
              <w:rPr>
                <w:sz w:val="18"/>
                <w:szCs w:val="18"/>
              </w:rPr>
            </w:pPr>
            <w:r>
              <w:rPr>
                <w:sz w:val="18"/>
                <w:szCs w:val="18"/>
              </w:rPr>
              <w:t>XS250</w:t>
            </w:r>
            <w:r>
              <w:rPr>
                <w:rFonts w:hint="eastAsia"/>
                <w:sz w:val="18"/>
                <w:szCs w:val="18"/>
              </w:rPr>
              <w:t>4</w:t>
            </w:r>
            <w:r>
              <w:rPr>
                <w:sz w:val="18"/>
                <w:szCs w:val="18"/>
              </w:rPr>
              <w:t>20</w:t>
            </w:r>
            <w:r>
              <w:rPr>
                <w:rFonts w:hint="eastAsia"/>
                <w:sz w:val="18"/>
                <w:szCs w:val="18"/>
              </w:rPr>
              <w:t>1</w:t>
            </w:r>
          </w:p>
        </w:tc>
        <w:tc>
          <w:tcPr>
            <w:tcW w:w="709" w:type="dxa"/>
            <w:shd w:val="clear" w:color="auto" w:fill="auto"/>
            <w:vAlign w:val="center"/>
          </w:tcPr>
          <w:p w14:paraId="4B1BE68D">
            <w:pPr>
              <w:adjustRightInd w:val="0"/>
              <w:snapToGrid w:val="0"/>
              <w:jc w:val="center"/>
              <w:rPr>
                <w:sz w:val="18"/>
                <w:szCs w:val="18"/>
              </w:rPr>
            </w:pPr>
            <w:r>
              <w:rPr>
                <w:sz w:val="18"/>
                <w:szCs w:val="18"/>
              </w:rPr>
              <w:t>1</w:t>
            </w:r>
          </w:p>
        </w:tc>
        <w:tc>
          <w:tcPr>
            <w:tcW w:w="654" w:type="dxa"/>
            <w:shd w:val="clear" w:color="auto" w:fill="auto"/>
            <w:vAlign w:val="center"/>
          </w:tcPr>
          <w:p w14:paraId="78D747BE">
            <w:pPr>
              <w:adjustRightInd w:val="0"/>
              <w:snapToGrid w:val="0"/>
              <w:jc w:val="center"/>
              <w:rPr>
                <w:sz w:val="18"/>
                <w:szCs w:val="18"/>
              </w:rPr>
            </w:pPr>
            <w:r>
              <w:rPr>
                <w:sz w:val="18"/>
                <w:szCs w:val="18"/>
              </w:rPr>
              <w:t>1</w:t>
            </w:r>
          </w:p>
        </w:tc>
        <w:tc>
          <w:tcPr>
            <w:tcW w:w="1100" w:type="dxa"/>
            <w:shd w:val="clear" w:color="auto" w:fill="auto"/>
            <w:vAlign w:val="center"/>
          </w:tcPr>
          <w:p w14:paraId="0FAE521E">
            <w:pPr>
              <w:adjustRightInd w:val="0"/>
              <w:snapToGrid w:val="0"/>
              <w:jc w:val="center"/>
              <w:rPr>
                <w:sz w:val="18"/>
                <w:szCs w:val="18"/>
              </w:rPr>
            </w:pPr>
            <w:r>
              <w:rPr>
                <w:sz w:val="18"/>
                <w:szCs w:val="18"/>
              </w:rPr>
              <w:t>考查</w:t>
            </w:r>
          </w:p>
        </w:tc>
      </w:tr>
      <w:tr w14:paraId="157E22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50AC0D85">
            <w:pPr>
              <w:rPr>
                <w:b/>
                <w:sz w:val="18"/>
                <w:szCs w:val="18"/>
              </w:rPr>
            </w:pPr>
          </w:p>
        </w:tc>
        <w:tc>
          <w:tcPr>
            <w:tcW w:w="1226" w:type="dxa"/>
            <w:vMerge w:val="continue"/>
            <w:vAlign w:val="center"/>
          </w:tcPr>
          <w:p w14:paraId="2BBBAC1F">
            <w:pPr>
              <w:adjustRightInd w:val="0"/>
              <w:snapToGrid w:val="0"/>
              <w:jc w:val="center"/>
              <w:rPr>
                <w:b/>
                <w:sz w:val="18"/>
                <w:szCs w:val="18"/>
              </w:rPr>
            </w:pPr>
          </w:p>
        </w:tc>
        <w:tc>
          <w:tcPr>
            <w:tcW w:w="3516" w:type="dxa"/>
            <w:shd w:val="clear" w:color="auto" w:fill="auto"/>
            <w:vAlign w:val="center"/>
          </w:tcPr>
          <w:p w14:paraId="0C08DA77">
            <w:pPr>
              <w:adjustRightInd w:val="0"/>
              <w:snapToGrid w:val="0"/>
              <w:rPr>
                <w:sz w:val="18"/>
                <w:szCs w:val="18"/>
              </w:rPr>
            </w:pPr>
            <w:r>
              <w:rPr>
                <w:sz w:val="18"/>
                <w:szCs w:val="18"/>
              </w:rPr>
              <w:t>医学科研方法学</w:t>
            </w:r>
          </w:p>
        </w:tc>
        <w:tc>
          <w:tcPr>
            <w:tcW w:w="1081" w:type="dxa"/>
            <w:shd w:val="clear" w:color="auto" w:fill="auto"/>
            <w:vAlign w:val="center"/>
          </w:tcPr>
          <w:p w14:paraId="112C1A43">
            <w:pPr>
              <w:adjustRightInd w:val="0"/>
              <w:snapToGrid w:val="0"/>
              <w:rPr>
                <w:sz w:val="18"/>
                <w:szCs w:val="18"/>
              </w:rPr>
            </w:pPr>
            <w:r>
              <w:rPr>
                <w:sz w:val="18"/>
                <w:szCs w:val="18"/>
              </w:rPr>
              <w:t>XS250</w:t>
            </w:r>
            <w:r>
              <w:rPr>
                <w:rFonts w:hint="eastAsia"/>
                <w:sz w:val="18"/>
                <w:szCs w:val="18"/>
              </w:rPr>
              <w:t>4</w:t>
            </w:r>
            <w:r>
              <w:rPr>
                <w:sz w:val="18"/>
                <w:szCs w:val="18"/>
              </w:rPr>
              <w:t>20</w:t>
            </w:r>
            <w:r>
              <w:rPr>
                <w:rFonts w:hint="eastAsia"/>
                <w:sz w:val="18"/>
                <w:szCs w:val="18"/>
              </w:rPr>
              <w:t>2</w:t>
            </w:r>
          </w:p>
        </w:tc>
        <w:tc>
          <w:tcPr>
            <w:tcW w:w="709" w:type="dxa"/>
            <w:shd w:val="clear" w:color="auto" w:fill="auto"/>
            <w:vAlign w:val="center"/>
          </w:tcPr>
          <w:p w14:paraId="54633E52">
            <w:pPr>
              <w:adjustRightInd w:val="0"/>
              <w:snapToGrid w:val="0"/>
              <w:jc w:val="center"/>
              <w:rPr>
                <w:sz w:val="18"/>
                <w:szCs w:val="18"/>
              </w:rPr>
            </w:pPr>
            <w:r>
              <w:rPr>
                <w:sz w:val="18"/>
                <w:szCs w:val="18"/>
              </w:rPr>
              <w:t>1</w:t>
            </w:r>
          </w:p>
        </w:tc>
        <w:tc>
          <w:tcPr>
            <w:tcW w:w="654" w:type="dxa"/>
            <w:shd w:val="clear" w:color="auto" w:fill="auto"/>
            <w:vAlign w:val="center"/>
          </w:tcPr>
          <w:p w14:paraId="182960B5">
            <w:pPr>
              <w:adjustRightInd w:val="0"/>
              <w:snapToGrid w:val="0"/>
              <w:jc w:val="center"/>
              <w:rPr>
                <w:sz w:val="18"/>
                <w:szCs w:val="18"/>
              </w:rPr>
            </w:pPr>
            <w:r>
              <w:rPr>
                <w:sz w:val="18"/>
                <w:szCs w:val="18"/>
              </w:rPr>
              <w:t>1</w:t>
            </w:r>
          </w:p>
        </w:tc>
        <w:tc>
          <w:tcPr>
            <w:tcW w:w="1100" w:type="dxa"/>
            <w:shd w:val="clear" w:color="auto" w:fill="auto"/>
            <w:vAlign w:val="center"/>
          </w:tcPr>
          <w:p w14:paraId="59EFD392">
            <w:pPr>
              <w:adjustRightInd w:val="0"/>
              <w:snapToGrid w:val="0"/>
              <w:jc w:val="center"/>
              <w:rPr>
                <w:sz w:val="18"/>
                <w:szCs w:val="18"/>
              </w:rPr>
            </w:pPr>
            <w:r>
              <w:rPr>
                <w:sz w:val="18"/>
                <w:szCs w:val="18"/>
              </w:rPr>
              <w:t>考查</w:t>
            </w:r>
          </w:p>
        </w:tc>
      </w:tr>
      <w:tr w14:paraId="2D0E4E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196BA531">
            <w:pPr>
              <w:rPr>
                <w:b/>
                <w:sz w:val="18"/>
                <w:szCs w:val="18"/>
              </w:rPr>
            </w:pPr>
          </w:p>
        </w:tc>
        <w:tc>
          <w:tcPr>
            <w:tcW w:w="1226" w:type="dxa"/>
            <w:vMerge w:val="continue"/>
            <w:vAlign w:val="center"/>
          </w:tcPr>
          <w:p w14:paraId="1D21EB26">
            <w:pPr>
              <w:adjustRightInd w:val="0"/>
              <w:snapToGrid w:val="0"/>
              <w:jc w:val="center"/>
              <w:rPr>
                <w:b/>
                <w:sz w:val="18"/>
                <w:szCs w:val="18"/>
              </w:rPr>
            </w:pPr>
          </w:p>
        </w:tc>
        <w:tc>
          <w:tcPr>
            <w:tcW w:w="3516" w:type="dxa"/>
            <w:shd w:val="clear" w:color="auto" w:fill="auto"/>
            <w:vAlign w:val="center"/>
          </w:tcPr>
          <w:p w14:paraId="2E3C7202">
            <w:pPr>
              <w:adjustRightInd w:val="0"/>
              <w:snapToGrid w:val="0"/>
              <w:rPr>
                <w:sz w:val="18"/>
                <w:szCs w:val="18"/>
              </w:rPr>
            </w:pPr>
            <w:r>
              <w:rPr>
                <w:sz w:val="18"/>
                <w:szCs w:val="18"/>
              </w:rPr>
              <w:t>人工智能与大数据</w:t>
            </w:r>
          </w:p>
        </w:tc>
        <w:tc>
          <w:tcPr>
            <w:tcW w:w="1081" w:type="dxa"/>
            <w:shd w:val="clear" w:color="auto" w:fill="auto"/>
            <w:vAlign w:val="center"/>
          </w:tcPr>
          <w:p w14:paraId="010FCF11">
            <w:pPr>
              <w:adjustRightInd w:val="0"/>
              <w:snapToGrid w:val="0"/>
              <w:rPr>
                <w:sz w:val="18"/>
                <w:szCs w:val="18"/>
              </w:rPr>
            </w:pPr>
            <w:r>
              <w:rPr>
                <w:rFonts w:hint="eastAsia"/>
                <w:sz w:val="18"/>
                <w:szCs w:val="18"/>
              </w:rPr>
              <w:t>X</w:t>
            </w:r>
            <w:r>
              <w:rPr>
                <w:sz w:val="18"/>
                <w:szCs w:val="18"/>
              </w:rPr>
              <w:t>S250</w:t>
            </w:r>
            <w:r>
              <w:rPr>
                <w:rFonts w:hint="eastAsia"/>
                <w:sz w:val="18"/>
                <w:szCs w:val="18"/>
              </w:rPr>
              <w:t>4</w:t>
            </w:r>
            <w:r>
              <w:rPr>
                <w:sz w:val="18"/>
                <w:szCs w:val="18"/>
              </w:rPr>
              <w:t>20</w:t>
            </w:r>
            <w:r>
              <w:rPr>
                <w:rFonts w:hint="eastAsia"/>
                <w:sz w:val="18"/>
                <w:szCs w:val="18"/>
              </w:rPr>
              <w:t>3</w:t>
            </w:r>
          </w:p>
        </w:tc>
        <w:tc>
          <w:tcPr>
            <w:tcW w:w="709" w:type="dxa"/>
            <w:shd w:val="clear" w:color="auto" w:fill="auto"/>
            <w:vAlign w:val="center"/>
          </w:tcPr>
          <w:p w14:paraId="3AD08763">
            <w:pPr>
              <w:adjustRightInd w:val="0"/>
              <w:snapToGrid w:val="0"/>
              <w:jc w:val="center"/>
              <w:rPr>
                <w:sz w:val="18"/>
                <w:szCs w:val="18"/>
              </w:rPr>
            </w:pPr>
            <w:r>
              <w:rPr>
                <w:sz w:val="18"/>
                <w:szCs w:val="18"/>
              </w:rPr>
              <w:t>1</w:t>
            </w:r>
          </w:p>
        </w:tc>
        <w:tc>
          <w:tcPr>
            <w:tcW w:w="654" w:type="dxa"/>
            <w:shd w:val="clear" w:color="auto" w:fill="auto"/>
            <w:vAlign w:val="center"/>
          </w:tcPr>
          <w:p w14:paraId="60159103">
            <w:pPr>
              <w:adjustRightInd w:val="0"/>
              <w:snapToGrid w:val="0"/>
              <w:jc w:val="center"/>
              <w:rPr>
                <w:sz w:val="18"/>
                <w:szCs w:val="18"/>
              </w:rPr>
            </w:pPr>
            <w:r>
              <w:rPr>
                <w:sz w:val="18"/>
                <w:szCs w:val="18"/>
              </w:rPr>
              <w:t>1</w:t>
            </w:r>
          </w:p>
        </w:tc>
        <w:tc>
          <w:tcPr>
            <w:tcW w:w="1100" w:type="dxa"/>
            <w:shd w:val="clear" w:color="auto" w:fill="auto"/>
            <w:vAlign w:val="center"/>
          </w:tcPr>
          <w:p w14:paraId="060A4B8B">
            <w:pPr>
              <w:adjustRightInd w:val="0"/>
              <w:snapToGrid w:val="0"/>
              <w:jc w:val="center"/>
              <w:rPr>
                <w:sz w:val="18"/>
                <w:szCs w:val="18"/>
              </w:rPr>
            </w:pPr>
            <w:r>
              <w:rPr>
                <w:sz w:val="18"/>
                <w:szCs w:val="18"/>
              </w:rPr>
              <w:t>考查</w:t>
            </w:r>
          </w:p>
        </w:tc>
      </w:tr>
      <w:tr w14:paraId="27687D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2FC2C8C9">
            <w:pPr>
              <w:rPr>
                <w:b/>
                <w:sz w:val="18"/>
                <w:szCs w:val="18"/>
              </w:rPr>
            </w:pPr>
          </w:p>
        </w:tc>
        <w:tc>
          <w:tcPr>
            <w:tcW w:w="1226" w:type="dxa"/>
            <w:vMerge w:val="continue"/>
            <w:vAlign w:val="center"/>
          </w:tcPr>
          <w:p w14:paraId="66C37DA2">
            <w:pPr>
              <w:adjustRightInd w:val="0"/>
              <w:snapToGrid w:val="0"/>
              <w:jc w:val="center"/>
              <w:rPr>
                <w:b/>
                <w:sz w:val="18"/>
                <w:szCs w:val="18"/>
              </w:rPr>
            </w:pPr>
          </w:p>
        </w:tc>
        <w:tc>
          <w:tcPr>
            <w:tcW w:w="3516" w:type="dxa"/>
            <w:shd w:val="clear" w:color="auto" w:fill="auto"/>
            <w:vAlign w:val="center"/>
          </w:tcPr>
          <w:p w14:paraId="05BC3EE9">
            <w:pPr>
              <w:adjustRightInd w:val="0"/>
              <w:snapToGrid w:val="0"/>
              <w:rPr>
                <w:sz w:val="18"/>
                <w:szCs w:val="18"/>
              </w:rPr>
            </w:pPr>
            <w:r>
              <w:rPr>
                <w:sz w:val="18"/>
                <w:szCs w:val="18"/>
              </w:rPr>
              <w:t>药物研发与成果转化</w:t>
            </w:r>
            <w:r>
              <w:rPr>
                <w:rFonts w:hint="eastAsia"/>
                <w:sz w:val="18"/>
                <w:szCs w:val="18"/>
              </w:rPr>
              <w:t>(校企共建课）</w:t>
            </w:r>
          </w:p>
        </w:tc>
        <w:tc>
          <w:tcPr>
            <w:tcW w:w="1081" w:type="dxa"/>
            <w:shd w:val="clear" w:color="auto" w:fill="auto"/>
            <w:vAlign w:val="center"/>
          </w:tcPr>
          <w:p w14:paraId="014893D7">
            <w:pPr>
              <w:adjustRightInd w:val="0"/>
              <w:snapToGrid w:val="0"/>
              <w:rPr>
                <w:rFonts w:hint="eastAsia" w:eastAsia="宋体"/>
                <w:sz w:val="18"/>
                <w:szCs w:val="18"/>
                <w:lang w:eastAsia="zh-CN"/>
              </w:rPr>
            </w:pPr>
            <w:r>
              <w:rPr>
                <w:rFonts w:hint="eastAsia"/>
                <w:color w:val="FF0000"/>
                <w:sz w:val="18"/>
                <w:szCs w:val="18"/>
                <w:lang w:val="en-US" w:eastAsia="zh-CN" w:bidi="ar"/>
              </w:rPr>
              <w:t>Z</w:t>
            </w:r>
            <w:r>
              <w:rPr>
                <w:color w:val="FF0000"/>
                <w:sz w:val="18"/>
                <w:szCs w:val="18"/>
                <w:lang w:bidi="ar"/>
              </w:rPr>
              <w:t>S250</w:t>
            </w:r>
            <w:r>
              <w:rPr>
                <w:rFonts w:hint="eastAsia"/>
                <w:color w:val="FF0000"/>
                <w:sz w:val="18"/>
                <w:szCs w:val="18"/>
                <w:lang w:val="en-US" w:eastAsia="zh-CN" w:bidi="ar"/>
              </w:rPr>
              <w:t>5</w:t>
            </w:r>
            <w:r>
              <w:rPr>
                <w:color w:val="FF0000"/>
                <w:sz w:val="18"/>
                <w:szCs w:val="18"/>
                <w:lang w:bidi="ar"/>
              </w:rPr>
              <w:t>20</w:t>
            </w:r>
            <w:r>
              <w:rPr>
                <w:rFonts w:hint="eastAsia"/>
                <w:color w:val="FF0000"/>
                <w:sz w:val="18"/>
                <w:szCs w:val="18"/>
                <w:lang w:val="en-US" w:eastAsia="zh-CN" w:bidi="ar"/>
              </w:rPr>
              <w:t>1</w:t>
            </w:r>
          </w:p>
        </w:tc>
        <w:tc>
          <w:tcPr>
            <w:tcW w:w="709" w:type="dxa"/>
            <w:shd w:val="clear" w:color="auto" w:fill="auto"/>
            <w:vAlign w:val="center"/>
          </w:tcPr>
          <w:p w14:paraId="1BA57855">
            <w:pPr>
              <w:adjustRightInd w:val="0"/>
              <w:snapToGrid w:val="0"/>
              <w:jc w:val="center"/>
              <w:rPr>
                <w:sz w:val="18"/>
                <w:szCs w:val="18"/>
              </w:rPr>
            </w:pPr>
            <w:r>
              <w:rPr>
                <w:sz w:val="18"/>
                <w:szCs w:val="18"/>
                <w:lang w:bidi="ar"/>
              </w:rPr>
              <w:t>1</w:t>
            </w:r>
          </w:p>
        </w:tc>
        <w:tc>
          <w:tcPr>
            <w:tcW w:w="654" w:type="dxa"/>
            <w:shd w:val="clear" w:color="auto" w:fill="auto"/>
            <w:vAlign w:val="center"/>
          </w:tcPr>
          <w:p w14:paraId="477A66A4">
            <w:pPr>
              <w:adjustRightInd w:val="0"/>
              <w:snapToGrid w:val="0"/>
              <w:jc w:val="center"/>
              <w:rPr>
                <w:sz w:val="18"/>
                <w:szCs w:val="18"/>
              </w:rPr>
            </w:pPr>
            <w:r>
              <w:rPr>
                <w:sz w:val="18"/>
                <w:szCs w:val="18"/>
                <w:lang w:bidi="ar"/>
              </w:rPr>
              <w:t>1</w:t>
            </w:r>
          </w:p>
        </w:tc>
        <w:tc>
          <w:tcPr>
            <w:tcW w:w="1100" w:type="dxa"/>
            <w:shd w:val="clear" w:color="auto" w:fill="auto"/>
            <w:vAlign w:val="center"/>
          </w:tcPr>
          <w:p w14:paraId="4DBD0FB5">
            <w:pPr>
              <w:adjustRightInd w:val="0"/>
              <w:snapToGrid w:val="0"/>
              <w:jc w:val="center"/>
              <w:rPr>
                <w:sz w:val="18"/>
                <w:szCs w:val="18"/>
              </w:rPr>
            </w:pPr>
            <w:r>
              <w:rPr>
                <w:rFonts w:hint="eastAsia" w:ascii="宋体" w:hAnsi="宋体" w:cs="宋体"/>
                <w:sz w:val="18"/>
                <w:szCs w:val="18"/>
                <w:lang w:bidi="ar"/>
              </w:rPr>
              <w:t>考查</w:t>
            </w:r>
          </w:p>
        </w:tc>
      </w:tr>
      <w:tr w14:paraId="35FCF4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71E934F6">
            <w:pPr>
              <w:rPr>
                <w:b/>
                <w:sz w:val="18"/>
                <w:szCs w:val="18"/>
              </w:rPr>
            </w:pPr>
          </w:p>
        </w:tc>
        <w:tc>
          <w:tcPr>
            <w:tcW w:w="1226" w:type="dxa"/>
            <w:vMerge w:val="continue"/>
            <w:vAlign w:val="center"/>
          </w:tcPr>
          <w:p w14:paraId="0565E089">
            <w:pPr>
              <w:adjustRightInd w:val="0"/>
              <w:snapToGrid w:val="0"/>
              <w:jc w:val="center"/>
              <w:rPr>
                <w:b/>
                <w:sz w:val="18"/>
                <w:szCs w:val="18"/>
              </w:rPr>
            </w:pPr>
          </w:p>
        </w:tc>
        <w:tc>
          <w:tcPr>
            <w:tcW w:w="3516" w:type="dxa"/>
            <w:shd w:val="clear" w:color="auto" w:fill="auto"/>
            <w:vAlign w:val="center"/>
          </w:tcPr>
          <w:p w14:paraId="63D1F23E">
            <w:pPr>
              <w:adjustRightInd w:val="0"/>
              <w:snapToGrid w:val="0"/>
              <w:rPr>
                <w:sz w:val="18"/>
                <w:szCs w:val="18"/>
              </w:rPr>
            </w:pPr>
            <w:r>
              <w:rPr>
                <w:rFonts w:hint="eastAsia" w:ascii="宋体" w:hAnsi="宋体" w:cs="宋体"/>
                <w:sz w:val="18"/>
                <w:szCs w:val="18"/>
                <w:lang w:bidi="ar"/>
              </w:rPr>
              <w:t>中药鉴定学专论</w:t>
            </w:r>
          </w:p>
        </w:tc>
        <w:tc>
          <w:tcPr>
            <w:tcW w:w="1081" w:type="dxa"/>
            <w:shd w:val="clear" w:color="auto" w:fill="auto"/>
            <w:vAlign w:val="center"/>
          </w:tcPr>
          <w:p w14:paraId="5C8CFE94">
            <w:pPr>
              <w:adjustRightInd w:val="0"/>
              <w:snapToGrid w:val="0"/>
              <w:rPr>
                <w:sz w:val="18"/>
                <w:szCs w:val="18"/>
              </w:rPr>
            </w:pPr>
            <w:r>
              <w:rPr>
                <w:sz w:val="18"/>
                <w:szCs w:val="18"/>
                <w:lang w:bidi="ar"/>
              </w:rPr>
              <w:t>XS2504204</w:t>
            </w:r>
          </w:p>
        </w:tc>
        <w:tc>
          <w:tcPr>
            <w:tcW w:w="709" w:type="dxa"/>
            <w:shd w:val="clear" w:color="auto" w:fill="auto"/>
            <w:vAlign w:val="center"/>
          </w:tcPr>
          <w:p w14:paraId="38604BF9">
            <w:pPr>
              <w:adjustRightInd w:val="0"/>
              <w:snapToGrid w:val="0"/>
              <w:jc w:val="center"/>
              <w:rPr>
                <w:sz w:val="18"/>
                <w:szCs w:val="18"/>
              </w:rPr>
            </w:pPr>
            <w:r>
              <w:rPr>
                <w:sz w:val="18"/>
                <w:szCs w:val="18"/>
                <w:lang w:bidi="ar"/>
              </w:rPr>
              <w:t>1</w:t>
            </w:r>
          </w:p>
        </w:tc>
        <w:tc>
          <w:tcPr>
            <w:tcW w:w="654" w:type="dxa"/>
            <w:shd w:val="clear" w:color="auto" w:fill="auto"/>
            <w:vAlign w:val="center"/>
          </w:tcPr>
          <w:p w14:paraId="6B8F9057">
            <w:pPr>
              <w:adjustRightInd w:val="0"/>
              <w:snapToGrid w:val="0"/>
              <w:jc w:val="center"/>
              <w:rPr>
                <w:sz w:val="18"/>
                <w:szCs w:val="18"/>
              </w:rPr>
            </w:pPr>
            <w:r>
              <w:rPr>
                <w:sz w:val="18"/>
                <w:szCs w:val="18"/>
                <w:lang w:bidi="ar"/>
              </w:rPr>
              <w:t>1</w:t>
            </w:r>
          </w:p>
        </w:tc>
        <w:tc>
          <w:tcPr>
            <w:tcW w:w="1100" w:type="dxa"/>
            <w:shd w:val="clear" w:color="auto" w:fill="auto"/>
            <w:vAlign w:val="center"/>
          </w:tcPr>
          <w:p w14:paraId="6AF8622C">
            <w:pPr>
              <w:adjustRightInd w:val="0"/>
              <w:snapToGrid w:val="0"/>
              <w:jc w:val="center"/>
              <w:rPr>
                <w:sz w:val="18"/>
                <w:szCs w:val="18"/>
              </w:rPr>
            </w:pPr>
            <w:r>
              <w:rPr>
                <w:rFonts w:hint="eastAsia" w:ascii="宋体" w:hAnsi="宋体" w:cs="宋体"/>
                <w:sz w:val="18"/>
                <w:szCs w:val="18"/>
                <w:lang w:bidi="ar"/>
              </w:rPr>
              <w:t>考查</w:t>
            </w:r>
          </w:p>
        </w:tc>
      </w:tr>
      <w:tr w14:paraId="20C0A6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2D7828BB">
            <w:pPr>
              <w:rPr>
                <w:b/>
                <w:sz w:val="18"/>
                <w:szCs w:val="18"/>
              </w:rPr>
            </w:pPr>
          </w:p>
        </w:tc>
        <w:tc>
          <w:tcPr>
            <w:tcW w:w="1226" w:type="dxa"/>
            <w:vMerge w:val="continue"/>
            <w:vAlign w:val="center"/>
          </w:tcPr>
          <w:p w14:paraId="4BABD633">
            <w:pPr>
              <w:adjustRightInd w:val="0"/>
              <w:snapToGrid w:val="0"/>
              <w:jc w:val="center"/>
              <w:rPr>
                <w:b/>
                <w:sz w:val="18"/>
                <w:szCs w:val="18"/>
              </w:rPr>
            </w:pPr>
          </w:p>
        </w:tc>
        <w:tc>
          <w:tcPr>
            <w:tcW w:w="3516" w:type="dxa"/>
            <w:shd w:val="clear" w:color="auto" w:fill="auto"/>
            <w:vAlign w:val="center"/>
          </w:tcPr>
          <w:p w14:paraId="5C3125F9">
            <w:pPr>
              <w:adjustRightInd w:val="0"/>
              <w:snapToGrid w:val="0"/>
              <w:rPr>
                <w:sz w:val="18"/>
                <w:szCs w:val="18"/>
              </w:rPr>
            </w:pPr>
            <w:r>
              <w:rPr>
                <w:rFonts w:hint="eastAsia"/>
                <w:sz w:val="18"/>
                <w:szCs w:val="18"/>
              </w:rPr>
              <w:t>SPSS统计应用</w:t>
            </w:r>
          </w:p>
        </w:tc>
        <w:tc>
          <w:tcPr>
            <w:tcW w:w="1081" w:type="dxa"/>
            <w:shd w:val="clear" w:color="auto" w:fill="auto"/>
            <w:vAlign w:val="center"/>
          </w:tcPr>
          <w:p w14:paraId="62121AB3">
            <w:pPr>
              <w:adjustRightInd w:val="0"/>
              <w:snapToGrid w:val="0"/>
              <w:rPr>
                <w:sz w:val="18"/>
                <w:szCs w:val="18"/>
              </w:rPr>
            </w:pPr>
            <w:r>
              <w:rPr>
                <w:rFonts w:hint="eastAsia"/>
                <w:sz w:val="18"/>
                <w:szCs w:val="18"/>
              </w:rPr>
              <w:t>ZS2501201</w:t>
            </w:r>
          </w:p>
        </w:tc>
        <w:tc>
          <w:tcPr>
            <w:tcW w:w="709" w:type="dxa"/>
            <w:shd w:val="clear" w:color="auto" w:fill="auto"/>
            <w:vAlign w:val="center"/>
          </w:tcPr>
          <w:p w14:paraId="44B617EE">
            <w:pPr>
              <w:adjustRightInd w:val="0"/>
              <w:snapToGrid w:val="0"/>
              <w:jc w:val="center"/>
              <w:rPr>
                <w:sz w:val="18"/>
                <w:szCs w:val="18"/>
              </w:rPr>
            </w:pPr>
            <w:r>
              <w:rPr>
                <w:rFonts w:hint="eastAsia"/>
                <w:sz w:val="18"/>
                <w:szCs w:val="18"/>
              </w:rPr>
              <w:t>2</w:t>
            </w:r>
          </w:p>
        </w:tc>
        <w:tc>
          <w:tcPr>
            <w:tcW w:w="654" w:type="dxa"/>
            <w:shd w:val="clear" w:color="auto" w:fill="auto"/>
            <w:vAlign w:val="center"/>
          </w:tcPr>
          <w:p w14:paraId="6C37DC4E">
            <w:pPr>
              <w:adjustRightInd w:val="0"/>
              <w:snapToGrid w:val="0"/>
              <w:jc w:val="center"/>
              <w:rPr>
                <w:sz w:val="18"/>
                <w:szCs w:val="18"/>
              </w:rPr>
            </w:pPr>
            <w:r>
              <w:rPr>
                <w:rFonts w:hint="eastAsia"/>
                <w:sz w:val="18"/>
                <w:szCs w:val="18"/>
              </w:rPr>
              <w:t>1</w:t>
            </w:r>
          </w:p>
        </w:tc>
        <w:tc>
          <w:tcPr>
            <w:tcW w:w="1100" w:type="dxa"/>
            <w:shd w:val="clear" w:color="auto" w:fill="auto"/>
            <w:vAlign w:val="center"/>
          </w:tcPr>
          <w:p w14:paraId="7F07D8EC">
            <w:pPr>
              <w:adjustRightInd w:val="0"/>
              <w:snapToGrid w:val="0"/>
              <w:jc w:val="center"/>
              <w:rPr>
                <w:sz w:val="18"/>
                <w:szCs w:val="18"/>
              </w:rPr>
            </w:pPr>
            <w:r>
              <w:rPr>
                <w:rFonts w:hint="eastAsia"/>
                <w:sz w:val="18"/>
                <w:szCs w:val="18"/>
              </w:rPr>
              <w:t>考查</w:t>
            </w:r>
          </w:p>
        </w:tc>
      </w:tr>
      <w:tr w14:paraId="0BEE00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571" w:type="dxa"/>
            <w:vMerge w:val="restart"/>
            <w:vAlign w:val="center"/>
          </w:tcPr>
          <w:p w14:paraId="786EEB60">
            <w:pPr>
              <w:jc w:val="center"/>
              <w:rPr>
                <w:b/>
                <w:sz w:val="18"/>
                <w:szCs w:val="18"/>
              </w:rPr>
            </w:pPr>
            <w:r>
              <w:rPr>
                <w:b/>
                <w:sz w:val="18"/>
                <w:szCs w:val="18"/>
              </w:rPr>
              <w:t>必修环节</w:t>
            </w:r>
          </w:p>
          <w:p w14:paraId="5248AFDE">
            <w:pPr>
              <w:jc w:val="center"/>
              <w:rPr>
                <w:b/>
                <w:sz w:val="18"/>
                <w:szCs w:val="18"/>
              </w:rPr>
            </w:pPr>
          </w:p>
        </w:tc>
        <w:tc>
          <w:tcPr>
            <w:tcW w:w="1226" w:type="dxa"/>
            <w:vMerge w:val="restart"/>
            <w:vAlign w:val="center"/>
          </w:tcPr>
          <w:p w14:paraId="498FCA5D">
            <w:pPr>
              <w:jc w:val="center"/>
              <w:rPr>
                <w:b/>
                <w:sz w:val="18"/>
                <w:szCs w:val="18"/>
              </w:rPr>
            </w:pPr>
            <w:r>
              <w:rPr>
                <w:b/>
                <w:sz w:val="18"/>
                <w:szCs w:val="18"/>
              </w:rPr>
              <w:t>素质拓展</w:t>
            </w:r>
          </w:p>
        </w:tc>
        <w:tc>
          <w:tcPr>
            <w:tcW w:w="3516" w:type="dxa"/>
            <w:vAlign w:val="center"/>
          </w:tcPr>
          <w:p w14:paraId="2C532F26">
            <w:pPr>
              <w:rPr>
                <w:sz w:val="18"/>
                <w:szCs w:val="18"/>
              </w:rPr>
            </w:pPr>
            <w:r>
              <w:rPr>
                <w:sz w:val="18"/>
                <w:szCs w:val="18"/>
              </w:rPr>
              <w:t>入学教育</w:t>
            </w:r>
          </w:p>
        </w:tc>
        <w:tc>
          <w:tcPr>
            <w:tcW w:w="1081" w:type="dxa"/>
            <w:vAlign w:val="center"/>
          </w:tcPr>
          <w:p w14:paraId="0E4484B9">
            <w:pPr>
              <w:jc w:val="center"/>
              <w:rPr>
                <w:color w:val="FF0000"/>
                <w:sz w:val="18"/>
                <w:szCs w:val="18"/>
              </w:rPr>
            </w:pPr>
            <w:r>
              <w:rPr>
                <w:color w:val="FF0000"/>
                <w:sz w:val="18"/>
                <w:szCs w:val="18"/>
              </w:rPr>
              <w:t>ZS250120</w:t>
            </w:r>
            <w:r>
              <w:rPr>
                <w:rFonts w:hint="eastAsia"/>
                <w:color w:val="FF0000"/>
                <w:sz w:val="18"/>
                <w:szCs w:val="18"/>
              </w:rPr>
              <w:t>4</w:t>
            </w:r>
          </w:p>
        </w:tc>
        <w:tc>
          <w:tcPr>
            <w:tcW w:w="709" w:type="dxa"/>
            <w:vAlign w:val="center"/>
          </w:tcPr>
          <w:p w14:paraId="75A45E5B">
            <w:pPr>
              <w:jc w:val="center"/>
              <w:rPr>
                <w:color w:val="FF0000"/>
                <w:sz w:val="18"/>
                <w:szCs w:val="18"/>
              </w:rPr>
            </w:pPr>
            <w:r>
              <w:rPr>
                <w:rFonts w:hint="eastAsia"/>
                <w:color w:val="FF0000"/>
                <w:sz w:val="18"/>
                <w:szCs w:val="18"/>
              </w:rPr>
              <w:t>1</w:t>
            </w:r>
          </w:p>
        </w:tc>
        <w:tc>
          <w:tcPr>
            <w:tcW w:w="654" w:type="dxa"/>
            <w:vAlign w:val="center"/>
          </w:tcPr>
          <w:p w14:paraId="3DC4CF41">
            <w:pPr>
              <w:jc w:val="center"/>
              <w:rPr>
                <w:sz w:val="18"/>
                <w:szCs w:val="18"/>
              </w:rPr>
            </w:pPr>
            <w:r>
              <w:rPr>
                <w:sz w:val="18"/>
                <w:szCs w:val="18"/>
              </w:rPr>
              <w:t>1</w:t>
            </w:r>
          </w:p>
        </w:tc>
        <w:tc>
          <w:tcPr>
            <w:tcW w:w="1100" w:type="dxa"/>
            <w:vMerge w:val="restart"/>
            <w:vAlign w:val="center"/>
          </w:tcPr>
          <w:p w14:paraId="424FD6BE">
            <w:pPr>
              <w:jc w:val="center"/>
              <w:rPr>
                <w:i/>
                <w:sz w:val="18"/>
                <w:szCs w:val="18"/>
              </w:rPr>
            </w:pPr>
          </w:p>
        </w:tc>
      </w:tr>
      <w:tr w14:paraId="46140D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4499FC05">
            <w:pPr>
              <w:jc w:val="center"/>
              <w:rPr>
                <w:b/>
                <w:sz w:val="18"/>
                <w:szCs w:val="18"/>
              </w:rPr>
            </w:pPr>
          </w:p>
        </w:tc>
        <w:tc>
          <w:tcPr>
            <w:tcW w:w="1226" w:type="dxa"/>
            <w:vMerge w:val="continue"/>
            <w:vAlign w:val="center"/>
          </w:tcPr>
          <w:p w14:paraId="6266311E">
            <w:pPr>
              <w:jc w:val="center"/>
              <w:rPr>
                <w:b/>
                <w:sz w:val="18"/>
                <w:szCs w:val="18"/>
              </w:rPr>
            </w:pPr>
          </w:p>
        </w:tc>
        <w:tc>
          <w:tcPr>
            <w:tcW w:w="3516" w:type="dxa"/>
            <w:vAlign w:val="center"/>
          </w:tcPr>
          <w:p w14:paraId="05773BEC">
            <w:pPr>
              <w:rPr>
                <w:sz w:val="18"/>
                <w:szCs w:val="18"/>
              </w:rPr>
            </w:pPr>
            <w:r>
              <w:rPr>
                <w:sz w:val="18"/>
                <w:szCs w:val="18"/>
              </w:rPr>
              <w:t>学术/实践活动</w:t>
            </w:r>
          </w:p>
        </w:tc>
        <w:tc>
          <w:tcPr>
            <w:tcW w:w="1081" w:type="dxa"/>
            <w:vAlign w:val="center"/>
          </w:tcPr>
          <w:p w14:paraId="4A426F0D">
            <w:pPr>
              <w:jc w:val="center"/>
              <w:rPr>
                <w:sz w:val="18"/>
                <w:szCs w:val="18"/>
              </w:rPr>
            </w:pPr>
          </w:p>
        </w:tc>
        <w:tc>
          <w:tcPr>
            <w:tcW w:w="709" w:type="dxa"/>
            <w:vAlign w:val="center"/>
          </w:tcPr>
          <w:p w14:paraId="71AB26E7">
            <w:pPr>
              <w:jc w:val="center"/>
              <w:rPr>
                <w:sz w:val="18"/>
                <w:szCs w:val="18"/>
              </w:rPr>
            </w:pPr>
            <w:r>
              <w:rPr>
                <w:sz w:val="18"/>
                <w:szCs w:val="18"/>
              </w:rPr>
              <w:t>1</w:t>
            </w:r>
          </w:p>
        </w:tc>
        <w:tc>
          <w:tcPr>
            <w:tcW w:w="654" w:type="dxa"/>
            <w:vAlign w:val="center"/>
          </w:tcPr>
          <w:p w14:paraId="4E005C4F">
            <w:pPr>
              <w:jc w:val="center"/>
              <w:rPr>
                <w:sz w:val="18"/>
                <w:szCs w:val="18"/>
              </w:rPr>
            </w:pPr>
            <w:r>
              <w:rPr>
                <w:rFonts w:hint="eastAsia"/>
                <w:sz w:val="18"/>
                <w:szCs w:val="18"/>
              </w:rPr>
              <w:t>1-6</w:t>
            </w:r>
          </w:p>
        </w:tc>
        <w:tc>
          <w:tcPr>
            <w:tcW w:w="1100" w:type="dxa"/>
            <w:vMerge w:val="continue"/>
            <w:vAlign w:val="center"/>
          </w:tcPr>
          <w:p w14:paraId="7EE22E38">
            <w:pPr>
              <w:jc w:val="center"/>
              <w:rPr>
                <w:sz w:val="18"/>
                <w:szCs w:val="18"/>
              </w:rPr>
            </w:pPr>
          </w:p>
        </w:tc>
      </w:tr>
      <w:tr w14:paraId="6D9335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vAlign w:val="center"/>
          </w:tcPr>
          <w:p w14:paraId="0A4E7593">
            <w:pPr>
              <w:jc w:val="center"/>
              <w:rPr>
                <w:b/>
                <w:sz w:val="18"/>
                <w:szCs w:val="18"/>
              </w:rPr>
            </w:pPr>
          </w:p>
        </w:tc>
        <w:tc>
          <w:tcPr>
            <w:tcW w:w="1226" w:type="dxa"/>
            <w:vMerge w:val="continue"/>
            <w:vAlign w:val="center"/>
          </w:tcPr>
          <w:p w14:paraId="7F0149E3">
            <w:pPr>
              <w:jc w:val="center"/>
              <w:rPr>
                <w:b/>
                <w:sz w:val="18"/>
                <w:szCs w:val="18"/>
              </w:rPr>
            </w:pPr>
          </w:p>
        </w:tc>
        <w:tc>
          <w:tcPr>
            <w:tcW w:w="3516" w:type="dxa"/>
            <w:vAlign w:val="center"/>
          </w:tcPr>
          <w:p w14:paraId="6F7C8039">
            <w:pPr>
              <w:adjustRightInd w:val="0"/>
              <w:snapToGrid w:val="0"/>
              <w:rPr>
                <w:sz w:val="18"/>
                <w:szCs w:val="18"/>
              </w:rPr>
            </w:pPr>
            <w:r>
              <w:rPr>
                <w:sz w:val="18"/>
                <w:szCs w:val="18"/>
              </w:rPr>
              <w:t>竞赛活动</w:t>
            </w:r>
          </w:p>
        </w:tc>
        <w:tc>
          <w:tcPr>
            <w:tcW w:w="1081" w:type="dxa"/>
            <w:vAlign w:val="center"/>
          </w:tcPr>
          <w:p w14:paraId="1650072A">
            <w:pPr>
              <w:jc w:val="center"/>
              <w:rPr>
                <w:sz w:val="18"/>
                <w:szCs w:val="18"/>
              </w:rPr>
            </w:pPr>
          </w:p>
        </w:tc>
        <w:tc>
          <w:tcPr>
            <w:tcW w:w="709" w:type="dxa"/>
            <w:vAlign w:val="center"/>
          </w:tcPr>
          <w:p w14:paraId="172FA4DC">
            <w:pPr>
              <w:jc w:val="center"/>
              <w:rPr>
                <w:sz w:val="18"/>
                <w:szCs w:val="18"/>
              </w:rPr>
            </w:pPr>
            <w:r>
              <w:rPr>
                <w:rFonts w:hint="eastAsia"/>
                <w:sz w:val="18"/>
                <w:szCs w:val="18"/>
              </w:rPr>
              <w:t>1</w:t>
            </w:r>
          </w:p>
        </w:tc>
        <w:tc>
          <w:tcPr>
            <w:tcW w:w="654" w:type="dxa"/>
            <w:vAlign w:val="center"/>
          </w:tcPr>
          <w:p w14:paraId="19D45428">
            <w:pPr>
              <w:jc w:val="center"/>
              <w:rPr>
                <w:sz w:val="18"/>
                <w:szCs w:val="18"/>
              </w:rPr>
            </w:pPr>
            <w:r>
              <w:rPr>
                <w:rFonts w:hint="eastAsia"/>
                <w:sz w:val="18"/>
                <w:szCs w:val="18"/>
              </w:rPr>
              <w:t>1-6</w:t>
            </w:r>
          </w:p>
        </w:tc>
        <w:tc>
          <w:tcPr>
            <w:tcW w:w="1100" w:type="dxa"/>
            <w:vMerge w:val="continue"/>
            <w:vAlign w:val="center"/>
          </w:tcPr>
          <w:p w14:paraId="01AD39E8">
            <w:pPr>
              <w:jc w:val="center"/>
              <w:rPr>
                <w:sz w:val="18"/>
                <w:szCs w:val="18"/>
              </w:rPr>
            </w:pPr>
          </w:p>
        </w:tc>
      </w:tr>
      <w:tr w14:paraId="07CA28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7" w:hRule="atLeast"/>
          <w:jc w:val="center"/>
        </w:trPr>
        <w:tc>
          <w:tcPr>
            <w:tcW w:w="571" w:type="dxa"/>
            <w:vMerge w:val="continue"/>
          </w:tcPr>
          <w:p w14:paraId="437EF0C3">
            <w:pPr>
              <w:rPr>
                <w:b/>
                <w:sz w:val="18"/>
                <w:szCs w:val="18"/>
              </w:rPr>
            </w:pPr>
          </w:p>
        </w:tc>
        <w:tc>
          <w:tcPr>
            <w:tcW w:w="1226" w:type="dxa"/>
            <w:vMerge w:val="restart"/>
            <w:vAlign w:val="center"/>
          </w:tcPr>
          <w:p w14:paraId="77E73B2F">
            <w:pPr>
              <w:jc w:val="center"/>
              <w:rPr>
                <w:b/>
                <w:sz w:val="18"/>
                <w:szCs w:val="18"/>
              </w:rPr>
            </w:pPr>
            <w:r>
              <w:rPr>
                <w:b/>
                <w:sz w:val="18"/>
                <w:szCs w:val="18"/>
              </w:rPr>
              <w:t>学术训练</w:t>
            </w:r>
          </w:p>
        </w:tc>
        <w:tc>
          <w:tcPr>
            <w:tcW w:w="3516" w:type="dxa"/>
            <w:vAlign w:val="center"/>
          </w:tcPr>
          <w:p w14:paraId="7CD66BD0">
            <w:pPr>
              <w:rPr>
                <w:sz w:val="18"/>
                <w:szCs w:val="18"/>
              </w:rPr>
            </w:pPr>
            <w:r>
              <w:rPr>
                <w:sz w:val="18"/>
                <w:szCs w:val="18"/>
              </w:rPr>
              <w:t>中期筛选</w:t>
            </w:r>
          </w:p>
        </w:tc>
        <w:tc>
          <w:tcPr>
            <w:tcW w:w="1081" w:type="dxa"/>
            <w:vAlign w:val="center"/>
          </w:tcPr>
          <w:p w14:paraId="48F30093">
            <w:pPr>
              <w:jc w:val="center"/>
              <w:rPr>
                <w:sz w:val="18"/>
                <w:szCs w:val="18"/>
              </w:rPr>
            </w:pPr>
          </w:p>
        </w:tc>
        <w:tc>
          <w:tcPr>
            <w:tcW w:w="709" w:type="dxa"/>
            <w:vAlign w:val="center"/>
          </w:tcPr>
          <w:p w14:paraId="2D69E48A">
            <w:pPr>
              <w:jc w:val="center"/>
              <w:rPr>
                <w:sz w:val="18"/>
                <w:szCs w:val="18"/>
              </w:rPr>
            </w:pPr>
          </w:p>
        </w:tc>
        <w:tc>
          <w:tcPr>
            <w:tcW w:w="654" w:type="dxa"/>
            <w:vAlign w:val="center"/>
          </w:tcPr>
          <w:p w14:paraId="52715381">
            <w:pPr>
              <w:jc w:val="center"/>
              <w:rPr>
                <w:iCs/>
                <w:sz w:val="18"/>
                <w:szCs w:val="18"/>
              </w:rPr>
            </w:pPr>
            <w:r>
              <w:rPr>
                <w:rFonts w:hint="eastAsia"/>
                <w:iCs/>
                <w:sz w:val="18"/>
                <w:szCs w:val="18"/>
              </w:rPr>
              <w:t>3</w:t>
            </w:r>
          </w:p>
        </w:tc>
        <w:tc>
          <w:tcPr>
            <w:tcW w:w="1100" w:type="dxa"/>
            <w:vMerge w:val="restart"/>
            <w:vAlign w:val="center"/>
          </w:tcPr>
          <w:p w14:paraId="609D5FBE">
            <w:pPr>
              <w:jc w:val="center"/>
              <w:rPr>
                <w:sz w:val="18"/>
                <w:szCs w:val="18"/>
              </w:rPr>
            </w:pPr>
            <w:r>
              <w:rPr>
                <w:sz w:val="18"/>
                <w:szCs w:val="18"/>
              </w:rPr>
              <w:t>过程管理</w:t>
            </w:r>
          </w:p>
          <w:p w14:paraId="106EDABC">
            <w:pPr>
              <w:jc w:val="center"/>
              <w:rPr>
                <w:sz w:val="18"/>
                <w:szCs w:val="18"/>
              </w:rPr>
            </w:pPr>
            <w:r>
              <w:rPr>
                <w:sz w:val="18"/>
                <w:szCs w:val="18"/>
              </w:rPr>
              <w:t>无学分</w:t>
            </w:r>
          </w:p>
        </w:tc>
      </w:tr>
      <w:tr w14:paraId="31AC27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0" w:hRule="atLeast"/>
          <w:jc w:val="center"/>
        </w:trPr>
        <w:tc>
          <w:tcPr>
            <w:tcW w:w="571" w:type="dxa"/>
            <w:vMerge w:val="continue"/>
          </w:tcPr>
          <w:p w14:paraId="71828349">
            <w:pPr>
              <w:rPr>
                <w:b/>
                <w:sz w:val="18"/>
                <w:szCs w:val="18"/>
              </w:rPr>
            </w:pPr>
          </w:p>
        </w:tc>
        <w:tc>
          <w:tcPr>
            <w:tcW w:w="1226" w:type="dxa"/>
            <w:vMerge w:val="continue"/>
            <w:vAlign w:val="center"/>
          </w:tcPr>
          <w:p w14:paraId="36F36E19">
            <w:pPr>
              <w:jc w:val="center"/>
              <w:rPr>
                <w:b/>
                <w:sz w:val="18"/>
                <w:szCs w:val="18"/>
              </w:rPr>
            </w:pPr>
          </w:p>
        </w:tc>
        <w:tc>
          <w:tcPr>
            <w:tcW w:w="3516" w:type="dxa"/>
            <w:vAlign w:val="center"/>
          </w:tcPr>
          <w:p w14:paraId="33D3822F">
            <w:pPr>
              <w:rPr>
                <w:sz w:val="18"/>
                <w:szCs w:val="18"/>
              </w:rPr>
            </w:pPr>
            <w:r>
              <w:rPr>
                <w:sz w:val="18"/>
                <w:szCs w:val="18"/>
              </w:rPr>
              <w:t>论文开题</w:t>
            </w:r>
          </w:p>
        </w:tc>
        <w:tc>
          <w:tcPr>
            <w:tcW w:w="1081" w:type="dxa"/>
            <w:vAlign w:val="center"/>
          </w:tcPr>
          <w:p w14:paraId="54361B64">
            <w:pPr>
              <w:jc w:val="center"/>
              <w:rPr>
                <w:sz w:val="18"/>
                <w:szCs w:val="18"/>
              </w:rPr>
            </w:pPr>
          </w:p>
        </w:tc>
        <w:tc>
          <w:tcPr>
            <w:tcW w:w="709" w:type="dxa"/>
            <w:vAlign w:val="center"/>
          </w:tcPr>
          <w:p w14:paraId="3AC5AEC2">
            <w:pPr>
              <w:jc w:val="center"/>
              <w:rPr>
                <w:sz w:val="18"/>
                <w:szCs w:val="18"/>
              </w:rPr>
            </w:pPr>
          </w:p>
        </w:tc>
        <w:tc>
          <w:tcPr>
            <w:tcW w:w="654" w:type="dxa"/>
            <w:vAlign w:val="center"/>
          </w:tcPr>
          <w:p w14:paraId="4CCE23BD">
            <w:pPr>
              <w:jc w:val="center"/>
              <w:rPr>
                <w:iCs/>
                <w:sz w:val="18"/>
                <w:szCs w:val="18"/>
              </w:rPr>
            </w:pPr>
            <w:r>
              <w:rPr>
                <w:rFonts w:hint="eastAsia"/>
                <w:iCs/>
                <w:sz w:val="18"/>
                <w:szCs w:val="18"/>
              </w:rPr>
              <w:t>3</w:t>
            </w:r>
          </w:p>
        </w:tc>
        <w:tc>
          <w:tcPr>
            <w:tcW w:w="1100" w:type="dxa"/>
            <w:vMerge w:val="continue"/>
            <w:vAlign w:val="center"/>
          </w:tcPr>
          <w:p w14:paraId="1B3DECA5">
            <w:pPr>
              <w:jc w:val="center"/>
              <w:rPr>
                <w:sz w:val="18"/>
                <w:szCs w:val="18"/>
              </w:rPr>
            </w:pPr>
          </w:p>
        </w:tc>
      </w:tr>
      <w:tr w14:paraId="37AF9B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0" w:hRule="atLeast"/>
          <w:jc w:val="center"/>
        </w:trPr>
        <w:tc>
          <w:tcPr>
            <w:tcW w:w="571" w:type="dxa"/>
            <w:vMerge w:val="continue"/>
          </w:tcPr>
          <w:p w14:paraId="34702309">
            <w:pPr>
              <w:rPr>
                <w:b/>
                <w:sz w:val="18"/>
                <w:szCs w:val="18"/>
              </w:rPr>
            </w:pPr>
          </w:p>
        </w:tc>
        <w:tc>
          <w:tcPr>
            <w:tcW w:w="1226" w:type="dxa"/>
            <w:vMerge w:val="continue"/>
            <w:vAlign w:val="center"/>
          </w:tcPr>
          <w:p w14:paraId="4CFCE5D6">
            <w:pPr>
              <w:jc w:val="center"/>
              <w:rPr>
                <w:b/>
                <w:sz w:val="18"/>
                <w:szCs w:val="18"/>
              </w:rPr>
            </w:pPr>
          </w:p>
        </w:tc>
        <w:tc>
          <w:tcPr>
            <w:tcW w:w="3516" w:type="dxa"/>
            <w:vAlign w:val="center"/>
          </w:tcPr>
          <w:p w14:paraId="1D0A2D38">
            <w:pPr>
              <w:rPr>
                <w:sz w:val="18"/>
                <w:szCs w:val="18"/>
              </w:rPr>
            </w:pPr>
            <w:r>
              <w:rPr>
                <w:sz w:val="18"/>
                <w:szCs w:val="18"/>
              </w:rPr>
              <w:t>论文中期进展报告</w:t>
            </w:r>
          </w:p>
        </w:tc>
        <w:tc>
          <w:tcPr>
            <w:tcW w:w="1081" w:type="dxa"/>
            <w:vAlign w:val="center"/>
          </w:tcPr>
          <w:p w14:paraId="2A757518">
            <w:pPr>
              <w:jc w:val="center"/>
              <w:rPr>
                <w:sz w:val="18"/>
                <w:szCs w:val="18"/>
              </w:rPr>
            </w:pPr>
          </w:p>
        </w:tc>
        <w:tc>
          <w:tcPr>
            <w:tcW w:w="709" w:type="dxa"/>
            <w:vAlign w:val="center"/>
          </w:tcPr>
          <w:p w14:paraId="7719D296">
            <w:pPr>
              <w:jc w:val="center"/>
              <w:rPr>
                <w:sz w:val="18"/>
                <w:szCs w:val="18"/>
              </w:rPr>
            </w:pPr>
          </w:p>
        </w:tc>
        <w:tc>
          <w:tcPr>
            <w:tcW w:w="654" w:type="dxa"/>
            <w:vAlign w:val="center"/>
          </w:tcPr>
          <w:p w14:paraId="34B0BF87">
            <w:pPr>
              <w:jc w:val="center"/>
              <w:rPr>
                <w:sz w:val="18"/>
                <w:szCs w:val="18"/>
              </w:rPr>
            </w:pPr>
            <w:r>
              <w:rPr>
                <w:rFonts w:hint="eastAsia"/>
                <w:sz w:val="18"/>
                <w:szCs w:val="18"/>
              </w:rPr>
              <w:t>5</w:t>
            </w:r>
          </w:p>
        </w:tc>
        <w:tc>
          <w:tcPr>
            <w:tcW w:w="1100" w:type="dxa"/>
            <w:vMerge w:val="continue"/>
          </w:tcPr>
          <w:p w14:paraId="7BB05B68">
            <w:pPr>
              <w:jc w:val="center"/>
              <w:rPr>
                <w:sz w:val="18"/>
                <w:szCs w:val="18"/>
              </w:rPr>
            </w:pPr>
          </w:p>
        </w:tc>
      </w:tr>
      <w:tr w14:paraId="1888E3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0" w:hRule="atLeast"/>
          <w:jc w:val="center"/>
        </w:trPr>
        <w:tc>
          <w:tcPr>
            <w:tcW w:w="571" w:type="dxa"/>
            <w:vMerge w:val="continue"/>
          </w:tcPr>
          <w:p w14:paraId="66FD5904">
            <w:pPr>
              <w:rPr>
                <w:b/>
                <w:sz w:val="18"/>
                <w:szCs w:val="18"/>
              </w:rPr>
            </w:pPr>
          </w:p>
        </w:tc>
        <w:tc>
          <w:tcPr>
            <w:tcW w:w="1226" w:type="dxa"/>
            <w:vMerge w:val="continue"/>
            <w:vAlign w:val="center"/>
          </w:tcPr>
          <w:p w14:paraId="204CD5B5">
            <w:pPr>
              <w:jc w:val="center"/>
              <w:rPr>
                <w:b/>
                <w:sz w:val="18"/>
                <w:szCs w:val="18"/>
              </w:rPr>
            </w:pPr>
          </w:p>
        </w:tc>
        <w:tc>
          <w:tcPr>
            <w:tcW w:w="3516" w:type="dxa"/>
            <w:vAlign w:val="center"/>
          </w:tcPr>
          <w:p w14:paraId="3EAF3FC5">
            <w:pPr>
              <w:rPr>
                <w:sz w:val="18"/>
                <w:szCs w:val="18"/>
              </w:rPr>
            </w:pPr>
            <w:r>
              <w:rPr>
                <w:sz w:val="18"/>
                <w:szCs w:val="18"/>
              </w:rPr>
              <w:t>论文预答辩</w:t>
            </w:r>
          </w:p>
        </w:tc>
        <w:tc>
          <w:tcPr>
            <w:tcW w:w="1081" w:type="dxa"/>
            <w:vAlign w:val="center"/>
          </w:tcPr>
          <w:p w14:paraId="642E3930">
            <w:pPr>
              <w:jc w:val="center"/>
              <w:rPr>
                <w:sz w:val="18"/>
                <w:szCs w:val="18"/>
              </w:rPr>
            </w:pPr>
          </w:p>
        </w:tc>
        <w:tc>
          <w:tcPr>
            <w:tcW w:w="709" w:type="dxa"/>
            <w:vAlign w:val="center"/>
          </w:tcPr>
          <w:p w14:paraId="5C54D15C">
            <w:pPr>
              <w:jc w:val="center"/>
              <w:rPr>
                <w:sz w:val="18"/>
                <w:szCs w:val="18"/>
              </w:rPr>
            </w:pPr>
          </w:p>
        </w:tc>
        <w:tc>
          <w:tcPr>
            <w:tcW w:w="654" w:type="dxa"/>
            <w:vAlign w:val="center"/>
          </w:tcPr>
          <w:p w14:paraId="3CF097FB">
            <w:pPr>
              <w:jc w:val="center"/>
              <w:rPr>
                <w:sz w:val="18"/>
                <w:szCs w:val="18"/>
              </w:rPr>
            </w:pPr>
            <w:r>
              <w:rPr>
                <w:rFonts w:hint="eastAsia"/>
                <w:sz w:val="18"/>
                <w:szCs w:val="18"/>
              </w:rPr>
              <w:t>6</w:t>
            </w:r>
          </w:p>
        </w:tc>
        <w:tc>
          <w:tcPr>
            <w:tcW w:w="1100" w:type="dxa"/>
            <w:vMerge w:val="continue"/>
          </w:tcPr>
          <w:p w14:paraId="75033EB0">
            <w:pPr>
              <w:jc w:val="center"/>
              <w:rPr>
                <w:sz w:val="18"/>
                <w:szCs w:val="18"/>
              </w:rPr>
            </w:pPr>
          </w:p>
        </w:tc>
      </w:tr>
      <w:tr w14:paraId="74F548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0" w:hRule="atLeast"/>
          <w:jc w:val="center"/>
        </w:trPr>
        <w:tc>
          <w:tcPr>
            <w:tcW w:w="571" w:type="dxa"/>
            <w:vMerge w:val="continue"/>
          </w:tcPr>
          <w:p w14:paraId="5681A9CB">
            <w:pPr>
              <w:rPr>
                <w:sz w:val="18"/>
                <w:szCs w:val="18"/>
              </w:rPr>
            </w:pPr>
          </w:p>
        </w:tc>
        <w:tc>
          <w:tcPr>
            <w:tcW w:w="1226" w:type="dxa"/>
            <w:vMerge w:val="continue"/>
          </w:tcPr>
          <w:p w14:paraId="475BB167">
            <w:pPr>
              <w:jc w:val="center"/>
              <w:rPr>
                <w:sz w:val="18"/>
                <w:szCs w:val="18"/>
              </w:rPr>
            </w:pPr>
          </w:p>
        </w:tc>
        <w:tc>
          <w:tcPr>
            <w:tcW w:w="3516" w:type="dxa"/>
            <w:vAlign w:val="center"/>
          </w:tcPr>
          <w:p w14:paraId="23B1A266">
            <w:pPr>
              <w:rPr>
                <w:sz w:val="18"/>
                <w:szCs w:val="18"/>
              </w:rPr>
            </w:pPr>
            <w:r>
              <w:rPr>
                <w:sz w:val="18"/>
                <w:szCs w:val="18"/>
              </w:rPr>
              <w:t>论文评审</w:t>
            </w:r>
          </w:p>
        </w:tc>
        <w:tc>
          <w:tcPr>
            <w:tcW w:w="1081" w:type="dxa"/>
            <w:vAlign w:val="center"/>
          </w:tcPr>
          <w:p w14:paraId="70AFDEB2">
            <w:pPr>
              <w:jc w:val="center"/>
              <w:rPr>
                <w:sz w:val="18"/>
                <w:szCs w:val="18"/>
              </w:rPr>
            </w:pPr>
          </w:p>
        </w:tc>
        <w:tc>
          <w:tcPr>
            <w:tcW w:w="709" w:type="dxa"/>
            <w:vAlign w:val="center"/>
          </w:tcPr>
          <w:p w14:paraId="25FF42FC">
            <w:pPr>
              <w:jc w:val="center"/>
              <w:rPr>
                <w:sz w:val="18"/>
                <w:szCs w:val="18"/>
              </w:rPr>
            </w:pPr>
          </w:p>
        </w:tc>
        <w:tc>
          <w:tcPr>
            <w:tcW w:w="654" w:type="dxa"/>
            <w:vAlign w:val="center"/>
          </w:tcPr>
          <w:p w14:paraId="4CB97BD0">
            <w:pPr>
              <w:jc w:val="center"/>
              <w:rPr>
                <w:sz w:val="18"/>
                <w:szCs w:val="18"/>
              </w:rPr>
            </w:pPr>
            <w:r>
              <w:rPr>
                <w:sz w:val="18"/>
                <w:szCs w:val="18"/>
              </w:rPr>
              <w:t>6</w:t>
            </w:r>
          </w:p>
        </w:tc>
        <w:tc>
          <w:tcPr>
            <w:tcW w:w="1100" w:type="dxa"/>
            <w:vMerge w:val="continue"/>
          </w:tcPr>
          <w:p w14:paraId="02CFB23C">
            <w:pPr>
              <w:jc w:val="center"/>
              <w:rPr>
                <w:sz w:val="18"/>
                <w:szCs w:val="18"/>
              </w:rPr>
            </w:pPr>
          </w:p>
        </w:tc>
      </w:tr>
      <w:tr w14:paraId="588550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0" w:hRule="atLeast"/>
          <w:jc w:val="center"/>
        </w:trPr>
        <w:tc>
          <w:tcPr>
            <w:tcW w:w="571" w:type="dxa"/>
            <w:vMerge w:val="continue"/>
          </w:tcPr>
          <w:p w14:paraId="00F83DEC">
            <w:pPr>
              <w:rPr>
                <w:sz w:val="18"/>
                <w:szCs w:val="18"/>
              </w:rPr>
            </w:pPr>
          </w:p>
        </w:tc>
        <w:tc>
          <w:tcPr>
            <w:tcW w:w="1226" w:type="dxa"/>
            <w:vMerge w:val="continue"/>
          </w:tcPr>
          <w:p w14:paraId="4E6C3ACF">
            <w:pPr>
              <w:jc w:val="center"/>
              <w:rPr>
                <w:sz w:val="18"/>
                <w:szCs w:val="18"/>
              </w:rPr>
            </w:pPr>
          </w:p>
        </w:tc>
        <w:tc>
          <w:tcPr>
            <w:tcW w:w="3516" w:type="dxa"/>
            <w:vAlign w:val="center"/>
          </w:tcPr>
          <w:p w14:paraId="2918FA42">
            <w:pPr>
              <w:rPr>
                <w:sz w:val="18"/>
                <w:szCs w:val="18"/>
              </w:rPr>
            </w:pPr>
            <w:r>
              <w:rPr>
                <w:sz w:val="18"/>
                <w:szCs w:val="18"/>
              </w:rPr>
              <w:t>论文答辩</w:t>
            </w:r>
          </w:p>
        </w:tc>
        <w:tc>
          <w:tcPr>
            <w:tcW w:w="1081" w:type="dxa"/>
            <w:vAlign w:val="center"/>
          </w:tcPr>
          <w:p w14:paraId="3E4579DD">
            <w:pPr>
              <w:jc w:val="center"/>
              <w:rPr>
                <w:sz w:val="18"/>
                <w:szCs w:val="18"/>
              </w:rPr>
            </w:pPr>
          </w:p>
        </w:tc>
        <w:tc>
          <w:tcPr>
            <w:tcW w:w="709" w:type="dxa"/>
            <w:vAlign w:val="center"/>
          </w:tcPr>
          <w:p w14:paraId="0A60DC7E">
            <w:pPr>
              <w:jc w:val="center"/>
              <w:rPr>
                <w:sz w:val="18"/>
                <w:szCs w:val="18"/>
              </w:rPr>
            </w:pPr>
          </w:p>
        </w:tc>
        <w:tc>
          <w:tcPr>
            <w:tcW w:w="654" w:type="dxa"/>
            <w:vAlign w:val="center"/>
          </w:tcPr>
          <w:p w14:paraId="40F79302">
            <w:pPr>
              <w:jc w:val="center"/>
              <w:rPr>
                <w:sz w:val="18"/>
                <w:szCs w:val="18"/>
              </w:rPr>
            </w:pPr>
            <w:r>
              <w:rPr>
                <w:sz w:val="18"/>
                <w:szCs w:val="18"/>
              </w:rPr>
              <w:t>6</w:t>
            </w:r>
          </w:p>
        </w:tc>
        <w:tc>
          <w:tcPr>
            <w:tcW w:w="1100" w:type="dxa"/>
            <w:vMerge w:val="continue"/>
          </w:tcPr>
          <w:p w14:paraId="74CF8745">
            <w:pPr>
              <w:jc w:val="center"/>
              <w:rPr>
                <w:sz w:val="18"/>
                <w:szCs w:val="18"/>
              </w:rPr>
            </w:pPr>
          </w:p>
        </w:tc>
      </w:tr>
    </w:tbl>
    <w:p w14:paraId="0D63020F">
      <w:pPr>
        <w:spacing w:before="156" w:beforeLines="50"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4540B305">
      <w:pPr>
        <w:spacing w:before="156" w:beforeLines="50" w:line="440" w:lineRule="exact"/>
        <w:ind w:firstLine="200"/>
        <w:rPr>
          <w:b/>
          <w:szCs w:val="21"/>
        </w:rPr>
      </w:pPr>
      <w:r>
        <w:rPr>
          <w:rFonts w:hint="eastAsia"/>
          <w:b/>
          <w:szCs w:val="21"/>
        </w:rPr>
        <w:t>课程</w:t>
      </w:r>
      <w:r>
        <w:rPr>
          <w:b/>
          <w:szCs w:val="21"/>
        </w:rPr>
        <w:t>修读说明</w:t>
      </w:r>
      <w:r>
        <w:rPr>
          <w:rFonts w:hint="eastAsia"/>
          <w:b/>
          <w:szCs w:val="21"/>
        </w:rPr>
        <w:t>：</w:t>
      </w:r>
    </w:p>
    <w:p w14:paraId="05E990ED">
      <w:pPr>
        <w:numPr>
          <w:ilvl w:val="0"/>
          <w:numId w:val="2"/>
        </w:numPr>
        <w:spacing w:before="156" w:beforeLines="50" w:line="440" w:lineRule="exact"/>
        <w:ind w:firstLine="420" w:firstLineChars="200"/>
        <w:rPr>
          <w:bCs/>
          <w:szCs w:val="21"/>
        </w:rPr>
      </w:pPr>
      <w:r>
        <w:rPr>
          <w:bCs/>
          <w:szCs w:val="21"/>
        </w:rPr>
        <w:t>学位课为一级学科下所有专业方向必修课程。必修环节为研究生培养过程中必须完成的培养活动。</w:t>
      </w:r>
    </w:p>
    <w:p w14:paraId="4C4BA2BE">
      <w:pPr>
        <w:numPr>
          <w:ilvl w:val="0"/>
          <w:numId w:val="2"/>
        </w:numPr>
        <w:spacing w:before="156" w:beforeLines="50" w:line="440" w:lineRule="exact"/>
        <w:ind w:firstLine="420" w:firstLineChars="200"/>
        <w:rPr>
          <w:bCs/>
          <w:szCs w:val="21"/>
        </w:rPr>
      </w:pPr>
      <w:r>
        <w:rPr>
          <w:bCs/>
          <w:szCs w:val="21"/>
        </w:rPr>
        <w:t>公共必修课中的外语课程按入学时的外国语考试科目修读相关语种。</w:t>
      </w:r>
    </w:p>
    <w:p w14:paraId="5181F5F7">
      <w:pPr>
        <w:numPr>
          <w:ilvl w:val="0"/>
          <w:numId w:val="2"/>
        </w:numPr>
        <w:spacing w:before="156" w:beforeLines="50" w:line="440" w:lineRule="exact"/>
        <w:ind w:firstLine="420" w:firstLineChars="200"/>
        <w:rPr>
          <w:bCs/>
          <w:szCs w:val="21"/>
        </w:rPr>
      </w:pPr>
      <w:r>
        <w:rPr>
          <w:bCs/>
          <w:szCs w:val="21"/>
        </w:rPr>
        <w:t>公共通识课程为必选课程。</w:t>
      </w:r>
    </w:p>
    <w:p w14:paraId="47D08F3A">
      <w:pPr>
        <w:numPr>
          <w:ilvl w:val="0"/>
          <w:numId w:val="2"/>
        </w:numPr>
        <w:spacing w:before="156" w:beforeLines="50" w:line="440" w:lineRule="exact"/>
        <w:ind w:firstLine="420" w:firstLineChars="200"/>
        <w:rPr>
          <w:bCs/>
          <w:szCs w:val="21"/>
        </w:rPr>
      </w:pPr>
      <w:r>
        <w:rPr>
          <w:bCs/>
          <w:szCs w:val="21"/>
        </w:rPr>
        <w:t>学术/实践活动满10次计1学分</w:t>
      </w:r>
      <w:r>
        <w:rPr>
          <w:rFonts w:hint="eastAsia"/>
          <w:bCs/>
          <w:szCs w:val="21"/>
        </w:rPr>
        <w:t>。</w:t>
      </w:r>
    </w:p>
    <w:p w14:paraId="56EF17E7">
      <w:pPr>
        <w:numPr>
          <w:ilvl w:val="0"/>
          <w:numId w:val="2"/>
        </w:numPr>
        <w:spacing w:before="156" w:beforeLines="50" w:line="440" w:lineRule="exact"/>
        <w:ind w:firstLine="420" w:firstLineChars="200"/>
        <w:rPr>
          <w:bCs/>
          <w:szCs w:val="21"/>
        </w:rPr>
      </w:pPr>
      <w:bookmarkStart w:id="2" w:name="_Hlk193054318"/>
      <w:r>
        <w:rPr>
          <w:bCs/>
          <w:szCs w:val="21"/>
        </w:rPr>
        <w:t>参加中国研究生创新实践系列大赛、中国国际大学生创新大赛</w:t>
      </w:r>
      <w:r>
        <w:rPr>
          <w:rFonts w:asciiTheme="minorEastAsia" w:hAnsiTheme="minorEastAsia" w:eastAsiaTheme="minorEastAsia"/>
          <w:bCs/>
          <w:szCs w:val="21"/>
        </w:rPr>
        <w:t>、“挑战杯”全</w:t>
      </w:r>
      <w:r>
        <w:rPr>
          <w:bCs/>
          <w:szCs w:val="21"/>
        </w:rPr>
        <w:t>国大学生课外学术科技作品竞赛、及本学科专业内有较大影响力的竞赛（例如全国大学生药苑论坛、全国大学生制药工程设计竞赛等）。获国家级各级奖励前5名计1学分，省级各级奖励前3名计0.5学分。</w:t>
      </w:r>
      <w:bookmarkEnd w:id="2"/>
    </w:p>
    <w:p w14:paraId="29BF4542">
      <w:pPr>
        <w:spacing w:before="156" w:beforeLines="50" w:line="440" w:lineRule="exact"/>
        <w:ind w:firstLine="420" w:firstLineChars="200"/>
        <w:rPr>
          <w:bCs/>
          <w:szCs w:val="21"/>
        </w:rPr>
      </w:pPr>
      <w:r>
        <w:rPr>
          <w:bCs/>
          <w:szCs w:val="21"/>
        </w:rPr>
        <w:t>6.学生毕业总学分为：</w:t>
      </w:r>
      <w:r>
        <w:rPr>
          <w:bCs/>
          <w:iCs/>
          <w:szCs w:val="21"/>
        </w:rPr>
        <w:t>学位课+非学位课+必修环节</w:t>
      </w:r>
      <w:r>
        <w:rPr>
          <w:bCs/>
          <w:szCs w:val="21"/>
        </w:rPr>
        <w:t>。</w:t>
      </w:r>
    </w:p>
    <w:p w14:paraId="2A52B625">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422261DD">
      <w:pPr>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3C112C82">
      <w:pPr>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A00002EF" w:usb1="4000004B" w:usb2="00000000" w:usb3="00000000" w:csb0="200000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CC958D"/>
    <w:multiLevelType w:val="singleLevel"/>
    <w:tmpl w:val="EACC958D"/>
    <w:lvl w:ilvl="0" w:tentative="0">
      <w:start w:val="1"/>
      <w:numFmt w:val="decimal"/>
      <w:suff w:val="space"/>
      <w:lvlText w:val="%1."/>
      <w:lvlJc w:val="left"/>
    </w:lvl>
  </w:abstractNum>
  <w:abstractNum w:abstractNumId="1">
    <w:nsid w:val="5CA822CC"/>
    <w:multiLevelType w:val="singleLevel"/>
    <w:tmpl w:val="5CA822CC"/>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061"/>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0BE6"/>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0971"/>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3D18"/>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A8F"/>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63"/>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5EB8"/>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60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3D14"/>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124B"/>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969D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3990"/>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E40"/>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37DC"/>
    <w:rsid w:val="00665497"/>
    <w:rsid w:val="00665E28"/>
    <w:rsid w:val="006661B6"/>
    <w:rsid w:val="00666F41"/>
    <w:rsid w:val="00667011"/>
    <w:rsid w:val="0067029E"/>
    <w:rsid w:val="00671196"/>
    <w:rsid w:val="00671444"/>
    <w:rsid w:val="00671C82"/>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ADB"/>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482"/>
    <w:rsid w:val="0078771C"/>
    <w:rsid w:val="00787ACB"/>
    <w:rsid w:val="00787BF2"/>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B34"/>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2DCE"/>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2DBC"/>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3A9E"/>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C62"/>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457"/>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23D"/>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3D54"/>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1227"/>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4F50"/>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4B7F"/>
    <w:rsid w:val="00EA5247"/>
    <w:rsid w:val="00EA6406"/>
    <w:rsid w:val="00EA6C04"/>
    <w:rsid w:val="00EA714E"/>
    <w:rsid w:val="00EA7BC2"/>
    <w:rsid w:val="00EB2125"/>
    <w:rsid w:val="00EB3E9A"/>
    <w:rsid w:val="00EB47EF"/>
    <w:rsid w:val="00EB4C13"/>
    <w:rsid w:val="00EB5370"/>
    <w:rsid w:val="00EB739C"/>
    <w:rsid w:val="00EB7709"/>
    <w:rsid w:val="00EB77DA"/>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4678"/>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33E"/>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6422C7"/>
    <w:rsid w:val="0552651B"/>
    <w:rsid w:val="108A6116"/>
    <w:rsid w:val="191009E7"/>
    <w:rsid w:val="19444811"/>
    <w:rsid w:val="1B3F4FE7"/>
    <w:rsid w:val="1D2E3157"/>
    <w:rsid w:val="1FE96C05"/>
    <w:rsid w:val="2D306A77"/>
    <w:rsid w:val="380F20AB"/>
    <w:rsid w:val="392B52CE"/>
    <w:rsid w:val="454C5E3B"/>
    <w:rsid w:val="471072A6"/>
    <w:rsid w:val="5385202A"/>
    <w:rsid w:val="5A3B50D1"/>
    <w:rsid w:val="6C72600E"/>
    <w:rsid w:val="6F6B5112"/>
    <w:rsid w:val="72F64B9C"/>
    <w:rsid w:val="74DA48CB"/>
    <w:rsid w:val="770245AD"/>
    <w:rsid w:val="7ADA1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BAF3A-0BC6-470F-8EC9-F88330BDCA5D}">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9</Pages>
  <Words>5597</Words>
  <Characters>5880</Characters>
  <Lines>44</Lines>
  <Paragraphs>12</Paragraphs>
  <TotalTime>19</TotalTime>
  <ScaleCrop>false</ScaleCrop>
  <LinksUpToDate>false</LinksUpToDate>
  <CharactersWithSpaces>5913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秋</cp:lastModifiedBy>
  <cp:lastPrinted>2025-06-19T08:28:06Z</cp:lastPrinted>
  <dcterms:modified xsi:type="dcterms:W3CDTF">2025-06-19T08:28:57Z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eyJoZGlkIjoiMDllMjFiNjgwN2I4NWQ3OTlmODBmOTcxZjVmZjY0YjUiLCJ1c2VySWQiOiI0MzkxNjk0MDIifQ==</vt:lpwstr>
  </property>
  <property fmtid="{D5CDD505-2E9C-101B-9397-08002B2CF9AE}" pid="4" name="ICV">
    <vt:lpwstr>DF9AEA200D0C40BCBDDEA173E0B847F5_12</vt:lpwstr>
  </property>
</Properties>
</file>