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120A7">
      <w:pPr>
        <w:ind w:left="321" w:leftChars="153" w:right="227"/>
        <w:jc w:val="center"/>
        <w:rPr>
          <w:rFonts w:eastAsia="黑体"/>
          <w:b/>
          <w:bCs/>
          <w:color w:val="auto"/>
          <w:sz w:val="36"/>
          <w:szCs w:val="36"/>
        </w:rPr>
      </w:pPr>
      <w:bookmarkStart w:id="0" w:name="OLE_LINK7"/>
      <w:bookmarkStart w:id="1" w:name="OLE_LINK6"/>
      <w:r>
        <w:rPr>
          <w:rFonts w:hint="eastAsia" w:eastAsia="黑体"/>
          <w:b/>
          <w:bCs/>
          <w:color w:val="auto"/>
          <w:sz w:val="36"/>
          <w:szCs w:val="36"/>
        </w:rPr>
        <w:t>针灸推拿学</w:t>
      </w:r>
      <w:r>
        <w:rPr>
          <w:rFonts w:eastAsia="黑体"/>
          <w:b/>
          <w:bCs/>
          <w:color w:val="auto"/>
          <w:sz w:val="36"/>
          <w:szCs w:val="36"/>
        </w:rPr>
        <w:t>专业全日制专业学位硕士研究生培养方案</w:t>
      </w:r>
    </w:p>
    <w:p w14:paraId="17461750">
      <w:pPr>
        <w:ind w:left="321" w:leftChars="153" w:right="227"/>
        <w:jc w:val="center"/>
        <w:rPr>
          <w:rFonts w:eastAsia="黑体"/>
          <w:b/>
          <w:bCs/>
          <w:color w:val="auto"/>
          <w:sz w:val="28"/>
          <w:szCs w:val="28"/>
        </w:rPr>
      </w:pPr>
      <w:r>
        <w:rPr>
          <w:rFonts w:eastAsia="黑体"/>
          <w:b/>
          <w:bCs/>
          <w:color w:val="auto"/>
          <w:sz w:val="28"/>
          <w:szCs w:val="28"/>
        </w:rPr>
        <w:t>（</w:t>
      </w:r>
      <w:r>
        <w:rPr>
          <w:rFonts w:hint="eastAsia" w:eastAsia="黑体"/>
          <w:b/>
          <w:bCs/>
          <w:color w:val="auto"/>
          <w:sz w:val="28"/>
          <w:szCs w:val="28"/>
        </w:rPr>
        <w:t>中医</w:t>
      </w:r>
      <w:r>
        <w:rPr>
          <w:rFonts w:eastAsia="黑体"/>
          <w:b/>
          <w:bCs/>
          <w:color w:val="auto"/>
          <w:sz w:val="28"/>
          <w:szCs w:val="28"/>
        </w:rPr>
        <w:t>学院)</w:t>
      </w:r>
    </w:p>
    <w:p w14:paraId="6D67F3BA">
      <w:pPr>
        <w:spacing w:line="360" w:lineRule="auto"/>
        <w:ind w:firstLine="562" w:firstLineChars="200"/>
        <w:rPr>
          <w:rFonts w:eastAsia="黑体"/>
          <w:b/>
          <w:color w:val="auto"/>
          <w:sz w:val="28"/>
          <w:szCs w:val="28"/>
        </w:rPr>
      </w:pPr>
      <w:r>
        <w:rPr>
          <w:rFonts w:eastAsia="黑体"/>
          <w:b/>
          <w:color w:val="auto"/>
          <w:sz w:val="28"/>
          <w:szCs w:val="28"/>
        </w:rPr>
        <w:t>一、专业名称、代码</w:t>
      </w:r>
    </w:p>
    <w:p w14:paraId="55C02A42">
      <w:pPr>
        <w:widowControl/>
        <w:spacing w:line="360" w:lineRule="auto"/>
        <w:ind w:firstLine="480" w:firstLineChars="200"/>
        <w:jc w:val="left"/>
        <w:rPr>
          <w:color w:val="auto"/>
          <w:kern w:val="0"/>
          <w:sz w:val="24"/>
        </w:rPr>
      </w:pPr>
      <w:r>
        <w:rPr>
          <w:color w:val="auto"/>
          <w:kern w:val="0"/>
          <w:sz w:val="24"/>
        </w:rPr>
        <w:t>专业名称：</w:t>
      </w:r>
      <w:r>
        <w:rPr>
          <w:rFonts w:hint="eastAsia"/>
          <w:color w:val="auto"/>
          <w:kern w:val="0"/>
          <w:sz w:val="24"/>
        </w:rPr>
        <w:t>针灸推拿学</w:t>
      </w:r>
    </w:p>
    <w:p w14:paraId="05235232">
      <w:pPr>
        <w:widowControl/>
        <w:spacing w:line="360" w:lineRule="auto"/>
        <w:ind w:firstLine="480" w:firstLineChars="200"/>
        <w:jc w:val="left"/>
        <w:rPr>
          <w:color w:val="auto"/>
          <w:kern w:val="0"/>
          <w:sz w:val="18"/>
          <w:szCs w:val="18"/>
        </w:rPr>
      </w:pPr>
      <w:r>
        <w:rPr>
          <w:color w:val="auto"/>
          <w:kern w:val="0"/>
          <w:sz w:val="24"/>
        </w:rPr>
        <w:t>专业代码：</w:t>
      </w:r>
      <w:r>
        <w:rPr>
          <w:rFonts w:hint="eastAsia"/>
          <w:color w:val="auto"/>
          <w:kern w:val="0"/>
          <w:sz w:val="24"/>
        </w:rPr>
        <w:t>105707</w:t>
      </w:r>
    </w:p>
    <w:p w14:paraId="203EB19C">
      <w:pPr>
        <w:spacing w:line="360" w:lineRule="auto"/>
        <w:ind w:firstLine="562" w:firstLineChars="200"/>
        <w:rPr>
          <w:rFonts w:eastAsia="黑体"/>
          <w:b/>
          <w:i/>
          <w:color w:val="auto"/>
          <w:sz w:val="28"/>
          <w:szCs w:val="28"/>
        </w:rPr>
      </w:pPr>
      <w:r>
        <w:rPr>
          <w:rFonts w:eastAsia="黑体"/>
          <w:b/>
          <w:color w:val="auto"/>
          <w:sz w:val="28"/>
          <w:szCs w:val="28"/>
        </w:rPr>
        <w:t>二、专业简介</w:t>
      </w:r>
    </w:p>
    <w:p w14:paraId="2E4E2FBB">
      <w:pPr>
        <w:widowControl/>
        <w:spacing w:line="360" w:lineRule="auto"/>
        <w:ind w:firstLine="480" w:firstLineChars="200"/>
        <w:jc w:val="left"/>
        <w:rPr>
          <w:rFonts w:hint="eastAsia"/>
          <w:color w:val="0000FF"/>
          <w:sz w:val="24"/>
        </w:rPr>
      </w:pPr>
      <w:r>
        <w:rPr>
          <w:rFonts w:hint="eastAsia"/>
          <w:color w:val="0000FF"/>
          <w:sz w:val="24"/>
        </w:rPr>
        <w:t>学位点</w:t>
      </w:r>
      <w:r>
        <w:rPr>
          <w:rFonts w:hint="eastAsia" w:cs="宋体"/>
          <w:color w:val="0000FF"/>
          <w:sz w:val="24"/>
        </w:rPr>
        <w:t>根据教育部对中医专业硕士培养的要求，突出培养具有中医临床思维，具备针灸推拿学临床的分析能力和实践能力，以及良好的沟通能力，能独立规范承担专业和相关专业的常见疾病诊治工作的针灸推拿学临床人才。学位点的研究生的</w:t>
      </w:r>
      <w:r>
        <w:rPr>
          <w:rFonts w:hint="eastAsia"/>
          <w:color w:val="0000FF"/>
          <w:sz w:val="24"/>
        </w:rPr>
        <w:t>临床实践能力培养在国家中医药管理局首批中医住院师规培基地</w:t>
      </w:r>
      <w:r>
        <w:rPr>
          <w:rFonts w:hint="eastAsia"/>
          <w:color w:val="0000FF"/>
          <w:sz w:val="24"/>
          <w:lang w:val="en-US" w:eastAsia="zh-CN"/>
        </w:rPr>
        <w:t>---</w:t>
      </w:r>
      <w:r>
        <w:rPr>
          <w:rFonts w:hint="eastAsia"/>
          <w:color w:val="0000FF"/>
          <w:sz w:val="24"/>
        </w:rPr>
        <w:t>广安门医院保定医院实施。规培基地开展脏腑推拿术等中医医疗技术，“脏腑推拿疗法”为国家级非物质文化遗产代表性项目</w:t>
      </w:r>
      <w:r>
        <w:rPr>
          <w:rFonts w:hint="eastAsia"/>
          <w:color w:val="0000FF"/>
          <w:sz w:val="24"/>
          <w:lang w:val="en-US" w:eastAsia="zh-CN"/>
        </w:rPr>
        <w:t>以及</w:t>
      </w:r>
      <w:r>
        <w:rPr>
          <w:rFonts w:hint="eastAsia"/>
          <w:color w:val="0000FF"/>
          <w:sz w:val="24"/>
        </w:rPr>
        <w:t>脐灸疗法、腕踝针疗法等适宜技术。</w:t>
      </w:r>
    </w:p>
    <w:p w14:paraId="76042945">
      <w:pPr>
        <w:widowControl/>
        <w:spacing w:before="156" w:beforeLines="50" w:line="360" w:lineRule="auto"/>
        <w:ind w:firstLine="480" w:firstLineChars="200"/>
        <w:jc w:val="left"/>
        <w:rPr>
          <w:color w:val="0000FF"/>
          <w:sz w:val="24"/>
        </w:rPr>
      </w:pPr>
      <w:r>
        <w:rPr>
          <w:rFonts w:hint="eastAsia"/>
          <w:color w:val="0000FF"/>
          <w:sz w:val="24"/>
          <w:lang w:val="en-US" w:eastAsia="zh-CN"/>
        </w:rPr>
        <w:t>专业特色体现为：第一，</w:t>
      </w:r>
      <w:r>
        <w:rPr>
          <w:color w:val="0000FF"/>
          <w:sz w:val="24"/>
        </w:rPr>
        <w:t>学位点</w:t>
      </w:r>
      <w:r>
        <w:rPr>
          <w:rFonts w:hint="eastAsia"/>
          <w:color w:val="0000FF"/>
          <w:sz w:val="24"/>
        </w:rPr>
        <w:t>实行双</w:t>
      </w:r>
      <w:r>
        <w:rPr>
          <w:color w:val="0000FF"/>
          <w:sz w:val="24"/>
        </w:rPr>
        <w:t>导师</w:t>
      </w:r>
      <w:r>
        <w:rPr>
          <w:rFonts w:hint="eastAsia"/>
          <w:color w:val="0000FF"/>
          <w:sz w:val="24"/>
        </w:rPr>
        <w:t>制度，导师</w:t>
      </w:r>
      <w:r>
        <w:rPr>
          <w:color w:val="0000FF"/>
          <w:sz w:val="24"/>
        </w:rPr>
        <w:t>由河北大学导师与临床基地导师组成</w:t>
      </w:r>
      <w:r>
        <w:rPr>
          <w:rFonts w:hint="eastAsia"/>
          <w:color w:val="0000FF"/>
          <w:sz w:val="24"/>
          <w:lang w:eastAsia="zh-CN"/>
        </w:rPr>
        <w:t>，</w:t>
      </w:r>
      <w:r>
        <w:rPr>
          <w:rFonts w:hint="eastAsia" w:ascii="宋体" w:hAnsi="宋体" w:cs="宋体"/>
          <w:color w:val="0000FF"/>
          <w:kern w:val="0"/>
          <w:sz w:val="24"/>
          <w:lang w:bidi="ar"/>
        </w:rPr>
        <w:t>学术导师指导研究生</w:t>
      </w:r>
      <w:r>
        <w:rPr>
          <w:rFonts w:hint="eastAsia" w:ascii="宋体" w:hAnsi="宋体" w:cs="宋体"/>
          <w:color w:val="0000FF"/>
          <w:kern w:val="0"/>
          <w:sz w:val="24"/>
          <w:lang w:val="en-US" w:eastAsia="zh-CN" w:bidi="ar"/>
        </w:rPr>
        <w:t>制定个性化培养规划并</w:t>
      </w:r>
      <w:r>
        <w:rPr>
          <w:rFonts w:hint="eastAsia" w:ascii="宋体" w:hAnsi="宋体" w:cs="宋体"/>
          <w:color w:val="0000FF"/>
          <w:kern w:val="0"/>
          <w:sz w:val="24"/>
          <w:lang w:bidi="ar"/>
        </w:rPr>
        <w:t>完成学位论文工作，规培导师指导研究生的临床能力训练</w:t>
      </w:r>
      <w:r>
        <w:rPr>
          <w:rFonts w:hint="eastAsia" w:ascii="宋体" w:hAnsi="宋体" w:cs="宋体"/>
          <w:color w:val="0000FF"/>
          <w:sz w:val="24"/>
        </w:rPr>
        <w:t>。</w:t>
      </w:r>
      <w:r>
        <w:rPr>
          <w:rFonts w:hint="eastAsia" w:ascii="宋体" w:hAnsi="宋体" w:cs="宋体"/>
          <w:color w:val="0000FF"/>
          <w:sz w:val="24"/>
          <w:lang w:val="en-US" w:eastAsia="zh-CN"/>
        </w:rPr>
        <w:t>第二，</w:t>
      </w:r>
      <w:r>
        <w:rPr>
          <w:rFonts w:hint="eastAsia" w:ascii="宋体" w:hAnsi="宋体" w:cs="宋体"/>
          <w:color w:val="0000FF"/>
          <w:sz w:val="24"/>
        </w:rPr>
        <w:t>学位点强调</w:t>
      </w:r>
      <w:r>
        <w:rPr>
          <w:rFonts w:hint="eastAsia" w:ascii="宋体" w:hAnsi="宋体" w:cs="宋体"/>
          <w:color w:val="0000FF"/>
          <w:sz w:val="24"/>
          <w:lang w:val="en-US" w:eastAsia="zh-CN"/>
        </w:rPr>
        <w:t>个性化培养</w:t>
      </w:r>
      <w:r>
        <w:rPr>
          <w:rFonts w:hint="eastAsia" w:ascii="宋体" w:hAnsi="宋体" w:cs="宋体"/>
          <w:color w:val="0000FF"/>
          <w:sz w:val="24"/>
        </w:rPr>
        <w:t>，</w:t>
      </w:r>
      <w:r>
        <w:rPr>
          <w:rFonts w:hint="eastAsia" w:ascii="宋体" w:hAnsi="宋体" w:cs="宋体"/>
          <w:color w:val="0000FF"/>
          <w:sz w:val="24"/>
          <w:lang w:val="en-US" w:eastAsia="zh-CN"/>
        </w:rPr>
        <w:t>以燕赵中医学派为特色</w:t>
      </w:r>
      <w:r>
        <w:rPr>
          <w:rFonts w:hint="eastAsia" w:ascii="宋体" w:hAnsi="宋体" w:cs="宋体"/>
          <w:color w:val="0000FF"/>
          <w:sz w:val="24"/>
        </w:rPr>
        <w:t>，</w:t>
      </w:r>
      <w:r>
        <w:rPr>
          <w:rFonts w:hint="eastAsia" w:ascii="宋体" w:hAnsi="宋体" w:cs="宋体"/>
          <w:color w:val="0000FF"/>
          <w:sz w:val="24"/>
          <w:lang w:val="en-US" w:eastAsia="zh-CN"/>
        </w:rPr>
        <w:t>建立“</w:t>
      </w:r>
      <w:r>
        <w:rPr>
          <w:rFonts w:hint="eastAsia" w:ascii="宋体" w:hAnsi="宋体" w:cs="宋体"/>
          <w:color w:val="0000FF"/>
          <w:sz w:val="24"/>
        </w:rPr>
        <w:t>中医学院特色专长工作室</w:t>
      </w:r>
      <w:r>
        <w:rPr>
          <w:rFonts w:hint="eastAsia" w:ascii="宋体" w:hAnsi="宋体" w:cs="宋体"/>
          <w:color w:val="0000FF"/>
          <w:sz w:val="24"/>
          <w:lang w:eastAsia="zh-CN"/>
        </w:rPr>
        <w:t>”</w:t>
      </w:r>
      <w:r>
        <w:rPr>
          <w:rFonts w:hint="eastAsia" w:ascii="宋体" w:hAnsi="宋体" w:cs="宋体"/>
          <w:color w:val="0000FF"/>
          <w:sz w:val="24"/>
        </w:rPr>
        <w:t>，将岐轩脉法</w:t>
      </w:r>
      <w:r>
        <w:rPr>
          <w:rFonts w:hint="eastAsia" w:ascii="宋体" w:hAnsi="宋体" w:cs="宋体"/>
          <w:color w:val="0000FF"/>
          <w:sz w:val="24"/>
          <w:lang w:eastAsia="zh-CN"/>
        </w:rPr>
        <w:t>、</w:t>
      </w:r>
      <w:r>
        <w:rPr>
          <w:rFonts w:hint="eastAsia" w:ascii="宋体" w:hAnsi="宋体" w:cs="宋体"/>
          <w:color w:val="0000FF"/>
          <w:sz w:val="24"/>
          <w:lang w:val="en-US" w:eastAsia="zh-CN"/>
        </w:rPr>
        <w:t>元气针法</w:t>
      </w:r>
      <w:r>
        <w:rPr>
          <w:rFonts w:hint="eastAsia" w:ascii="宋体" w:hAnsi="宋体" w:cs="宋体"/>
          <w:color w:val="0000FF"/>
          <w:sz w:val="24"/>
        </w:rPr>
        <w:t>等引入研究生第二课堂活动中。</w:t>
      </w:r>
      <w:r>
        <w:rPr>
          <w:rFonts w:hint="eastAsia" w:ascii="宋体" w:hAnsi="宋体" w:cs="宋体"/>
          <w:color w:val="0000FF"/>
          <w:sz w:val="24"/>
          <w:lang w:val="en-US" w:eastAsia="zh-CN"/>
        </w:rPr>
        <w:t>第三，</w:t>
      </w:r>
      <w:r>
        <w:rPr>
          <w:rFonts w:hint="eastAsia" w:ascii="宋体" w:hAnsi="宋体" w:cs="宋体"/>
          <w:color w:val="0000FF"/>
          <w:sz w:val="24"/>
        </w:rPr>
        <w:t>聘任</w:t>
      </w:r>
      <w:r>
        <w:rPr>
          <w:rFonts w:hint="eastAsia" w:ascii="宋体" w:hAnsi="宋体" w:cs="宋体"/>
          <w:color w:val="0000FF"/>
          <w:sz w:val="24"/>
          <w:lang w:val="en-US" w:eastAsia="zh-CN"/>
        </w:rPr>
        <w:t>北京中医药大学附属医院、中国中医科学院附属医院知名专家</w:t>
      </w:r>
      <w:r>
        <w:rPr>
          <w:rFonts w:hint="eastAsia" w:ascii="宋体" w:hAnsi="宋体" w:cs="宋体"/>
          <w:color w:val="0000FF"/>
          <w:sz w:val="24"/>
        </w:rPr>
        <w:t>为校外导师</w:t>
      </w:r>
      <w:r>
        <w:rPr>
          <w:rFonts w:hint="eastAsia"/>
          <w:color w:val="0000FF"/>
        </w:rPr>
        <w:t>。</w:t>
      </w:r>
    </w:p>
    <w:p w14:paraId="051CC3EF">
      <w:pPr>
        <w:spacing w:line="360" w:lineRule="auto"/>
        <w:ind w:firstLine="562" w:firstLineChars="200"/>
        <w:rPr>
          <w:rFonts w:eastAsia="黑体"/>
          <w:b/>
          <w:color w:val="auto"/>
          <w:sz w:val="28"/>
          <w:szCs w:val="28"/>
        </w:rPr>
      </w:pPr>
      <w:r>
        <w:rPr>
          <w:rFonts w:eastAsia="黑体"/>
          <w:b/>
          <w:color w:val="auto"/>
          <w:sz w:val="28"/>
          <w:szCs w:val="28"/>
        </w:rPr>
        <w:t>三、研究方向</w:t>
      </w:r>
    </w:p>
    <w:p w14:paraId="45386D7D">
      <w:pPr>
        <w:widowControl/>
        <w:spacing w:line="360" w:lineRule="auto"/>
        <w:ind w:firstLine="480" w:firstLineChars="200"/>
        <w:jc w:val="left"/>
        <w:rPr>
          <w:color w:val="auto"/>
          <w:sz w:val="24"/>
        </w:rPr>
      </w:pPr>
      <w:r>
        <w:rPr>
          <w:rFonts w:hint="eastAsia" w:cs="宋体"/>
          <w:color w:val="auto"/>
          <w:sz w:val="24"/>
          <w:lang w:val="en-US" w:eastAsia="zh-CN"/>
        </w:rPr>
        <w:t>1.</w:t>
      </w:r>
      <w:r>
        <w:rPr>
          <w:rFonts w:hint="eastAsia" w:cs="宋体"/>
          <w:color w:val="auto"/>
          <w:sz w:val="24"/>
        </w:rPr>
        <w:t>针灸和推拿治疗各种痛症的研究：探讨各种痛症病因病机、病势演变规律、四诊采集特点、辨证要点、诊断规律和类证鉴别、治则治法特点以及临床疗效评价；探讨针灸推拿治疗痛证的有效性机制，临床疗效评价以及中医药防治进展等临床研究。基于TTM探讨颈椎病的针刺疗效评价；探讨各种头痛的针刺疗效评价；探讨咽痛的针刺疗效评价；探讨各种牙痛的针刺疗效评价；探讨各种筋膜损伤的针刺疗效评价；探讨各种腰痛的针刺疗效评价；探讨强直性脊柱炎的中医针灸疗效评价；基于数据挖掘名老中医治疗痛症的经验总结和穴位规律研究。</w:t>
      </w:r>
    </w:p>
    <w:p w14:paraId="0A37F422">
      <w:pPr>
        <w:numPr>
          <w:ilvl w:val="0"/>
          <w:numId w:val="0"/>
        </w:numPr>
        <w:spacing w:line="360" w:lineRule="auto"/>
        <w:ind w:firstLine="480" w:firstLineChars="200"/>
        <w:rPr>
          <w:rFonts w:cs="宋体"/>
          <w:color w:val="auto"/>
          <w:sz w:val="24"/>
        </w:rPr>
      </w:pPr>
      <w:r>
        <w:rPr>
          <w:rFonts w:hint="eastAsia" w:cs="宋体"/>
          <w:color w:val="auto"/>
          <w:sz w:val="24"/>
          <w:lang w:val="en-US" w:eastAsia="zh-CN"/>
        </w:rPr>
        <w:t>2.</w:t>
      </w:r>
      <w:r>
        <w:rPr>
          <w:rFonts w:hint="eastAsia" w:cs="宋体"/>
          <w:color w:val="auto"/>
          <w:sz w:val="24"/>
        </w:rPr>
        <w:t>针灸和推拿治疗神经系统疾病的研究：探讨</w:t>
      </w:r>
      <w:bookmarkStart w:id="2" w:name="OLE_LINK8"/>
      <w:r>
        <w:rPr>
          <w:rFonts w:hint="eastAsia" w:cs="宋体"/>
          <w:color w:val="auto"/>
          <w:sz w:val="24"/>
        </w:rPr>
        <w:t>脑梗后遗症和面瘫</w:t>
      </w:r>
      <w:bookmarkEnd w:id="2"/>
      <w:r>
        <w:rPr>
          <w:rFonts w:hint="eastAsia" w:cs="宋体"/>
          <w:color w:val="auto"/>
          <w:sz w:val="24"/>
        </w:rPr>
        <w:t>的病因病机、病势演变规律、四诊采集特点、辨证要点、诊断规律和类证鉴别、治则治法特的点以及针刺和艾灸治疗的临床疗效评价；</w:t>
      </w:r>
      <w:bookmarkStart w:id="3" w:name="OLE_LINK2"/>
      <w:r>
        <w:rPr>
          <w:rFonts w:hint="eastAsia" w:cs="宋体"/>
          <w:color w:val="auto"/>
          <w:sz w:val="24"/>
        </w:rPr>
        <w:t>探讨针刺、艾灸、刺血、推拿联合治疗脑梗后遗症</w:t>
      </w:r>
      <w:r>
        <w:rPr>
          <w:rFonts w:hint="eastAsia" w:cs="宋体"/>
          <w:color w:val="auto"/>
          <w:sz w:val="24"/>
          <w:lang w:eastAsia="zh-CN"/>
        </w:rPr>
        <w:t>、</w:t>
      </w:r>
      <w:r>
        <w:rPr>
          <w:rFonts w:hint="eastAsia" w:ascii="宋体" w:hAnsi="宋体" w:cs="宋体"/>
          <w:color w:val="auto"/>
          <w:sz w:val="24"/>
        </w:rPr>
        <w:t>经络肢体病</w:t>
      </w:r>
      <w:r>
        <w:rPr>
          <w:rFonts w:hint="eastAsia" w:cs="宋体"/>
          <w:color w:val="auto"/>
          <w:sz w:val="24"/>
        </w:rPr>
        <w:t>和</w:t>
      </w:r>
      <w:r>
        <w:rPr>
          <w:rFonts w:hint="eastAsia" w:ascii="宋体" w:hAnsi="宋体" w:cs="宋体"/>
          <w:color w:val="auto"/>
          <w:sz w:val="24"/>
        </w:rPr>
        <w:t>周围神经疾病</w:t>
      </w:r>
      <w:r>
        <w:rPr>
          <w:rFonts w:hint="eastAsia" w:cs="宋体"/>
          <w:color w:val="auto"/>
          <w:sz w:val="24"/>
        </w:rPr>
        <w:t>的有效性机制，以及中医药防治进展等临床研究。</w:t>
      </w:r>
      <w:bookmarkEnd w:id="3"/>
      <w:r>
        <w:rPr>
          <w:rFonts w:hint="eastAsia" w:cs="宋体"/>
          <w:color w:val="auto"/>
          <w:sz w:val="24"/>
        </w:rPr>
        <w:t>基于数据挖掘名老中医治疗</w:t>
      </w:r>
      <w:r>
        <w:rPr>
          <w:rFonts w:hint="eastAsia" w:cs="宋体"/>
          <w:color w:val="auto"/>
          <w:sz w:val="24"/>
          <w:lang w:val="en-US" w:eastAsia="zh-CN"/>
        </w:rPr>
        <w:t>神经系统</w:t>
      </w:r>
      <w:r>
        <w:rPr>
          <w:rFonts w:hint="eastAsia" w:cs="宋体"/>
          <w:color w:val="auto"/>
          <w:sz w:val="24"/>
        </w:rPr>
        <w:t>的经验总结和穴位规律研究。</w:t>
      </w:r>
    </w:p>
    <w:p w14:paraId="4FA248C9">
      <w:pPr>
        <w:widowControl/>
        <w:spacing w:line="360" w:lineRule="auto"/>
        <w:ind w:firstLine="480" w:firstLineChars="200"/>
        <w:jc w:val="left"/>
        <w:rPr>
          <w:rFonts w:eastAsiaTheme="minorEastAsia"/>
          <w:i/>
          <w:color w:val="auto"/>
          <w:sz w:val="24"/>
        </w:rPr>
      </w:pPr>
      <w:r>
        <w:rPr>
          <w:rFonts w:hint="eastAsia" w:cs="宋体"/>
          <w:color w:val="auto"/>
          <w:sz w:val="24"/>
          <w:lang w:val="en-US" w:eastAsia="zh-CN"/>
        </w:rPr>
        <w:t>3.</w:t>
      </w:r>
      <w:r>
        <w:rPr>
          <w:rFonts w:hint="eastAsia" w:cs="宋体"/>
          <w:color w:val="auto"/>
          <w:sz w:val="24"/>
        </w:rPr>
        <w:t>针灸和推拿防治各种亚健康状态的研究：探讨针灸推拿防治各种亚健康状态的有效性机制，临床疗效评价以及中医药防治进展等临床研究。重点探讨元气针法治疗大学生阳虚体质的临床疗效评价；基于TTM的元气针灸排寒机制的研究；解结针法治疗大学生轻度颈椎病的临床疗效评价；睡眠五针治疗大学生睡眠障碍综合征的临床疗效评价；解郁针法治疗大学生焦虑症的临床疗效评价；老十针治疗大学生脾胃疾病的临床疗效评价；熬夜对大学生亚健康状态的影响；基于TTM探讨冷饮对大学生亚健康状态的影响</w:t>
      </w:r>
      <w:r>
        <w:rPr>
          <w:rFonts w:hint="eastAsia" w:cs="宋体"/>
          <w:color w:val="auto"/>
          <w:sz w:val="24"/>
          <w:lang w:eastAsia="zh-CN"/>
        </w:rPr>
        <w:t>，</w:t>
      </w:r>
      <w:r>
        <w:rPr>
          <w:rFonts w:hint="eastAsia" w:cs="宋体"/>
          <w:color w:val="auto"/>
          <w:sz w:val="24"/>
          <w:lang w:val="en-US" w:eastAsia="zh-CN"/>
        </w:rPr>
        <w:t>探讨</w:t>
      </w:r>
      <w:r>
        <w:rPr>
          <w:rFonts w:hint="eastAsia" w:cs="宋体"/>
          <w:color w:val="auto"/>
          <w:sz w:val="24"/>
        </w:rPr>
        <w:t>“子午流注”“灵龟八法”等传统针法的</w:t>
      </w:r>
      <w:r>
        <w:rPr>
          <w:rFonts w:hint="eastAsia" w:cs="宋体"/>
          <w:color w:val="auto"/>
          <w:sz w:val="24"/>
          <w:lang w:val="en-US" w:eastAsia="zh-CN"/>
        </w:rPr>
        <w:t>针刺效应</w:t>
      </w:r>
      <w:r>
        <w:rPr>
          <w:rFonts w:hint="eastAsia" w:cs="宋体"/>
          <w:color w:val="auto"/>
          <w:sz w:val="24"/>
        </w:rPr>
        <w:t>评价</w:t>
      </w:r>
      <w:r>
        <w:rPr>
          <w:rFonts w:hint="eastAsia"/>
          <w:color w:val="auto"/>
          <w:sz w:val="24"/>
        </w:rPr>
        <w:t>。</w:t>
      </w:r>
    </w:p>
    <w:p w14:paraId="312CD468">
      <w:pPr>
        <w:spacing w:line="360" w:lineRule="auto"/>
        <w:ind w:firstLine="562" w:firstLineChars="200"/>
        <w:rPr>
          <w:rFonts w:eastAsia="黑体"/>
          <w:b/>
          <w:color w:val="auto"/>
          <w:sz w:val="28"/>
          <w:szCs w:val="28"/>
        </w:rPr>
      </w:pPr>
      <w:r>
        <w:rPr>
          <w:rFonts w:eastAsia="黑体"/>
          <w:b/>
          <w:color w:val="auto"/>
          <w:sz w:val="28"/>
          <w:szCs w:val="28"/>
        </w:rPr>
        <w:t>四、学制及学习年限</w:t>
      </w:r>
    </w:p>
    <w:p w14:paraId="07FAFBFC">
      <w:pPr>
        <w:spacing w:line="360" w:lineRule="auto"/>
        <w:ind w:firstLine="480" w:firstLineChars="200"/>
        <w:rPr>
          <w:rFonts w:eastAsiaTheme="minorEastAsia"/>
          <w:i/>
          <w:color w:val="auto"/>
          <w:sz w:val="24"/>
        </w:rPr>
      </w:pPr>
      <w:r>
        <w:rPr>
          <w:rFonts w:eastAsiaTheme="minorEastAsia"/>
          <w:color w:val="auto"/>
          <w:sz w:val="24"/>
        </w:rPr>
        <w:t>本专业学制为3年，在校最长学习年限（含休学）不超过6年。</w:t>
      </w:r>
    </w:p>
    <w:p w14:paraId="611EE76B">
      <w:pPr>
        <w:spacing w:line="360" w:lineRule="auto"/>
        <w:ind w:firstLine="562" w:firstLineChars="200"/>
        <w:rPr>
          <w:rFonts w:eastAsia="黑体"/>
          <w:b/>
          <w:color w:val="auto"/>
          <w:sz w:val="28"/>
          <w:szCs w:val="28"/>
        </w:rPr>
      </w:pPr>
      <w:r>
        <w:rPr>
          <w:rFonts w:eastAsia="黑体"/>
          <w:b/>
          <w:color w:val="auto"/>
          <w:sz w:val="28"/>
          <w:szCs w:val="28"/>
        </w:rPr>
        <w:t>五、培养目标</w:t>
      </w:r>
    </w:p>
    <w:p w14:paraId="4F7188CE">
      <w:pPr>
        <w:spacing w:line="360" w:lineRule="auto"/>
        <w:ind w:firstLine="480" w:firstLineChars="200"/>
        <w:rPr>
          <w:rFonts w:hint="eastAsia" w:ascii="宋体" w:hAnsi="宋体" w:cs="宋体"/>
          <w:color w:val="auto"/>
          <w:sz w:val="24"/>
        </w:rPr>
      </w:pPr>
      <w:r>
        <w:rPr>
          <w:rFonts w:hint="eastAsia" w:ascii="宋体" w:hAnsi="宋体" w:cs="宋体"/>
          <w:color w:val="auto"/>
          <w:sz w:val="24"/>
        </w:rPr>
        <w:t>1.树立正确的中国特色社会主义核心价值观，具有坚定的理想信念，高尚的道德情操，优良的学术作风，高度的社会责任感。</w:t>
      </w:r>
    </w:p>
    <w:p w14:paraId="640DAAB9">
      <w:pPr>
        <w:spacing w:line="360" w:lineRule="auto"/>
        <w:ind w:firstLine="480" w:firstLineChars="200"/>
        <w:rPr>
          <w:rFonts w:hint="eastAsia" w:ascii="宋体" w:hAnsi="宋体" w:cs="宋体"/>
          <w:color w:val="auto"/>
          <w:sz w:val="24"/>
        </w:rPr>
      </w:pPr>
      <w:r>
        <w:rPr>
          <w:rFonts w:hint="eastAsia" w:ascii="宋体" w:hAnsi="宋体" w:cs="宋体"/>
          <w:color w:val="auto"/>
          <w:sz w:val="24"/>
        </w:rPr>
        <w:t>2.培养热爱中医药事业，具有良好职业道德、人文素养和专业素质的中医临床医师。</w:t>
      </w:r>
    </w:p>
    <w:p w14:paraId="5B2E4093">
      <w:pPr>
        <w:spacing w:line="360" w:lineRule="auto"/>
        <w:ind w:firstLine="480" w:firstLineChars="200"/>
        <w:rPr>
          <w:rFonts w:hint="eastAsia" w:ascii="宋体" w:hAnsi="宋体" w:cs="宋体"/>
          <w:color w:val="auto"/>
          <w:sz w:val="24"/>
        </w:rPr>
      </w:pPr>
      <w:r>
        <w:rPr>
          <w:rFonts w:hint="eastAsia" w:ascii="宋体" w:hAnsi="宋体" w:cs="宋体"/>
          <w:color w:val="auto"/>
          <w:sz w:val="24"/>
        </w:rPr>
        <w:t>3.掌握坚实的中医基本理论、基本知识和基本技能，以及基本的现代诊疗技术，具备较强临床分析和实践能力，以及良好的表达能力和医患沟通能力，能独立、规范承担本专业和相关专业的常见疾病诊治工作。</w:t>
      </w:r>
    </w:p>
    <w:p w14:paraId="5BEA916D">
      <w:pPr>
        <w:spacing w:line="360" w:lineRule="auto"/>
        <w:ind w:firstLine="480" w:firstLineChars="200"/>
        <w:rPr>
          <w:rFonts w:hint="eastAsia" w:ascii="宋体" w:hAnsi="宋体" w:cs="宋体"/>
          <w:color w:val="auto"/>
          <w:sz w:val="24"/>
        </w:rPr>
      </w:pPr>
      <w:r>
        <w:rPr>
          <w:rFonts w:hint="eastAsia" w:ascii="宋体" w:hAnsi="宋体" w:cs="宋体"/>
          <w:color w:val="auto"/>
          <w:sz w:val="24"/>
        </w:rPr>
        <w:t>4.掌握文献检索、资料收集、病例观察、医学统计、循证医学等科学研究的基本方法，培养临床科研思维和分析运用能力，具有较强传承学习、临床研究能力，并有一定的临床教学能力。</w:t>
      </w:r>
    </w:p>
    <w:p w14:paraId="22F3EF44">
      <w:pPr>
        <w:spacing w:line="360" w:lineRule="auto"/>
        <w:ind w:firstLine="480" w:firstLineChars="200"/>
        <w:rPr>
          <w:rFonts w:hint="eastAsia" w:ascii="宋体" w:hAnsi="宋体" w:cs="宋体"/>
          <w:color w:val="auto"/>
          <w:sz w:val="24"/>
        </w:rPr>
      </w:pPr>
      <w:r>
        <w:rPr>
          <w:rFonts w:hint="eastAsia" w:ascii="宋体" w:hAnsi="宋体" w:cs="宋体"/>
          <w:color w:val="auto"/>
          <w:sz w:val="24"/>
        </w:rPr>
        <w:t>5.掌握一门外国语。要求能较熟练地阅读本专业的外文资料，具有一定的写译能力和基本的听、说能力。</w:t>
      </w:r>
    </w:p>
    <w:p w14:paraId="4F7A6C89">
      <w:pPr>
        <w:spacing w:line="360" w:lineRule="auto"/>
        <w:ind w:firstLine="480" w:firstLineChars="200"/>
        <w:rPr>
          <w:rFonts w:hint="eastAsia" w:ascii="宋体" w:hAnsi="宋体" w:cs="宋体"/>
          <w:color w:val="auto"/>
          <w:sz w:val="24"/>
        </w:rPr>
      </w:pPr>
      <w:r>
        <w:rPr>
          <w:rFonts w:hint="eastAsia" w:ascii="宋体" w:hAnsi="宋体" w:cs="宋体"/>
          <w:color w:val="auto"/>
          <w:sz w:val="24"/>
        </w:rPr>
        <w:t>6.具有良好的团队意识和团队合作精神。</w:t>
      </w:r>
    </w:p>
    <w:p w14:paraId="08060357">
      <w:pPr>
        <w:spacing w:line="360" w:lineRule="auto"/>
        <w:ind w:firstLine="480" w:firstLineChars="200"/>
        <w:rPr>
          <w:rFonts w:hint="eastAsia" w:ascii="宋体" w:hAnsi="宋体" w:cs="宋体"/>
          <w:color w:val="auto"/>
          <w:sz w:val="24"/>
        </w:rPr>
      </w:pPr>
      <w:r>
        <w:rPr>
          <w:rFonts w:hint="eastAsia" w:ascii="宋体" w:hAnsi="宋体" w:cs="宋体"/>
          <w:color w:val="auto"/>
          <w:sz w:val="24"/>
        </w:rPr>
        <w:t>7.具有健康的身体和良好的心理素质。</w:t>
      </w:r>
    </w:p>
    <w:p w14:paraId="70524CF7">
      <w:pPr>
        <w:spacing w:line="360" w:lineRule="auto"/>
        <w:ind w:firstLine="562" w:firstLineChars="200"/>
        <w:rPr>
          <w:rFonts w:eastAsia="黑体"/>
          <w:b/>
          <w:color w:val="auto"/>
          <w:sz w:val="28"/>
          <w:szCs w:val="28"/>
        </w:rPr>
      </w:pPr>
      <w:r>
        <w:rPr>
          <w:rFonts w:eastAsia="黑体"/>
          <w:b/>
          <w:color w:val="auto"/>
          <w:sz w:val="28"/>
          <w:szCs w:val="28"/>
        </w:rPr>
        <w:t>六、培养方式</w:t>
      </w:r>
    </w:p>
    <w:p w14:paraId="2BF54C8B">
      <w:pPr>
        <w:spacing w:line="360" w:lineRule="auto"/>
        <w:ind w:firstLine="480" w:firstLineChars="200"/>
        <w:rPr>
          <w:color w:val="auto"/>
          <w:sz w:val="24"/>
        </w:rPr>
      </w:pPr>
      <w:r>
        <w:rPr>
          <w:rFonts w:hint="eastAsia"/>
          <w:color w:val="auto"/>
          <w:sz w:val="24"/>
        </w:rPr>
        <w:t>本学位点依据</w:t>
      </w:r>
      <w:r>
        <w:rPr>
          <w:color w:val="auto"/>
          <w:sz w:val="24"/>
        </w:rPr>
        <w:t>国务院学位委员会《关于印发中医硕士专业学位研究生指导性培养方案的通知》（学位〔2015〕9号）</w:t>
      </w:r>
      <w:r>
        <w:rPr>
          <w:rFonts w:hint="eastAsia"/>
          <w:color w:val="auto"/>
          <w:sz w:val="24"/>
        </w:rPr>
        <w:t>文件及国家中医药局、国家卫生健康委、教育部</w:t>
      </w:r>
      <w:r>
        <w:rPr>
          <w:rFonts w:hint="eastAsia" w:cs="Arial"/>
          <w:bCs/>
          <w:color w:val="auto"/>
          <w:sz w:val="24"/>
        </w:rPr>
        <w:t>《中医医师规范化培训实施办法》、《中医医师规范化培训标准(2023年版)》2个</w:t>
      </w:r>
      <w:r>
        <w:rPr>
          <w:rFonts w:hint="eastAsia"/>
          <w:color w:val="auto"/>
          <w:sz w:val="24"/>
        </w:rPr>
        <w:t>文件，将</w:t>
      </w:r>
      <w:r>
        <w:rPr>
          <w:color w:val="auto"/>
          <w:sz w:val="24"/>
        </w:rPr>
        <w:t>中医专业学位研究生教育与住院医师规范化培训制度衔接，培养</w:t>
      </w:r>
      <w:r>
        <w:rPr>
          <w:rFonts w:hint="eastAsia"/>
          <w:color w:val="auto"/>
          <w:sz w:val="24"/>
        </w:rPr>
        <w:t>过程</w:t>
      </w:r>
      <w:r>
        <w:rPr>
          <w:color w:val="auto"/>
          <w:sz w:val="24"/>
        </w:rPr>
        <w:t>采用理论学习、临床轮转与导师指导相结合的方式，以临床轮转为主</w:t>
      </w:r>
      <w:r>
        <w:rPr>
          <w:rFonts w:hint="eastAsia"/>
          <w:color w:val="auto"/>
          <w:sz w:val="24"/>
        </w:rPr>
        <w:t>，</w:t>
      </w:r>
      <w:r>
        <w:rPr>
          <w:color w:val="auto"/>
          <w:sz w:val="24"/>
        </w:rPr>
        <w:t>培养过程涵盖中医住院医师规范化培训基本内容与要求</w:t>
      </w:r>
      <w:r>
        <w:rPr>
          <w:rFonts w:hint="eastAsia"/>
          <w:color w:val="auto"/>
          <w:sz w:val="24"/>
        </w:rPr>
        <w:t>。</w:t>
      </w:r>
    </w:p>
    <w:p w14:paraId="69F9C3F3">
      <w:pPr>
        <w:spacing w:line="360" w:lineRule="auto"/>
        <w:ind w:firstLine="480" w:firstLineChars="200"/>
        <w:rPr>
          <w:bCs/>
          <w:color w:val="auto"/>
          <w:sz w:val="24"/>
        </w:rPr>
      </w:pPr>
      <w:r>
        <w:rPr>
          <w:rFonts w:hint="eastAsia" w:cs="宋体"/>
          <w:bCs/>
          <w:color w:val="auto"/>
          <w:sz w:val="24"/>
        </w:rPr>
        <w:t>（一）培训</w:t>
      </w:r>
      <w:r>
        <w:rPr>
          <w:rFonts w:hint="eastAsia"/>
          <w:bCs/>
          <w:color w:val="auto"/>
          <w:sz w:val="24"/>
        </w:rPr>
        <w:t>方式</w:t>
      </w:r>
    </w:p>
    <w:p w14:paraId="6738F363">
      <w:pPr>
        <w:spacing w:line="360" w:lineRule="auto"/>
        <w:ind w:firstLine="480" w:firstLineChars="200"/>
        <w:rPr>
          <w:bCs/>
          <w:color w:val="auto"/>
          <w:sz w:val="24"/>
        </w:rPr>
      </w:pPr>
      <w:r>
        <w:rPr>
          <w:rFonts w:hint="eastAsia" w:cs="宋体"/>
          <w:bCs/>
          <w:color w:val="auto"/>
          <w:sz w:val="24"/>
        </w:rPr>
        <w:t>1. 理论</w:t>
      </w:r>
      <w:r>
        <w:rPr>
          <w:rFonts w:hint="eastAsia"/>
          <w:bCs/>
          <w:color w:val="auto"/>
          <w:sz w:val="24"/>
        </w:rPr>
        <w:t>学习。</w:t>
      </w:r>
      <w:r>
        <w:rPr>
          <w:rFonts w:hint="eastAsia" w:cs="宋体"/>
          <w:bCs/>
          <w:color w:val="auto"/>
          <w:sz w:val="24"/>
        </w:rPr>
        <w:t>培训基地应制定统一的理论学习计划，采取集中学习、培训对象自学、远程培训等多种方式进行，重点学习中医经典与临床应用、紧密结合临床的中医药基础理论、中医临床进展及相关公共卫生科目等内容。以自主学习为主，结合必要的集中理论学习。</w:t>
      </w:r>
      <w:r>
        <w:rPr>
          <w:rFonts w:hint="eastAsia"/>
          <w:bCs/>
          <w:color w:val="auto"/>
          <w:sz w:val="24"/>
        </w:rPr>
        <w:t>集中理论学习应结合临床实际，开展中医学术讲座，开设中医临床进展、紧密结合临床的中医药基础理论、经典医籍，以及职业素养、医学伦理、法律法规、医患沟通、心理卫生、健康教育及相应的公共卫生课程，特别是要加强疫病防控、院感知识和技能的培训。集中理论学习由培训基地统一组织，每月不少于</w:t>
      </w:r>
      <w:r>
        <w:rPr>
          <w:bCs/>
          <w:color w:val="auto"/>
          <w:sz w:val="24"/>
        </w:rPr>
        <w:t>1</w:t>
      </w:r>
      <w:r>
        <w:rPr>
          <w:rFonts w:hint="eastAsia"/>
          <w:bCs/>
          <w:color w:val="auto"/>
          <w:sz w:val="24"/>
        </w:rPr>
        <w:t>次，每次不少于</w:t>
      </w:r>
      <w:r>
        <w:rPr>
          <w:bCs/>
          <w:color w:val="auto"/>
          <w:sz w:val="24"/>
        </w:rPr>
        <w:t>2</w:t>
      </w:r>
      <w:r>
        <w:rPr>
          <w:rFonts w:hint="eastAsia"/>
          <w:bCs/>
          <w:color w:val="auto"/>
          <w:sz w:val="24"/>
        </w:rPr>
        <w:t>学时。培训对象进入培训前，基地应集中组织进行医学伦理、卫生法律法规、医院管理制度等方面岗前培训。</w:t>
      </w:r>
    </w:p>
    <w:p w14:paraId="2D7055FA">
      <w:pPr>
        <w:spacing w:line="360" w:lineRule="auto"/>
        <w:ind w:firstLine="480" w:firstLineChars="200"/>
        <w:rPr>
          <w:bCs/>
          <w:color w:val="auto"/>
          <w:sz w:val="24"/>
        </w:rPr>
      </w:pPr>
      <w:r>
        <w:rPr>
          <w:rFonts w:hint="eastAsia" w:cs="宋体"/>
          <w:bCs/>
          <w:color w:val="auto"/>
          <w:sz w:val="24"/>
        </w:rPr>
        <w:t>2. 病房培训。</w:t>
      </w:r>
      <w:r>
        <w:rPr>
          <w:rFonts w:hint="eastAsia"/>
          <w:bCs/>
          <w:color w:val="auto"/>
          <w:sz w:val="24"/>
        </w:rPr>
        <w:t>依据培训计划和专业方向特点在相应临床科室病房培训，掌握中医理论、技能、中医思维和必要的现代医学知识与技能。培训轮转学科为中医内科、中医外科、中医妇科、中医儿科、针灸科、推拿科、中医康复科、中医骨伤科、中医眼科和耳鼻咽喉科、急诊科等。坚持以培养具有岗位胜任力的合格中医医师为目标，中医培训内容应占</w:t>
      </w:r>
      <w:r>
        <w:rPr>
          <w:bCs/>
          <w:color w:val="auto"/>
          <w:sz w:val="24"/>
        </w:rPr>
        <w:t>70%</w:t>
      </w:r>
      <w:r>
        <w:rPr>
          <w:rFonts w:hint="eastAsia"/>
          <w:bCs/>
          <w:color w:val="auto"/>
          <w:sz w:val="24"/>
        </w:rPr>
        <w:t>以上。</w:t>
      </w:r>
    </w:p>
    <w:p w14:paraId="64D79065">
      <w:pPr>
        <w:spacing w:line="360" w:lineRule="auto"/>
        <w:ind w:firstLine="480" w:firstLineChars="200"/>
        <w:rPr>
          <w:bCs/>
          <w:color w:val="auto"/>
          <w:sz w:val="24"/>
        </w:rPr>
      </w:pPr>
      <w:r>
        <w:rPr>
          <w:rFonts w:hint="eastAsia" w:cs="宋体"/>
          <w:bCs/>
          <w:color w:val="auto"/>
          <w:sz w:val="24"/>
        </w:rPr>
        <w:t>3. 门诊培训。</w:t>
      </w:r>
      <w:r>
        <w:rPr>
          <w:rFonts w:hint="eastAsia"/>
          <w:bCs/>
          <w:color w:val="auto"/>
          <w:sz w:val="24"/>
        </w:rPr>
        <w:t>依据培训计划在临床科室门诊参加培训，重点提升培训对象中医思维、门诊接诊和临证能力。第一阶段以病房培训为主，跟随带教老师每周参加不少于1次门诊培训。第二阶段培训对象取得医师执业证书，经培训基地认证合格后，可独立接诊患者，培训时间不少于2个月。培训基地应开设一定数量的教学门诊，规范组织培训。未取得中医执业医师资格的培训对象参加教学门诊的观诊、试诊，取得中医执业医师资格的培训对象参加教学门诊的主诊活动。</w:t>
      </w:r>
    </w:p>
    <w:p w14:paraId="5FC3DF0F">
      <w:pPr>
        <w:spacing w:line="360" w:lineRule="auto"/>
        <w:ind w:firstLine="480" w:firstLineChars="200"/>
        <w:rPr>
          <w:bCs/>
          <w:color w:val="auto"/>
          <w:sz w:val="24"/>
        </w:rPr>
      </w:pPr>
      <w:r>
        <w:rPr>
          <w:rFonts w:hint="eastAsia" w:cs="宋体"/>
          <w:bCs/>
          <w:color w:val="auto"/>
          <w:sz w:val="24"/>
        </w:rPr>
        <w:t>4. 跟师学习。培训对象进入规培基地后，即确定1名从事本专业临床工作8年以上、副主任医师及以上职称、具有一定学术专长的医师作为师承老师进行跟师学习。师承老师数量不足的基地可选择少数中医思维突出、具有一定学术专长的主治医师，经</w:t>
      </w:r>
      <w:r>
        <w:rPr>
          <w:rFonts w:hint="eastAsia"/>
          <w:bCs/>
          <w:color w:val="auto"/>
          <w:sz w:val="24"/>
        </w:rPr>
        <w:t>基地考核遴选认证后作为师承老师。培训对象通过跟随师承老师学习，在全面学习各学科基本理论和基本知识的基础上，结合自身预期发展方向，学习和整理师承老师的学术经验和技术专长，熟悉师承老师的临床经验和基本技能，并形成自身相对稳定的学术方向。培训对象结合师承老师的专长及特色，熟练运用中医望、闻、问、切诊断方法，在整体观念和辨证论治原则指导下，掌握对某类疾病具有特色的诊断和治疗方法。培训对象每周跟师学习不少于半天；每年收集整理反映师承老师临床经验和专长、体现疾病诊疗全过程的临床医案不少于</w:t>
      </w:r>
      <w:r>
        <w:rPr>
          <w:bCs/>
          <w:color w:val="auto"/>
          <w:sz w:val="24"/>
        </w:rPr>
        <w:t>10</w:t>
      </w:r>
      <w:r>
        <w:rPr>
          <w:rFonts w:hint="eastAsia"/>
          <w:bCs/>
          <w:color w:val="auto"/>
          <w:sz w:val="24"/>
        </w:rPr>
        <w:t>份；每年撰写跟师心得不少于</w:t>
      </w:r>
      <w:r>
        <w:rPr>
          <w:bCs/>
          <w:color w:val="auto"/>
          <w:sz w:val="24"/>
        </w:rPr>
        <w:t>3</w:t>
      </w:r>
      <w:r>
        <w:rPr>
          <w:rFonts w:hint="eastAsia"/>
          <w:bCs/>
          <w:color w:val="auto"/>
          <w:sz w:val="24"/>
        </w:rPr>
        <w:t>篇；学习3部以上师承老师推荐的中医典籍；培训结束时应有师承老师临床经验总结。</w:t>
      </w:r>
    </w:p>
    <w:p w14:paraId="65058ED4">
      <w:pPr>
        <w:spacing w:line="360" w:lineRule="auto"/>
        <w:ind w:firstLine="480" w:firstLineChars="200"/>
        <w:rPr>
          <w:bCs/>
          <w:color w:val="auto"/>
          <w:sz w:val="24"/>
        </w:rPr>
      </w:pPr>
      <w:r>
        <w:rPr>
          <w:rFonts w:hint="eastAsia"/>
          <w:bCs/>
          <w:color w:val="auto"/>
          <w:sz w:val="24"/>
        </w:rPr>
        <w:t>（二）培训时间与要求</w:t>
      </w:r>
    </w:p>
    <w:p w14:paraId="12982F4F">
      <w:pPr>
        <w:spacing w:line="360" w:lineRule="auto"/>
        <w:ind w:firstLine="480" w:firstLineChars="200"/>
        <w:rPr>
          <w:color w:val="auto"/>
          <w:sz w:val="24"/>
        </w:rPr>
      </w:pPr>
      <w:r>
        <w:rPr>
          <w:color w:val="auto"/>
          <w:sz w:val="24"/>
        </w:rPr>
        <w:t>按照国家中医药管理局</w:t>
      </w:r>
      <w:r>
        <w:rPr>
          <w:rFonts w:hint="eastAsia"/>
          <w:color w:val="auto"/>
          <w:sz w:val="24"/>
        </w:rPr>
        <w:t>及河北省中医药管理局有关文件精神，在临床培训基地规定的</w:t>
      </w:r>
      <w:r>
        <w:rPr>
          <w:color w:val="auto"/>
          <w:sz w:val="24"/>
        </w:rPr>
        <w:t>科室轮转培训时间不少于33个月，参加培训基地的专业领域相关科室的临床诊疗工作，接受临床基本技能训练，同时学习相关专业理论知识。临床轮转分为两个阶段：第一阶段为2</w:t>
      </w:r>
      <w:r>
        <w:rPr>
          <w:rFonts w:hint="eastAsia"/>
          <w:color w:val="auto"/>
          <w:sz w:val="24"/>
        </w:rPr>
        <w:t>1</w:t>
      </w:r>
      <w:r>
        <w:rPr>
          <w:color w:val="auto"/>
          <w:sz w:val="24"/>
        </w:rPr>
        <w:t>个月，第二阶段为</w:t>
      </w:r>
      <w:r>
        <w:rPr>
          <w:rFonts w:hint="eastAsia"/>
          <w:color w:val="auto"/>
          <w:sz w:val="24"/>
        </w:rPr>
        <w:t>12</w:t>
      </w:r>
      <w:r>
        <w:rPr>
          <w:color w:val="auto"/>
          <w:sz w:val="24"/>
        </w:rPr>
        <w:t>个月。</w:t>
      </w:r>
    </w:p>
    <w:p w14:paraId="5B27A7E4">
      <w:pPr>
        <w:spacing w:line="360" w:lineRule="auto"/>
        <w:ind w:firstLine="480" w:firstLineChars="200"/>
        <w:rPr>
          <w:color w:val="auto"/>
          <w:sz w:val="24"/>
        </w:rPr>
      </w:pPr>
      <w:r>
        <w:rPr>
          <w:color w:val="auto"/>
          <w:sz w:val="24"/>
        </w:rPr>
        <w:t>第一阶段</w:t>
      </w:r>
      <w:r>
        <w:rPr>
          <w:rFonts w:hint="eastAsia"/>
          <w:color w:val="auto"/>
          <w:sz w:val="24"/>
        </w:rPr>
        <w:t xml:space="preserve"> </w:t>
      </w:r>
      <w:r>
        <w:rPr>
          <w:color w:val="auto"/>
          <w:sz w:val="24"/>
        </w:rPr>
        <w:t>通科</w:t>
      </w:r>
      <w:r>
        <w:rPr>
          <w:rFonts w:hint="eastAsia"/>
          <w:color w:val="auto"/>
          <w:sz w:val="24"/>
        </w:rPr>
        <w:t>轮转，时间为21个月</w:t>
      </w:r>
    </w:p>
    <w:p w14:paraId="096504FB">
      <w:pPr>
        <w:spacing w:line="360" w:lineRule="auto"/>
        <w:ind w:firstLine="480" w:firstLineChars="200"/>
        <w:rPr>
          <w:color w:val="auto"/>
          <w:sz w:val="24"/>
        </w:rPr>
      </w:pPr>
      <w:r>
        <w:rPr>
          <w:color w:val="auto"/>
          <w:sz w:val="24"/>
        </w:rPr>
        <w:t>在中医各专科轮转培训，培养中医临床工作能力，掌握</w:t>
      </w:r>
      <w:r>
        <w:rPr>
          <w:rFonts w:hint="eastAsia"/>
          <w:color w:val="auto"/>
          <w:sz w:val="24"/>
        </w:rPr>
        <w:t>中医和必要的现代医学基础理论、基本知识、基本技能，完成由医学生向医师的转变，夯实成为合格中医医师的基础。</w:t>
      </w:r>
      <w:r>
        <w:rPr>
          <w:color w:val="auto"/>
          <w:sz w:val="24"/>
        </w:rPr>
        <w:t>主要轮训科室为中医内科</w:t>
      </w:r>
      <w:r>
        <w:rPr>
          <w:rFonts w:hint="eastAsia"/>
          <w:color w:val="auto"/>
          <w:sz w:val="24"/>
        </w:rPr>
        <w:t>（8个月），</w:t>
      </w:r>
      <w:r>
        <w:rPr>
          <w:color w:val="auto"/>
          <w:sz w:val="24"/>
        </w:rPr>
        <w:t>中医外科</w:t>
      </w:r>
      <w:bookmarkStart w:id="4" w:name="_Hlk193145669"/>
      <w:r>
        <w:rPr>
          <w:rFonts w:hint="eastAsia"/>
          <w:color w:val="auto"/>
          <w:sz w:val="24"/>
        </w:rPr>
        <w:t>（2个月）</w:t>
      </w:r>
      <w:bookmarkEnd w:id="4"/>
      <w:r>
        <w:rPr>
          <w:rFonts w:hint="eastAsia"/>
          <w:color w:val="auto"/>
          <w:sz w:val="24"/>
        </w:rPr>
        <w:t>，</w:t>
      </w:r>
      <w:r>
        <w:rPr>
          <w:color w:val="auto"/>
          <w:sz w:val="24"/>
        </w:rPr>
        <w:t>中医妇科</w:t>
      </w:r>
      <w:r>
        <w:rPr>
          <w:rFonts w:hint="eastAsia"/>
          <w:color w:val="auto"/>
          <w:sz w:val="24"/>
        </w:rPr>
        <w:t>（</w:t>
      </w:r>
      <w:r>
        <w:rPr>
          <w:color w:val="auto"/>
          <w:sz w:val="24"/>
        </w:rPr>
        <w:t>2</w:t>
      </w:r>
      <w:r>
        <w:rPr>
          <w:rFonts w:hint="eastAsia"/>
          <w:color w:val="auto"/>
          <w:sz w:val="24"/>
        </w:rPr>
        <w:t>个月），</w:t>
      </w:r>
      <w:r>
        <w:rPr>
          <w:color w:val="auto"/>
          <w:sz w:val="24"/>
        </w:rPr>
        <w:t>中医儿科</w:t>
      </w:r>
      <w:r>
        <w:rPr>
          <w:rFonts w:hint="eastAsia"/>
          <w:color w:val="auto"/>
          <w:sz w:val="24"/>
        </w:rPr>
        <w:t>（</w:t>
      </w:r>
      <w:r>
        <w:rPr>
          <w:color w:val="auto"/>
          <w:sz w:val="24"/>
        </w:rPr>
        <w:t>2</w:t>
      </w:r>
      <w:r>
        <w:rPr>
          <w:rFonts w:hint="eastAsia"/>
          <w:color w:val="auto"/>
          <w:sz w:val="24"/>
        </w:rPr>
        <w:t>个月），</w:t>
      </w:r>
      <w:r>
        <w:rPr>
          <w:color w:val="auto"/>
          <w:sz w:val="24"/>
        </w:rPr>
        <w:t>针灸科、推拿科、中医康复科</w:t>
      </w:r>
      <w:r>
        <w:rPr>
          <w:rFonts w:hint="eastAsia"/>
          <w:color w:val="auto"/>
          <w:sz w:val="24"/>
        </w:rPr>
        <w:t>（共2个月），</w:t>
      </w:r>
      <w:r>
        <w:rPr>
          <w:color w:val="auto"/>
          <w:sz w:val="24"/>
        </w:rPr>
        <w:t>中医骨伤科</w:t>
      </w:r>
      <w:r>
        <w:rPr>
          <w:rFonts w:hint="eastAsia"/>
          <w:color w:val="auto"/>
          <w:sz w:val="24"/>
        </w:rPr>
        <w:t>（1个月），</w:t>
      </w:r>
      <w:r>
        <w:rPr>
          <w:color w:val="auto"/>
          <w:sz w:val="24"/>
        </w:rPr>
        <w:t>中医耳鼻喉科、中医眼科</w:t>
      </w:r>
      <w:r>
        <w:rPr>
          <w:rFonts w:hint="eastAsia"/>
          <w:color w:val="auto"/>
          <w:sz w:val="24"/>
        </w:rPr>
        <w:t>（1个月），急诊（2个月），在急诊门诊、病房（含重症监护室）各培训1个月</w:t>
      </w:r>
      <w:r>
        <w:rPr>
          <w:color w:val="auto"/>
          <w:sz w:val="24"/>
        </w:rPr>
        <w:t>。辅助科室</w:t>
      </w:r>
      <w:r>
        <w:rPr>
          <w:rFonts w:hint="eastAsia"/>
          <w:color w:val="auto"/>
          <w:sz w:val="24"/>
        </w:rPr>
        <w:t>培训时间为1个月</w:t>
      </w:r>
      <w:r>
        <w:rPr>
          <w:color w:val="auto"/>
          <w:sz w:val="24"/>
        </w:rPr>
        <w:t>，中药房</w:t>
      </w:r>
      <w:r>
        <w:rPr>
          <w:rFonts w:hint="eastAsia"/>
          <w:color w:val="auto"/>
          <w:sz w:val="24"/>
        </w:rPr>
        <w:t>、医学影像科、心电图室、超声医学科选择1-2个科室进行培训，其中中药房为必选科室。</w:t>
      </w:r>
    </w:p>
    <w:p w14:paraId="26A658AF">
      <w:pPr>
        <w:spacing w:line="360" w:lineRule="auto"/>
        <w:ind w:firstLine="480" w:firstLineChars="200"/>
        <w:rPr>
          <w:color w:val="auto"/>
          <w:sz w:val="24"/>
        </w:rPr>
      </w:pPr>
      <w:r>
        <w:rPr>
          <w:color w:val="auto"/>
          <w:sz w:val="24"/>
        </w:rPr>
        <w:t>第二阶段</w:t>
      </w:r>
      <w:r>
        <w:rPr>
          <w:rFonts w:hint="eastAsia"/>
          <w:color w:val="auto"/>
          <w:sz w:val="24"/>
        </w:rPr>
        <w:t xml:space="preserve"> 时间为12个月</w:t>
      </w:r>
    </w:p>
    <w:p w14:paraId="5162F83C">
      <w:pPr>
        <w:spacing w:line="360" w:lineRule="auto"/>
        <w:ind w:firstLine="480" w:firstLineChars="200"/>
        <w:rPr>
          <w:color w:val="auto"/>
          <w:sz w:val="24"/>
        </w:rPr>
      </w:pPr>
      <w:r>
        <w:rPr>
          <w:rFonts w:hint="eastAsia"/>
          <w:color w:val="auto"/>
          <w:sz w:val="24"/>
        </w:rPr>
        <w:t>第二阶段培训是在第一阶段通科轮训基础上进行的强化培训。目的是进一步提高培训对象某一专科疾病的诊疗能力，掌握相关学科中西医的基本技术，熟悉相关辅助科室的检查检验内容和临床意义，具备诊治本专业常见病、多发病和部分疑难病症的能力。所有培训对象可根据预期从事的专业、研究方向选择在相应的二级学科病房、门诊，以及相关科室轮转培训</w:t>
      </w:r>
      <w:r>
        <w:rPr>
          <w:color w:val="auto"/>
          <w:sz w:val="24"/>
        </w:rPr>
        <w:t>12</w:t>
      </w:r>
      <w:r>
        <w:rPr>
          <w:rFonts w:hint="eastAsia"/>
          <w:color w:val="auto"/>
          <w:sz w:val="24"/>
        </w:rPr>
        <w:t>个月。并在导师指导下完成学位论文工作。</w:t>
      </w:r>
    </w:p>
    <w:p w14:paraId="61305227">
      <w:pPr>
        <w:spacing w:line="360" w:lineRule="auto"/>
        <w:ind w:left="240" w:firstLine="240" w:firstLineChars="100"/>
        <w:rPr>
          <w:color w:val="auto"/>
          <w:sz w:val="24"/>
        </w:rPr>
      </w:pPr>
      <w:r>
        <w:rPr>
          <w:rFonts w:hint="eastAsia"/>
          <w:color w:val="auto"/>
          <w:sz w:val="24"/>
        </w:rPr>
        <w:t>（三）培训</w:t>
      </w:r>
      <w:r>
        <w:rPr>
          <w:color w:val="auto"/>
          <w:sz w:val="24"/>
        </w:rPr>
        <w:t>考核</w:t>
      </w:r>
    </w:p>
    <w:p w14:paraId="3B36340A">
      <w:pPr>
        <w:spacing w:line="360" w:lineRule="auto"/>
        <w:ind w:firstLine="480" w:firstLineChars="200"/>
        <w:rPr>
          <w:color w:val="auto"/>
          <w:sz w:val="24"/>
        </w:rPr>
      </w:pPr>
      <w:r>
        <w:rPr>
          <w:rFonts w:hint="eastAsia" w:cs="宋体"/>
          <w:color w:val="auto"/>
          <w:sz w:val="24"/>
        </w:rPr>
        <w:t>培训</w:t>
      </w:r>
      <w:r>
        <w:rPr>
          <w:rFonts w:hint="eastAsia"/>
          <w:color w:val="auto"/>
          <w:sz w:val="24"/>
        </w:rPr>
        <w:t>考核包括过程考核、师承考核和结业考核。过程考核、师承考核合格</w:t>
      </w:r>
      <w:r>
        <w:rPr>
          <w:rFonts w:hint="eastAsia" w:cs="宋体"/>
          <w:color w:val="auto"/>
          <w:sz w:val="24"/>
        </w:rPr>
        <w:t>并获得执业医师资格证书，方能参加结业考核。</w:t>
      </w:r>
    </w:p>
    <w:p w14:paraId="72AC73E4">
      <w:pPr>
        <w:spacing w:line="360" w:lineRule="auto"/>
        <w:ind w:firstLine="480" w:firstLineChars="200"/>
        <w:rPr>
          <w:color w:val="auto"/>
          <w:sz w:val="24"/>
        </w:rPr>
      </w:pPr>
      <w:r>
        <w:rPr>
          <w:rFonts w:hint="eastAsia"/>
          <w:color w:val="auto"/>
          <w:sz w:val="24"/>
        </w:rPr>
        <w:t>1. 过程考核包括日常考核、出科考核、模块考核。</w:t>
      </w:r>
    </w:p>
    <w:p w14:paraId="5CE6DD80">
      <w:pPr>
        <w:spacing w:line="360" w:lineRule="auto"/>
        <w:ind w:firstLine="480" w:firstLineChars="200"/>
        <w:rPr>
          <w:color w:val="auto"/>
          <w:sz w:val="24"/>
        </w:rPr>
      </w:pPr>
      <w:r>
        <w:rPr>
          <w:rFonts w:hint="eastAsia"/>
          <w:color w:val="auto"/>
          <w:sz w:val="24"/>
        </w:rPr>
        <w:t>（1）日常考核包括医德医风、出勤情况、临床实践能力、培训指标完成情况和参加理论学习情况，由培训轮转科室负责。应在出科考核前完成。</w:t>
      </w:r>
    </w:p>
    <w:p w14:paraId="1FCC5217">
      <w:pPr>
        <w:spacing w:line="360" w:lineRule="auto"/>
        <w:ind w:firstLine="480" w:firstLineChars="200"/>
        <w:rPr>
          <w:color w:val="auto"/>
          <w:sz w:val="24"/>
        </w:rPr>
      </w:pPr>
      <w:r>
        <w:rPr>
          <w:rFonts w:hint="eastAsia"/>
          <w:color w:val="auto"/>
          <w:sz w:val="24"/>
        </w:rPr>
        <w:t>（2）出科考核依据培训标准，考核本专业基础理论、基本知识和基本技能。由培训科室、培训基地共同组织实施。应在出科前</w:t>
      </w:r>
      <w:r>
        <w:rPr>
          <w:color w:val="auto"/>
          <w:sz w:val="24"/>
        </w:rPr>
        <w:t>3</w:t>
      </w:r>
      <w:r>
        <w:rPr>
          <w:rFonts w:hint="eastAsia"/>
          <w:color w:val="auto"/>
          <w:sz w:val="24"/>
        </w:rPr>
        <w:t>天内完成。每轮转完一个科室，由科室指导小组（由</w:t>
      </w:r>
      <w:r>
        <w:rPr>
          <w:color w:val="auto"/>
          <w:sz w:val="24"/>
        </w:rPr>
        <w:t>3-5</w:t>
      </w:r>
      <w:r>
        <w:rPr>
          <w:rFonts w:hint="eastAsia"/>
          <w:color w:val="auto"/>
          <w:sz w:val="24"/>
        </w:rPr>
        <w:t>人）对硕士生进行考核。主要考核硕士生是否具有较强的临床分析、思维能力和实践操作能力。对轮转科室要求内容进行综合测评和出科考核。出科考核成绩作为临床技能培训平时成绩的依据。考核不合格者应适当延长轮转时间并进行补考。</w:t>
      </w:r>
    </w:p>
    <w:p w14:paraId="7C7606FB">
      <w:pPr>
        <w:spacing w:line="360" w:lineRule="auto"/>
        <w:ind w:firstLine="480" w:firstLineChars="200"/>
        <w:rPr>
          <w:color w:val="auto"/>
          <w:sz w:val="24"/>
        </w:rPr>
      </w:pPr>
      <w:r>
        <w:rPr>
          <w:rFonts w:hint="eastAsia"/>
          <w:color w:val="auto"/>
          <w:sz w:val="24"/>
        </w:rPr>
        <w:t>（3）模块考核包括中医经典理论、中药方剂知识、接诊能力、中医特色技能、西医基本技能（含急救）等，由培训基地组织实施。所有模块考核应在培训对象进入第二阶段培训前完成。按照《中医医师规范化培训实施办法》关于中医经典理论模块考核的有关要求，中医专业硕士研究生在培期间均须参加中医药经典能力等级考试，通过三级考试视为中医经典模块考核合格。中医经典模块考核合格后才能参加结业考核。</w:t>
      </w:r>
    </w:p>
    <w:p w14:paraId="56F6C817">
      <w:pPr>
        <w:spacing w:line="360" w:lineRule="auto"/>
        <w:ind w:firstLine="480" w:firstLineChars="200"/>
        <w:rPr>
          <w:color w:val="auto"/>
          <w:sz w:val="24"/>
        </w:rPr>
      </w:pPr>
      <w:r>
        <w:rPr>
          <w:rFonts w:hint="eastAsia"/>
          <w:color w:val="auto"/>
          <w:sz w:val="24"/>
        </w:rPr>
        <w:t>2. 师承考核 是对培训对象跟师学习过程的综合评价，包括临床跟师考勤、跟师心得、典型医案总结和指导老师临床经验总结。师承考核由培训基地负责组织实施，省级中医药主管部门对考核结果进行复核。应在结业考核前完成。</w:t>
      </w:r>
    </w:p>
    <w:p w14:paraId="5466EC67">
      <w:pPr>
        <w:spacing w:line="360" w:lineRule="auto"/>
        <w:ind w:firstLine="480" w:firstLineChars="200"/>
        <w:rPr>
          <w:color w:val="auto"/>
          <w:sz w:val="24"/>
        </w:rPr>
      </w:pPr>
      <w:r>
        <w:rPr>
          <w:rFonts w:hint="eastAsia"/>
          <w:color w:val="auto"/>
          <w:sz w:val="24"/>
        </w:rPr>
        <w:t>3.</w:t>
      </w:r>
      <w:r>
        <w:rPr>
          <w:color w:val="auto"/>
          <w:sz w:val="24"/>
        </w:rPr>
        <w:t xml:space="preserve"> </w:t>
      </w:r>
      <w:r>
        <w:rPr>
          <w:rFonts w:hint="eastAsia"/>
          <w:color w:val="auto"/>
          <w:sz w:val="24"/>
        </w:rPr>
        <w:t>结业考核 包括理论考核和临床实践能力考核，由省级中医药主管部门或其指定的有关行业组织、单位，按照《住院医师规范化培训考核实施办法（试行）》组织实施。应在每年的</w:t>
      </w:r>
      <w:r>
        <w:rPr>
          <w:color w:val="auto"/>
          <w:sz w:val="24"/>
        </w:rPr>
        <w:t>6</w:t>
      </w:r>
      <w:r>
        <w:rPr>
          <w:rFonts w:hint="eastAsia"/>
          <w:color w:val="auto"/>
          <w:sz w:val="24"/>
        </w:rPr>
        <w:t>月底前完成。</w:t>
      </w:r>
    </w:p>
    <w:p w14:paraId="0B88014A">
      <w:pPr>
        <w:spacing w:line="360" w:lineRule="auto"/>
        <w:ind w:firstLine="480" w:firstLineChars="200"/>
        <w:rPr>
          <w:color w:val="auto"/>
          <w:sz w:val="24"/>
        </w:rPr>
      </w:pPr>
      <w:r>
        <w:rPr>
          <w:rFonts w:hint="eastAsia"/>
          <w:color w:val="auto"/>
          <w:sz w:val="24"/>
        </w:rPr>
        <w:t>通过结业考核的培训对象，颁发统一制式的《住院医师规范化培训合格证书》（证书样式及编号规则按照《住院医师规范化培训管理办法（试行）》要求执行，专业代码附后）。《合格证书》全国范围内有效。</w:t>
      </w:r>
    </w:p>
    <w:p w14:paraId="65CBCA99">
      <w:pPr>
        <w:spacing w:line="360" w:lineRule="auto"/>
        <w:ind w:firstLine="480" w:firstLineChars="200"/>
        <w:rPr>
          <w:color w:val="auto"/>
          <w:sz w:val="24"/>
        </w:rPr>
      </w:pPr>
      <w:r>
        <w:rPr>
          <w:rFonts w:hint="eastAsia"/>
          <w:color w:val="auto"/>
          <w:sz w:val="24"/>
        </w:rPr>
        <w:t>未通过结业理论考核、临床实践能力考核或其中任一项者，可申请年度内或参加次年结业考核。</w:t>
      </w:r>
      <w:r>
        <w:rPr>
          <w:color w:val="auto"/>
          <w:sz w:val="24"/>
        </w:rPr>
        <w:t>3</w:t>
      </w:r>
      <w:r>
        <w:rPr>
          <w:rFonts w:hint="eastAsia"/>
          <w:color w:val="auto"/>
          <w:sz w:val="24"/>
        </w:rPr>
        <w:t>年内未通过结业考核者，如再次申请结业考核，需重新参加培训，培训相关费用由个人承担。</w:t>
      </w:r>
    </w:p>
    <w:p w14:paraId="47EBD116">
      <w:pPr>
        <w:spacing w:line="360" w:lineRule="auto"/>
        <w:ind w:firstLine="480" w:firstLineChars="200"/>
        <w:rPr>
          <w:color w:val="auto"/>
          <w:sz w:val="24"/>
        </w:rPr>
      </w:pPr>
      <w:r>
        <w:rPr>
          <w:rFonts w:hint="eastAsia"/>
          <w:color w:val="auto"/>
          <w:sz w:val="24"/>
        </w:rPr>
        <w:t>（四）教学与科研要求</w:t>
      </w:r>
    </w:p>
    <w:p w14:paraId="3CC126C3">
      <w:pPr>
        <w:spacing w:line="360" w:lineRule="auto"/>
        <w:ind w:firstLine="480" w:firstLineChars="200"/>
        <w:rPr>
          <w:color w:val="auto"/>
          <w:sz w:val="24"/>
        </w:rPr>
      </w:pPr>
      <w:r>
        <w:rPr>
          <w:rFonts w:hint="eastAsia"/>
          <w:color w:val="auto"/>
          <w:sz w:val="24"/>
        </w:rPr>
        <w:t>（</w:t>
      </w:r>
      <w:r>
        <w:rPr>
          <w:color w:val="auto"/>
          <w:sz w:val="24"/>
        </w:rPr>
        <w:t>1</w:t>
      </w:r>
      <w:r>
        <w:rPr>
          <w:rFonts w:hint="eastAsia"/>
          <w:color w:val="auto"/>
          <w:sz w:val="24"/>
        </w:rPr>
        <w:t>）阅读本专业相关书籍，结合本专科临床工作实践，三年内撰写与临床相关的论文（临床总结、文献综述、临床研究等）。</w:t>
      </w:r>
    </w:p>
    <w:p w14:paraId="58F8E4A6">
      <w:pPr>
        <w:spacing w:line="360" w:lineRule="auto"/>
        <w:ind w:firstLine="480" w:firstLineChars="200"/>
        <w:rPr>
          <w:color w:val="auto"/>
          <w:sz w:val="24"/>
        </w:rPr>
      </w:pPr>
      <w:r>
        <w:rPr>
          <w:rFonts w:hint="eastAsia"/>
          <w:color w:val="auto"/>
          <w:sz w:val="24"/>
        </w:rPr>
        <w:t>（</w:t>
      </w:r>
      <w:r>
        <w:rPr>
          <w:color w:val="auto"/>
          <w:sz w:val="24"/>
        </w:rPr>
        <w:t>2</w:t>
      </w:r>
      <w:r>
        <w:rPr>
          <w:rFonts w:hint="eastAsia"/>
          <w:color w:val="auto"/>
          <w:sz w:val="24"/>
        </w:rPr>
        <w:t>）参加本科生的见习、实习等教学工作，包括参与临床带教、教学查房和小讲课等教学活动。</w:t>
      </w:r>
    </w:p>
    <w:p w14:paraId="4BD78067">
      <w:pPr>
        <w:spacing w:line="360" w:lineRule="auto"/>
        <w:ind w:firstLine="480" w:firstLineChars="200"/>
        <w:rPr>
          <w:rFonts w:cs="宋体"/>
          <w:color w:val="auto"/>
          <w:sz w:val="24"/>
          <w:lang w:bidi="ar"/>
        </w:rPr>
      </w:pPr>
      <w:r>
        <w:rPr>
          <w:rFonts w:hint="eastAsia"/>
          <w:color w:val="auto"/>
          <w:sz w:val="24"/>
        </w:rPr>
        <w:t>（</w:t>
      </w:r>
      <w:r>
        <w:rPr>
          <w:color w:val="auto"/>
          <w:sz w:val="24"/>
        </w:rPr>
        <w:t>3</w:t>
      </w:r>
      <w:r>
        <w:rPr>
          <w:rFonts w:hint="eastAsia"/>
          <w:color w:val="auto"/>
          <w:sz w:val="24"/>
        </w:rPr>
        <w:t>）参加院内专题讲座及病例讨论会。</w:t>
      </w:r>
    </w:p>
    <w:p w14:paraId="6E27BEDF">
      <w:pPr>
        <w:spacing w:line="360" w:lineRule="auto"/>
        <w:ind w:firstLine="560" w:firstLineChars="200"/>
        <w:rPr>
          <w:rFonts w:eastAsia="黑体"/>
          <w:bCs/>
          <w:color w:val="auto"/>
          <w:sz w:val="28"/>
          <w:szCs w:val="28"/>
        </w:rPr>
      </w:pPr>
      <w:r>
        <w:rPr>
          <w:rFonts w:hint="eastAsia" w:eastAsia="黑体"/>
          <w:bCs/>
          <w:color w:val="auto"/>
          <w:sz w:val="28"/>
          <w:szCs w:val="28"/>
        </w:rPr>
        <w:t>七、</w:t>
      </w:r>
      <w:r>
        <w:rPr>
          <w:rFonts w:eastAsia="黑体"/>
          <w:bCs/>
          <w:color w:val="auto"/>
          <w:sz w:val="28"/>
          <w:szCs w:val="28"/>
        </w:rPr>
        <w:t>中期筛选</w:t>
      </w:r>
    </w:p>
    <w:p w14:paraId="4794DD48">
      <w:pPr>
        <w:spacing w:line="360" w:lineRule="auto"/>
        <w:ind w:firstLine="480" w:firstLineChars="200"/>
        <w:rPr>
          <w:rFonts w:eastAsiaTheme="minorEastAsia"/>
          <w:bCs/>
          <w:color w:val="auto"/>
          <w:sz w:val="24"/>
        </w:rPr>
      </w:pPr>
      <w:r>
        <w:rPr>
          <w:rFonts w:eastAsiaTheme="minorEastAsia"/>
          <w:bCs/>
          <w:color w:val="auto"/>
          <w:sz w:val="24"/>
        </w:rPr>
        <w:t>在完成培养方案规定的课程学习、考核成绩合格、获得规定的学分后，按照《河北大学研究生中期筛选管理办法》（校政字〔2021〕15号）的相关规定，组织开展中期筛选工作。</w:t>
      </w:r>
    </w:p>
    <w:p w14:paraId="5B5601CA">
      <w:pPr>
        <w:spacing w:line="360" w:lineRule="auto"/>
        <w:ind w:firstLine="560" w:firstLineChars="200"/>
        <w:rPr>
          <w:rFonts w:eastAsia="黑体"/>
          <w:bCs/>
          <w:color w:val="auto"/>
          <w:sz w:val="28"/>
          <w:szCs w:val="28"/>
        </w:rPr>
      </w:pPr>
      <w:r>
        <w:rPr>
          <w:rFonts w:hint="eastAsia" w:eastAsia="黑体"/>
          <w:bCs/>
          <w:color w:val="auto"/>
          <w:sz w:val="28"/>
          <w:szCs w:val="28"/>
        </w:rPr>
        <w:t>八</w:t>
      </w:r>
      <w:r>
        <w:rPr>
          <w:rFonts w:eastAsia="黑体"/>
          <w:bCs/>
          <w:color w:val="auto"/>
          <w:sz w:val="28"/>
          <w:szCs w:val="28"/>
        </w:rPr>
        <w:t>、学位（毕业）论文</w:t>
      </w:r>
    </w:p>
    <w:p w14:paraId="00034F44">
      <w:pPr>
        <w:widowControl/>
        <w:spacing w:before="156" w:beforeLines="50" w:line="360" w:lineRule="auto"/>
        <w:ind w:firstLine="480" w:firstLineChars="200"/>
        <w:jc w:val="left"/>
        <w:rPr>
          <w:rFonts w:hint="eastAsia"/>
          <w:iCs/>
          <w:color w:val="auto"/>
          <w:kern w:val="0"/>
          <w:sz w:val="24"/>
        </w:rPr>
      </w:pPr>
      <w:r>
        <w:rPr>
          <w:iCs/>
          <w:color w:val="auto"/>
          <w:kern w:val="0"/>
          <w:sz w:val="24"/>
        </w:rPr>
        <w:t>1.总体要求：按照《河北大学关于开展2025版研究生培养方案修订工作的指导意见》（校政字〔2025〕</w:t>
      </w:r>
      <w:r>
        <w:rPr>
          <w:rFonts w:hint="eastAsia"/>
          <w:iCs/>
          <w:color w:val="auto"/>
          <w:kern w:val="0"/>
          <w:sz w:val="24"/>
        </w:rPr>
        <w:t>9</w:t>
      </w:r>
      <w:r>
        <w:rPr>
          <w:iCs/>
          <w:color w:val="auto"/>
          <w:kern w:val="0"/>
          <w:sz w:val="24"/>
        </w:rPr>
        <w:t>号）规定，硕士研究生论文开题与答辩时间间隔不少于12个月。学位（毕业）论文应当表明作者具有独立从事学术研究工作的能力，鼓励硕士研究生参与科学研究，</w:t>
      </w:r>
      <w:r>
        <w:rPr>
          <w:rFonts w:hint="eastAsia"/>
          <w:iCs/>
          <w:color w:val="auto"/>
          <w:kern w:val="0"/>
          <w:sz w:val="24"/>
        </w:rPr>
        <w:t>选题</w:t>
      </w:r>
      <w:r>
        <w:rPr>
          <w:iCs/>
          <w:color w:val="auto"/>
          <w:kern w:val="0"/>
          <w:sz w:val="24"/>
        </w:rPr>
        <w:t>从临床实际出发，紧密结合临床需求，突出实际意义和应用价值</w:t>
      </w:r>
      <w:r>
        <w:rPr>
          <w:rFonts w:hint="eastAsia"/>
          <w:iCs/>
          <w:color w:val="auto"/>
          <w:kern w:val="0"/>
          <w:sz w:val="24"/>
        </w:rPr>
        <w:t>，体现中医学特点，</w:t>
      </w:r>
      <w:r>
        <w:rPr>
          <w:iCs/>
          <w:color w:val="auto"/>
          <w:kern w:val="0"/>
          <w:sz w:val="24"/>
        </w:rPr>
        <w:t>取得创新性成果</w:t>
      </w:r>
      <w:r>
        <w:rPr>
          <w:rFonts w:hint="eastAsia"/>
          <w:iCs/>
          <w:color w:val="auto"/>
          <w:kern w:val="0"/>
          <w:sz w:val="24"/>
        </w:rPr>
        <w:t>。</w:t>
      </w:r>
    </w:p>
    <w:p w14:paraId="77AF9566">
      <w:pPr>
        <w:widowControl/>
        <w:spacing w:before="156" w:beforeLines="50" w:line="360" w:lineRule="auto"/>
        <w:ind w:firstLine="480" w:firstLineChars="200"/>
        <w:jc w:val="left"/>
        <w:rPr>
          <w:rFonts w:hint="default"/>
          <w:iCs/>
          <w:color w:val="auto"/>
          <w:kern w:val="0"/>
          <w:sz w:val="24"/>
          <w:lang w:val="en-US" w:eastAsia="zh-CN"/>
        </w:rPr>
      </w:pPr>
      <w:r>
        <w:rPr>
          <w:rFonts w:hint="default"/>
          <w:iCs/>
          <w:color w:val="auto"/>
          <w:kern w:val="0"/>
          <w:sz w:val="24"/>
          <w:lang w:val="en-US" w:eastAsia="zh-CN"/>
        </w:rPr>
        <w:t>2.个性化培养规划：在第1学期，由双导师和研究生共同商讨制定三年的个性化培养规划，包括中医思维特质的形成，临床创新能力的提升，科研转化能力的提升，具体阶段性方案为完成经典案例的学习、</w:t>
      </w:r>
      <w:r>
        <w:rPr>
          <w:rFonts w:hint="eastAsia"/>
          <w:iCs/>
          <w:color w:val="auto"/>
          <w:kern w:val="0"/>
          <w:sz w:val="24"/>
          <w:lang w:val="en-US" w:eastAsia="zh-CN"/>
        </w:rPr>
        <w:t>特色针刺方法</w:t>
      </w:r>
      <w:r>
        <w:rPr>
          <w:rFonts w:hint="default"/>
          <w:iCs/>
          <w:color w:val="auto"/>
          <w:kern w:val="0"/>
          <w:sz w:val="24"/>
          <w:lang w:val="en-US" w:eastAsia="zh-CN"/>
        </w:rPr>
        <w:t>训练、指定书籍的阅读、</w:t>
      </w:r>
      <w:r>
        <w:rPr>
          <w:iCs/>
          <w:color w:val="auto"/>
          <w:kern w:val="0"/>
          <w:sz w:val="24"/>
        </w:rPr>
        <w:t>建立个人临床病案数据库</w:t>
      </w:r>
      <w:r>
        <w:rPr>
          <w:rFonts w:hint="default"/>
          <w:iCs/>
          <w:color w:val="auto"/>
          <w:kern w:val="0"/>
          <w:sz w:val="24"/>
          <w:lang w:eastAsia="zh-CN"/>
        </w:rPr>
        <w:t>、</w:t>
      </w:r>
      <w:r>
        <w:rPr>
          <w:iCs/>
          <w:color w:val="auto"/>
          <w:kern w:val="0"/>
          <w:sz w:val="24"/>
        </w:rPr>
        <w:t>选择中医</w:t>
      </w:r>
      <w:r>
        <w:rPr>
          <w:rFonts w:hint="eastAsia"/>
          <w:iCs/>
          <w:color w:val="auto"/>
          <w:kern w:val="0"/>
          <w:sz w:val="24"/>
          <w:lang w:val="en-US" w:eastAsia="zh-CN"/>
        </w:rPr>
        <w:t>针刺止痛/针刺调理疾病/艾灸/推拿/刺血</w:t>
      </w:r>
      <w:r>
        <w:rPr>
          <w:iCs/>
          <w:color w:val="auto"/>
          <w:kern w:val="0"/>
          <w:sz w:val="24"/>
        </w:rPr>
        <w:t>等方向深化</w:t>
      </w:r>
      <w:r>
        <w:rPr>
          <w:rFonts w:hint="default"/>
          <w:iCs/>
          <w:color w:val="auto"/>
          <w:kern w:val="0"/>
          <w:sz w:val="24"/>
          <w:lang w:eastAsia="zh-CN"/>
        </w:rPr>
        <w:t>。</w:t>
      </w:r>
    </w:p>
    <w:p w14:paraId="67E7BE1D">
      <w:pPr>
        <w:widowControl/>
        <w:spacing w:before="156" w:beforeLines="50" w:line="360" w:lineRule="auto"/>
        <w:ind w:firstLine="480" w:firstLineChars="200"/>
        <w:jc w:val="left"/>
        <w:rPr>
          <w:color w:val="auto"/>
          <w:sz w:val="24"/>
        </w:rPr>
      </w:pPr>
      <w:r>
        <w:rPr>
          <w:rFonts w:hint="eastAsia"/>
          <w:bCs/>
          <w:color w:val="auto"/>
          <w:kern w:val="0"/>
          <w:sz w:val="24"/>
          <w:lang w:val="en-US" w:eastAsia="zh-CN"/>
        </w:rPr>
        <w:t>3</w:t>
      </w:r>
      <w:r>
        <w:rPr>
          <w:bCs/>
          <w:color w:val="auto"/>
          <w:kern w:val="0"/>
          <w:sz w:val="24"/>
        </w:rPr>
        <w:t>.开题：</w:t>
      </w:r>
      <w:bookmarkStart w:id="5" w:name="_Hlk200136714"/>
      <w:r>
        <w:rPr>
          <w:rFonts w:hint="eastAsia"/>
          <w:color w:val="0000FF"/>
          <w:sz w:val="24"/>
        </w:rPr>
        <w:t>第3学期或最晚第4学期3月31日前完成论文开题</w:t>
      </w:r>
      <w:bookmarkEnd w:id="5"/>
      <w:r>
        <w:rPr>
          <w:rFonts w:hint="eastAsia"/>
          <w:color w:val="auto"/>
          <w:sz w:val="24"/>
        </w:rPr>
        <w:t>，</w:t>
      </w:r>
      <w:r>
        <w:rPr>
          <w:color w:val="auto"/>
          <w:sz w:val="24"/>
        </w:rPr>
        <w:t>开题前必须完成</w:t>
      </w:r>
      <w:r>
        <w:rPr>
          <w:rFonts w:hint="eastAsia"/>
          <w:color w:val="auto"/>
          <w:sz w:val="24"/>
        </w:rPr>
        <w:t>与课题方向相关的</w:t>
      </w:r>
      <w:r>
        <w:rPr>
          <w:color w:val="auto"/>
          <w:sz w:val="24"/>
        </w:rPr>
        <w:t>不少于30 篇</w:t>
      </w:r>
      <w:r>
        <w:rPr>
          <w:rFonts w:hint="eastAsia"/>
          <w:color w:val="auto"/>
          <w:sz w:val="24"/>
        </w:rPr>
        <w:t>参考</w:t>
      </w:r>
      <w:r>
        <w:rPr>
          <w:color w:val="auto"/>
          <w:sz w:val="24"/>
        </w:rPr>
        <w:t>文献的综述，</w:t>
      </w:r>
      <w:r>
        <w:rPr>
          <w:iCs/>
          <w:color w:val="auto"/>
          <w:kern w:val="0"/>
          <w:sz w:val="24"/>
        </w:rPr>
        <w:t>开题由3-5名具有高级专业技术职</w:t>
      </w:r>
      <w:r>
        <w:rPr>
          <w:rFonts w:hint="eastAsia"/>
          <w:iCs/>
          <w:color w:val="0000FF"/>
          <w:kern w:val="0"/>
          <w:sz w:val="24"/>
        </w:rPr>
        <w:t>称</w:t>
      </w:r>
      <w:r>
        <w:rPr>
          <w:iCs/>
          <w:color w:val="auto"/>
          <w:kern w:val="0"/>
          <w:sz w:val="24"/>
        </w:rPr>
        <w:t>人员参加，以学术报告的方式进行。</w:t>
      </w:r>
      <w:r>
        <w:rPr>
          <w:color w:val="auto"/>
          <w:sz w:val="24"/>
        </w:rPr>
        <w:t>开题报告应包含文献综述、论文选题依据、研究方案、预期目标与成果、工作计划等关键问题。</w:t>
      </w:r>
    </w:p>
    <w:p w14:paraId="365605BE">
      <w:pPr>
        <w:widowControl/>
        <w:spacing w:before="156" w:beforeLines="50" w:line="360" w:lineRule="auto"/>
        <w:ind w:firstLine="480" w:firstLineChars="200"/>
        <w:jc w:val="left"/>
        <w:rPr>
          <w:iCs/>
          <w:color w:val="auto"/>
          <w:kern w:val="0"/>
          <w:sz w:val="24"/>
        </w:rPr>
      </w:pPr>
      <w:r>
        <w:rPr>
          <w:rFonts w:hint="eastAsia"/>
          <w:bCs/>
          <w:color w:val="auto"/>
          <w:kern w:val="0"/>
          <w:sz w:val="24"/>
          <w:lang w:val="en-US" w:eastAsia="zh-CN"/>
        </w:rPr>
        <w:t>4</w:t>
      </w:r>
      <w:r>
        <w:rPr>
          <w:bCs/>
          <w:color w:val="auto"/>
          <w:kern w:val="0"/>
          <w:sz w:val="24"/>
        </w:rPr>
        <w:t>.中期进展报告：</w:t>
      </w:r>
      <w:r>
        <w:rPr>
          <w:iCs/>
          <w:color w:val="auto"/>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7A179DC1">
      <w:pPr>
        <w:widowControl/>
        <w:spacing w:before="156" w:beforeLines="50" w:line="360" w:lineRule="auto"/>
        <w:ind w:firstLine="480" w:firstLineChars="200"/>
        <w:jc w:val="left"/>
        <w:rPr>
          <w:color w:val="auto"/>
          <w:kern w:val="0"/>
          <w:sz w:val="24"/>
        </w:rPr>
      </w:pPr>
      <w:r>
        <w:rPr>
          <w:rFonts w:hint="eastAsia"/>
          <w:bCs/>
          <w:color w:val="auto"/>
          <w:kern w:val="0"/>
          <w:sz w:val="24"/>
          <w:lang w:val="en-US" w:eastAsia="zh-CN"/>
        </w:rPr>
        <w:t>5</w:t>
      </w:r>
      <w:r>
        <w:rPr>
          <w:bCs/>
          <w:color w:val="auto"/>
          <w:kern w:val="0"/>
          <w:sz w:val="24"/>
        </w:rPr>
        <w:t>.学位申请：</w:t>
      </w:r>
      <w:r>
        <w:rPr>
          <w:color w:val="auto"/>
          <w:kern w:val="0"/>
          <w:sz w:val="24"/>
        </w:rPr>
        <w:t>达到学位授予条件的申请人，经导师同意后，应于答辩前</w:t>
      </w:r>
      <w:r>
        <w:rPr>
          <w:rFonts w:hint="eastAsia"/>
          <w:color w:val="0000FF"/>
          <w:kern w:val="0"/>
          <w:sz w:val="24"/>
        </w:rPr>
        <w:t>3</w:t>
      </w:r>
      <w:r>
        <w:rPr>
          <w:color w:val="auto"/>
          <w:kern w:val="0"/>
          <w:sz w:val="24"/>
        </w:rPr>
        <w:t>个月，向所属学位评定分委员会提出学位申请，提交学位申请材料。</w:t>
      </w:r>
    </w:p>
    <w:p w14:paraId="61EE8B85">
      <w:pPr>
        <w:widowControl/>
        <w:spacing w:before="156" w:beforeLines="50" w:line="360" w:lineRule="auto"/>
        <w:ind w:firstLine="480" w:firstLineChars="200"/>
        <w:jc w:val="left"/>
        <w:rPr>
          <w:color w:val="auto"/>
          <w:kern w:val="0"/>
          <w:sz w:val="24"/>
        </w:rPr>
      </w:pPr>
      <w:r>
        <w:rPr>
          <w:rFonts w:hint="eastAsia"/>
          <w:bCs/>
          <w:color w:val="auto"/>
          <w:kern w:val="0"/>
          <w:sz w:val="24"/>
          <w:lang w:val="en-US" w:eastAsia="zh-CN"/>
        </w:rPr>
        <w:t>6</w:t>
      </w:r>
      <w:r>
        <w:rPr>
          <w:bCs/>
          <w:color w:val="auto"/>
          <w:kern w:val="0"/>
          <w:sz w:val="24"/>
        </w:rPr>
        <w:t>.预答辩：</w:t>
      </w:r>
      <w:r>
        <w:rPr>
          <w:color w:val="auto"/>
          <w:kern w:val="0"/>
          <w:sz w:val="24"/>
        </w:rPr>
        <w:t>学位申请人须进行学位论文预答辩。预答辩通过者，方可进入学位论文评阅、学位论文答辩等环节。学位（毕业）论文预答辩在正式答辩前3个月进行。</w:t>
      </w:r>
    </w:p>
    <w:p w14:paraId="29F96918">
      <w:pPr>
        <w:widowControl/>
        <w:spacing w:before="156" w:beforeLines="50" w:line="360" w:lineRule="auto"/>
        <w:ind w:firstLine="480" w:firstLineChars="200"/>
        <w:jc w:val="left"/>
        <w:rPr>
          <w:color w:val="auto"/>
          <w:kern w:val="0"/>
          <w:sz w:val="24"/>
        </w:rPr>
      </w:pPr>
      <w:r>
        <w:rPr>
          <w:rFonts w:hint="eastAsia"/>
          <w:bCs/>
          <w:color w:val="auto"/>
          <w:kern w:val="0"/>
          <w:sz w:val="24"/>
          <w:lang w:val="en-US" w:eastAsia="zh-CN"/>
        </w:rPr>
        <w:t>7</w:t>
      </w:r>
      <w:r>
        <w:rPr>
          <w:bCs/>
          <w:color w:val="auto"/>
          <w:kern w:val="0"/>
          <w:sz w:val="24"/>
        </w:rPr>
        <w:t>.论文评阅：</w:t>
      </w:r>
      <w:r>
        <w:rPr>
          <w:color w:val="auto"/>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72F2C1AA">
      <w:pPr>
        <w:widowControl/>
        <w:spacing w:before="156" w:beforeLines="50" w:line="360" w:lineRule="auto"/>
        <w:ind w:firstLine="480" w:firstLineChars="200"/>
        <w:jc w:val="left"/>
        <w:rPr>
          <w:rFonts w:eastAsiaTheme="minorEastAsia"/>
          <w:i/>
          <w:color w:val="auto"/>
          <w:sz w:val="24"/>
        </w:rPr>
      </w:pPr>
      <w:r>
        <w:rPr>
          <w:rFonts w:hint="eastAsia"/>
          <w:b w:val="0"/>
          <w:bCs w:val="0"/>
          <w:color w:val="auto"/>
          <w:kern w:val="0"/>
          <w:sz w:val="24"/>
          <w:lang w:val="en-US" w:eastAsia="zh-CN"/>
        </w:rPr>
        <w:t>8</w:t>
      </w:r>
      <w:r>
        <w:rPr>
          <w:b w:val="0"/>
          <w:bCs w:val="0"/>
          <w:color w:val="auto"/>
          <w:kern w:val="0"/>
          <w:sz w:val="24"/>
        </w:rPr>
        <w:t>.</w:t>
      </w:r>
      <w:r>
        <w:rPr>
          <w:color w:val="auto"/>
          <w:kern w:val="0"/>
          <w:sz w:val="24"/>
        </w:rPr>
        <w:t>答辩：</w:t>
      </w:r>
      <w:r>
        <w:rPr>
          <w:bCs/>
          <w:color w:val="auto"/>
          <w:kern w:val="0"/>
          <w:sz w:val="24"/>
        </w:rPr>
        <w:t>学位（毕业）论文答辩按照</w:t>
      </w:r>
      <w:r>
        <w:rPr>
          <w:color w:val="auto"/>
          <w:kern w:val="0"/>
          <w:sz w:val="24"/>
        </w:rPr>
        <w:t>《河北大学博士、硕士学位授予工作实施细则》（校政字〔2025〕7号）执行。</w:t>
      </w:r>
    </w:p>
    <w:p w14:paraId="3CFCBBC9">
      <w:pPr>
        <w:spacing w:line="360" w:lineRule="auto"/>
        <w:ind w:firstLine="560" w:firstLineChars="200"/>
        <w:rPr>
          <w:rFonts w:eastAsia="黑体"/>
          <w:bCs/>
          <w:color w:val="auto"/>
          <w:sz w:val="28"/>
          <w:szCs w:val="28"/>
        </w:rPr>
      </w:pPr>
      <w:r>
        <w:rPr>
          <w:rFonts w:hint="eastAsia" w:eastAsia="黑体"/>
          <w:bCs/>
          <w:color w:val="auto"/>
          <w:sz w:val="28"/>
          <w:szCs w:val="28"/>
        </w:rPr>
        <w:t>九</w:t>
      </w:r>
      <w:r>
        <w:rPr>
          <w:rFonts w:eastAsia="黑体"/>
          <w:bCs/>
          <w:color w:val="auto"/>
          <w:sz w:val="28"/>
          <w:szCs w:val="28"/>
        </w:rPr>
        <w:t>、毕业条件</w:t>
      </w:r>
    </w:p>
    <w:p w14:paraId="0CC6F680">
      <w:pPr>
        <w:spacing w:line="360" w:lineRule="auto"/>
        <w:ind w:firstLine="480" w:firstLineChars="200"/>
        <w:rPr>
          <w:rFonts w:eastAsiaTheme="minorEastAsia"/>
          <w:bCs/>
          <w:color w:val="auto"/>
          <w:sz w:val="24"/>
        </w:rPr>
      </w:pPr>
      <w:r>
        <w:rPr>
          <w:rFonts w:eastAsiaTheme="minorEastAsia"/>
          <w:bCs/>
          <w:color w:val="auto"/>
          <w:sz w:val="24"/>
        </w:rPr>
        <w:t>1. 课程学习。研究生在规定修业年限内完成培养方案规定的课程学习，考核成绩合格，获得规定的学分。</w:t>
      </w:r>
    </w:p>
    <w:p w14:paraId="5A68F86D">
      <w:pPr>
        <w:spacing w:line="360" w:lineRule="auto"/>
        <w:ind w:firstLine="480" w:firstLineChars="200"/>
        <w:rPr>
          <w:rFonts w:eastAsiaTheme="minorEastAsia"/>
          <w:bCs/>
          <w:color w:val="auto"/>
          <w:sz w:val="24"/>
          <w:szCs w:val="22"/>
        </w:rPr>
      </w:pPr>
      <w:r>
        <w:rPr>
          <w:rFonts w:eastAsiaTheme="minorEastAsia"/>
          <w:bCs/>
          <w:color w:val="auto"/>
          <w:sz w:val="24"/>
        </w:rPr>
        <w:t xml:space="preserve">2. </w:t>
      </w:r>
      <w:r>
        <w:rPr>
          <w:bCs/>
          <w:color w:val="auto"/>
          <w:sz w:val="24"/>
        </w:rPr>
        <w:t>学术/实践活动。研究生在读期间至少需要完成两类活动中的一类：</w:t>
      </w:r>
    </w:p>
    <w:p w14:paraId="50F3216A">
      <w:pPr>
        <w:spacing w:line="360" w:lineRule="auto"/>
        <w:ind w:firstLine="480" w:firstLineChars="200"/>
        <w:rPr>
          <w:bCs/>
          <w:color w:val="auto"/>
          <w:kern w:val="0"/>
          <w:sz w:val="24"/>
        </w:rPr>
      </w:pPr>
      <w:r>
        <w:rPr>
          <w:bCs/>
          <w:color w:val="auto"/>
          <w:kern w:val="0"/>
          <w:sz w:val="24"/>
        </w:rPr>
        <w:t>（1）学术活动：研究生在读期间参加不少于10次学术活动，并撰写学术报告小结；以主讲人或宣讲人身份，参加在校内外举行的学术报告或学术讲座不少于</w:t>
      </w:r>
      <w:r>
        <w:rPr>
          <w:bCs/>
          <w:iCs/>
          <w:color w:val="auto"/>
          <w:kern w:val="0"/>
          <w:sz w:val="24"/>
        </w:rPr>
        <w:t>1</w:t>
      </w:r>
      <w:r>
        <w:rPr>
          <w:bCs/>
          <w:color w:val="auto"/>
          <w:kern w:val="0"/>
          <w:sz w:val="24"/>
        </w:rPr>
        <w:t>次。</w:t>
      </w:r>
    </w:p>
    <w:p w14:paraId="7C037D1A">
      <w:pPr>
        <w:spacing w:line="360" w:lineRule="auto"/>
        <w:ind w:firstLine="480" w:firstLineChars="200"/>
        <w:rPr>
          <w:bCs/>
          <w:color w:val="auto"/>
          <w:kern w:val="0"/>
          <w:sz w:val="24"/>
        </w:rPr>
      </w:pPr>
      <w:r>
        <w:rPr>
          <w:bCs/>
          <w:color w:val="auto"/>
          <w:kern w:val="0"/>
          <w:sz w:val="24"/>
        </w:rPr>
        <w:t>（2）实践活动：参与本专业相关的社会实践，由相关单位出具相关实践证明材料；或组织开展与本专业相关的调查、考察等活动，并提交相关报告。</w:t>
      </w:r>
    </w:p>
    <w:p w14:paraId="2FB6BBAF">
      <w:pPr>
        <w:spacing w:line="360" w:lineRule="auto"/>
        <w:ind w:firstLine="480" w:firstLineChars="200"/>
        <w:rPr>
          <w:rFonts w:eastAsiaTheme="minorEastAsia"/>
          <w:bCs/>
          <w:color w:val="auto"/>
          <w:sz w:val="24"/>
        </w:rPr>
      </w:pPr>
      <w:r>
        <w:rPr>
          <w:rFonts w:eastAsiaTheme="minorEastAsia"/>
          <w:color w:val="auto"/>
          <w:sz w:val="24"/>
        </w:rPr>
        <w:t>3. 符合提前毕业条件的研究生，可按照学校相关规定</w:t>
      </w:r>
      <w:r>
        <w:rPr>
          <w:rFonts w:eastAsiaTheme="minorEastAsia"/>
          <w:bCs/>
          <w:color w:val="auto"/>
          <w:sz w:val="24"/>
        </w:rPr>
        <w:t>申请</w:t>
      </w:r>
      <w:r>
        <w:rPr>
          <w:rFonts w:eastAsiaTheme="minorEastAsia"/>
          <w:color w:val="auto"/>
          <w:sz w:val="24"/>
        </w:rPr>
        <w:t>提前毕业。</w:t>
      </w:r>
    </w:p>
    <w:p w14:paraId="579289D1">
      <w:pPr>
        <w:spacing w:line="360" w:lineRule="auto"/>
        <w:ind w:firstLine="480" w:firstLineChars="200"/>
        <w:rPr>
          <w:rFonts w:eastAsiaTheme="minorEastAsia"/>
          <w:bCs/>
          <w:color w:val="auto"/>
          <w:sz w:val="24"/>
        </w:rPr>
      </w:pPr>
      <w:r>
        <w:rPr>
          <w:rFonts w:eastAsiaTheme="minorEastAsia"/>
          <w:bCs/>
          <w:color w:val="auto"/>
          <w:sz w:val="24"/>
        </w:rPr>
        <w:t>4. 论文答辩。学位（毕业）论文经专家评审合格、通过学位（毕业）答辩，符合毕业资格审查后，准予毕业。</w:t>
      </w:r>
    </w:p>
    <w:p w14:paraId="43AD1952">
      <w:pPr>
        <w:spacing w:line="360" w:lineRule="auto"/>
        <w:ind w:firstLine="560" w:firstLineChars="200"/>
        <w:rPr>
          <w:rFonts w:eastAsia="黑体"/>
          <w:bCs/>
          <w:color w:val="auto"/>
          <w:sz w:val="28"/>
          <w:szCs w:val="28"/>
        </w:rPr>
      </w:pPr>
      <w:r>
        <w:rPr>
          <w:rFonts w:hint="eastAsia" w:eastAsia="黑体"/>
          <w:bCs/>
          <w:color w:val="auto"/>
          <w:sz w:val="28"/>
          <w:szCs w:val="28"/>
        </w:rPr>
        <w:t>十</w:t>
      </w:r>
      <w:r>
        <w:rPr>
          <w:rFonts w:eastAsia="黑体"/>
          <w:bCs/>
          <w:color w:val="auto"/>
          <w:sz w:val="28"/>
          <w:szCs w:val="28"/>
        </w:rPr>
        <w:t>、创新性成果</w:t>
      </w:r>
    </w:p>
    <w:p w14:paraId="5A9EF232">
      <w:pPr>
        <w:spacing w:line="360" w:lineRule="auto"/>
        <w:ind w:firstLine="480" w:firstLineChars="200"/>
        <w:rPr>
          <w:rFonts w:eastAsiaTheme="minorEastAsia"/>
          <w:bCs/>
          <w:color w:val="auto"/>
          <w:sz w:val="24"/>
        </w:rPr>
      </w:pPr>
      <w:r>
        <w:rPr>
          <w:rFonts w:hint="eastAsia" w:eastAsiaTheme="minorEastAsia"/>
          <w:bCs/>
          <w:color w:val="auto"/>
          <w:sz w:val="24"/>
        </w:rPr>
        <w:t>符合以下情况之一，均可申请学位(期刊论文第一完成单位为河北大学中医学院，其余成果第一完成单位需要为河北大学）</w:t>
      </w:r>
    </w:p>
    <w:p w14:paraId="728C1D15">
      <w:pPr>
        <w:numPr>
          <w:ilvl w:val="0"/>
          <w:numId w:val="1"/>
        </w:numPr>
        <w:spacing w:line="360" w:lineRule="auto"/>
        <w:ind w:firstLine="480" w:firstLineChars="200"/>
        <w:rPr>
          <w:rFonts w:eastAsiaTheme="minorEastAsia"/>
          <w:bCs/>
          <w:color w:val="auto"/>
          <w:sz w:val="24"/>
        </w:rPr>
      </w:pPr>
      <w:r>
        <w:rPr>
          <w:rFonts w:hint="eastAsia" w:eastAsiaTheme="minorEastAsia"/>
          <w:bCs/>
          <w:color w:val="auto"/>
          <w:sz w:val="24"/>
        </w:rPr>
        <w:t>第一作者录用省级期刊论文1篇（导师通讯），或以前二作者录用北大中文核心期刊论文1篇（导师通讯或第1），或以前三作者收录SCI论文1篇（导师第1或通讯）。</w:t>
      </w:r>
    </w:p>
    <w:p w14:paraId="35AE0276">
      <w:pPr>
        <w:numPr>
          <w:ilvl w:val="0"/>
          <w:numId w:val="1"/>
        </w:numPr>
        <w:spacing w:line="360" w:lineRule="auto"/>
        <w:ind w:firstLine="480" w:firstLineChars="200"/>
        <w:rPr>
          <w:rFonts w:eastAsiaTheme="minorEastAsia"/>
          <w:bCs/>
          <w:color w:val="auto"/>
          <w:sz w:val="24"/>
        </w:rPr>
      </w:pPr>
      <w:r>
        <w:rPr>
          <w:rFonts w:hint="eastAsia" w:eastAsiaTheme="minorEastAsia"/>
          <w:bCs/>
          <w:color w:val="auto"/>
          <w:sz w:val="24"/>
        </w:rPr>
        <w:t>参与智库报告撰写，提交的智库报告（学生要求有署名）至少被县市级政府主要领导批示，或被厅局级管理部门采纳。</w:t>
      </w:r>
    </w:p>
    <w:p w14:paraId="3A8E0B56">
      <w:pPr>
        <w:numPr>
          <w:ilvl w:val="0"/>
          <w:numId w:val="1"/>
        </w:numPr>
        <w:spacing w:line="360" w:lineRule="auto"/>
        <w:ind w:firstLine="480" w:firstLineChars="200"/>
        <w:rPr>
          <w:rFonts w:eastAsiaTheme="minorEastAsia"/>
          <w:bCs/>
          <w:color w:val="auto"/>
          <w:sz w:val="24"/>
        </w:rPr>
      </w:pPr>
      <w:r>
        <w:rPr>
          <w:rFonts w:hint="eastAsia" w:eastAsiaTheme="minorEastAsia"/>
          <w:bCs/>
          <w:color w:val="auto"/>
          <w:sz w:val="24"/>
        </w:rPr>
        <w:t>硕士研究生在从事与本专业相关的学术性活动和创新创业等竞赛，获省部级及以上项目或奖励者(以证书为准，均需排名第1)。</w:t>
      </w:r>
    </w:p>
    <w:p w14:paraId="3FA516E4">
      <w:pPr>
        <w:numPr>
          <w:ilvl w:val="0"/>
          <w:numId w:val="1"/>
        </w:numPr>
        <w:spacing w:line="360" w:lineRule="auto"/>
        <w:ind w:firstLine="480" w:firstLineChars="200"/>
        <w:rPr>
          <w:rFonts w:eastAsiaTheme="minorEastAsia"/>
          <w:bCs/>
          <w:color w:val="auto"/>
          <w:sz w:val="24"/>
        </w:rPr>
      </w:pPr>
      <w:r>
        <w:rPr>
          <w:rFonts w:hint="eastAsia" w:eastAsiaTheme="minorEastAsia"/>
          <w:bCs/>
          <w:color w:val="auto"/>
          <w:sz w:val="24"/>
        </w:rPr>
        <w:t>以前二发明人申报发明专利1项获得受理，或以前二发明人授权实用新型及其它类型专利或软件著作权1项。</w:t>
      </w:r>
    </w:p>
    <w:p w14:paraId="1B19B199">
      <w:pPr>
        <w:numPr>
          <w:ilvl w:val="0"/>
          <w:numId w:val="1"/>
        </w:numPr>
        <w:spacing w:line="360" w:lineRule="auto"/>
        <w:ind w:firstLine="480" w:firstLineChars="200"/>
        <w:rPr>
          <w:rFonts w:eastAsiaTheme="minorEastAsia"/>
          <w:bCs/>
          <w:color w:val="auto"/>
          <w:sz w:val="24"/>
        </w:rPr>
      </w:pPr>
      <w:r>
        <w:rPr>
          <w:rFonts w:hint="eastAsia" w:eastAsiaTheme="minorEastAsia"/>
          <w:bCs/>
          <w:color w:val="auto"/>
          <w:sz w:val="24"/>
        </w:rPr>
        <w:t>出版学术专著，参与专著撰写，独立完成3万字。</w:t>
      </w:r>
    </w:p>
    <w:p w14:paraId="163CE6A3">
      <w:pPr>
        <w:spacing w:line="360" w:lineRule="auto"/>
        <w:ind w:firstLine="560" w:firstLineChars="200"/>
        <w:rPr>
          <w:rFonts w:eastAsia="黑体"/>
          <w:bCs/>
          <w:color w:val="auto"/>
          <w:sz w:val="28"/>
          <w:szCs w:val="28"/>
        </w:rPr>
      </w:pPr>
      <w:r>
        <w:rPr>
          <w:rFonts w:eastAsia="黑体"/>
          <w:bCs/>
          <w:color w:val="auto"/>
          <w:sz w:val="28"/>
          <w:szCs w:val="28"/>
        </w:rPr>
        <w:t>十一、学位授予</w:t>
      </w:r>
    </w:p>
    <w:p w14:paraId="3A7F3E6B">
      <w:pPr>
        <w:spacing w:line="360" w:lineRule="auto"/>
        <w:ind w:firstLine="480" w:firstLineChars="200"/>
        <w:rPr>
          <w:rFonts w:eastAsiaTheme="minorEastAsia"/>
          <w:bCs/>
          <w:color w:val="auto"/>
          <w:sz w:val="24"/>
        </w:rPr>
      </w:pPr>
      <w:r>
        <w:rPr>
          <w:rFonts w:eastAsiaTheme="minorEastAsia"/>
          <w:bCs/>
          <w:color w:val="auto"/>
          <w:sz w:val="24"/>
        </w:rPr>
        <w:t>研究生通过毕业资格审查，</w:t>
      </w:r>
      <w:r>
        <w:rPr>
          <w:color w:val="auto"/>
          <w:kern w:val="0"/>
          <w:sz w:val="24"/>
        </w:rPr>
        <w:t>满足本</w:t>
      </w:r>
      <w:r>
        <w:rPr>
          <w:iCs/>
          <w:color w:val="auto"/>
          <w:kern w:val="0"/>
          <w:sz w:val="24"/>
        </w:rPr>
        <w:t>学院</w:t>
      </w:r>
      <w:r>
        <w:rPr>
          <w:color w:val="auto"/>
          <w:kern w:val="0"/>
          <w:sz w:val="24"/>
        </w:rPr>
        <w:t>制定的创新性成果要求，</w:t>
      </w:r>
      <w:r>
        <w:rPr>
          <w:rFonts w:eastAsiaTheme="minorEastAsia"/>
          <w:bCs/>
          <w:color w:val="auto"/>
          <w:sz w:val="24"/>
        </w:rPr>
        <w:t>符合</w:t>
      </w:r>
      <w:r>
        <w:rPr>
          <w:color w:val="auto"/>
          <w:kern w:val="0"/>
          <w:sz w:val="24"/>
        </w:rPr>
        <w:t>《河北大学博士、硕士学位授予工作实施细则》（校政字〔2025〕7号）</w:t>
      </w:r>
      <w:r>
        <w:rPr>
          <w:rFonts w:eastAsiaTheme="minorEastAsia"/>
          <w:bCs/>
          <w:color w:val="auto"/>
          <w:sz w:val="24"/>
        </w:rPr>
        <w:t>的有关规定，达到学校学位授予标准，经学校学位评定委员会审议，授予硕士学位。</w:t>
      </w:r>
    </w:p>
    <w:p w14:paraId="1DDB0A21">
      <w:pPr>
        <w:spacing w:line="360" w:lineRule="auto"/>
        <w:ind w:firstLine="560" w:firstLineChars="200"/>
        <w:rPr>
          <w:rFonts w:eastAsia="黑体"/>
          <w:bCs/>
          <w:color w:val="auto"/>
          <w:sz w:val="28"/>
          <w:szCs w:val="28"/>
        </w:rPr>
      </w:pPr>
      <w:r>
        <w:rPr>
          <w:rFonts w:hint="eastAsia" w:eastAsia="黑体"/>
          <w:bCs/>
          <w:color w:val="auto"/>
          <w:sz w:val="28"/>
          <w:szCs w:val="28"/>
        </w:rPr>
        <w:t>十二、</w:t>
      </w:r>
      <w:r>
        <w:rPr>
          <w:rFonts w:eastAsia="黑体"/>
          <w:bCs/>
          <w:color w:val="auto"/>
          <w:sz w:val="28"/>
          <w:szCs w:val="28"/>
        </w:rPr>
        <w:t>分流机制</w:t>
      </w:r>
    </w:p>
    <w:p w14:paraId="0C1E50D2">
      <w:pPr>
        <w:spacing w:line="360" w:lineRule="auto"/>
        <w:ind w:firstLine="480" w:firstLineChars="200"/>
        <w:rPr>
          <w:color w:val="auto"/>
          <w:sz w:val="24"/>
        </w:rPr>
      </w:pPr>
      <w:r>
        <w:rPr>
          <w:rFonts w:hint="eastAsia"/>
          <w:color w:val="auto"/>
          <w:sz w:val="24"/>
        </w:rPr>
        <w:t>（</w:t>
      </w:r>
      <w:r>
        <w:rPr>
          <w:color w:val="auto"/>
          <w:sz w:val="24"/>
        </w:rPr>
        <w:t>一</w:t>
      </w:r>
      <w:r>
        <w:rPr>
          <w:rFonts w:hint="eastAsia"/>
          <w:color w:val="auto"/>
          <w:sz w:val="24"/>
        </w:rPr>
        <w:t>）</w:t>
      </w:r>
      <w:r>
        <w:rPr>
          <w:color w:val="auto"/>
          <w:sz w:val="24"/>
        </w:rPr>
        <w:t>第二学年内未获得《</w:t>
      </w:r>
      <w:r>
        <w:rPr>
          <w:rFonts w:hint="eastAsia"/>
          <w:color w:val="auto"/>
          <w:sz w:val="24"/>
        </w:rPr>
        <w:t>执业</w:t>
      </w:r>
      <w:r>
        <w:rPr>
          <w:color w:val="auto"/>
          <w:sz w:val="24"/>
        </w:rPr>
        <w:t>医师资格证书》</w:t>
      </w:r>
      <w:r>
        <w:rPr>
          <w:rFonts w:hint="eastAsia"/>
          <w:color w:val="auto"/>
          <w:sz w:val="24"/>
        </w:rPr>
        <w:t>者</w:t>
      </w:r>
      <w:r>
        <w:rPr>
          <w:color w:val="auto"/>
          <w:sz w:val="24"/>
        </w:rPr>
        <w:t>，</w:t>
      </w:r>
      <w:r>
        <w:rPr>
          <w:rFonts w:hint="eastAsia"/>
          <w:color w:val="auto"/>
          <w:sz w:val="24"/>
        </w:rPr>
        <w:t>征得</w:t>
      </w:r>
      <w:r>
        <w:rPr>
          <w:color w:val="auto"/>
          <w:sz w:val="24"/>
        </w:rPr>
        <w:t>学生</w:t>
      </w:r>
      <w:r>
        <w:rPr>
          <w:rFonts w:hint="eastAsia"/>
          <w:color w:val="auto"/>
          <w:sz w:val="24"/>
        </w:rPr>
        <w:t>同意后</w:t>
      </w:r>
      <w:r>
        <w:rPr>
          <w:color w:val="auto"/>
          <w:sz w:val="24"/>
        </w:rPr>
        <w:t>，</w:t>
      </w:r>
      <w:r>
        <w:rPr>
          <w:rFonts w:hint="eastAsia"/>
          <w:color w:val="auto"/>
          <w:sz w:val="24"/>
        </w:rPr>
        <w:t>安排</w:t>
      </w:r>
      <w:r>
        <w:rPr>
          <w:color w:val="auto"/>
          <w:sz w:val="24"/>
        </w:rPr>
        <w:t>其申请转入学术学位研究生培养渠道，但应按照学术学位研究生的培养要求完成学位课程学习和论文答辩。</w:t>
      </w:r>
    </w:p>
    <w:p w14:paraId="6FFFBF05">
      <w:pPr>
        <w:spacing w:line="360" w:lineRule="auto"/>
        <w:ind w:firstLine="480" w:firstLineChars="200"/>
        <w:rPr>
          <w:color w:val="auto"/>
          <w:sz w:val="24"/>
        </w:rPr>
      </w:pPr>
      <w:r>
        <w:rPr>
          <w:rFonts w:hint="eastAsia"/>
          <w:color w:val="auto"/>
          <w:sz w:val="24"/>
        </w:rPr>
        <w:t>（</w:t>
      </w:r>
      <w:r>
        <w:rPr>
          <w:color w:val="auto"/>
          <w:sz w:val="24"/>
        </w:rPr>
        <w:t>二</w:t>
      </w:r>
      <w:r>
        <w:rPr>
          <w:rFonts w:hint="eastAsia"/>
          <w:color w:val="auto"/>
          <w:sz w:val="24"/>
        </w:rPr>
        <w:t>）</w:t>
      </w:r>
      <w:r>
        <w:rPr>
          <w:color w:val="auto"/>
          <w:sz w:val="24"/>
        </w:rPr>
        <w:t>在规定的学习年限内，未通过学位课程考核、</w:t>
      </w:r>
      <w:r>
        <w:rPr>
          <w:rFonts w:hint="eastAsia"/>
          <w:color w:val="auto"/>
          <w:sz w:val="24"/>
        </w:rPr>
        <w:t>执业</w:t>
      </w:r>
      <w:r>
        <w:rPr>
          <w:color w:val="auto"/>
          <w:sz w:val="24"/>
        </w:rPr>
        <w:t>医师资格考试、</w:t>
      </w:r>
      <w:r>
        <w:rPr>
          <w:rFonts w:hint="eastAsia"/>
          <w:color w:val="auto"/>
          <w:sz w:val="24"/>
        </w:rPr>
        <w:t>中医</w:t>
      </w:r>
      <w:r>
        <w:rPr>
          <w:color w:val="auto"/>
          <w:sz w:val="24"/>
        </w:rPr>
        <w:t>住院医师规范化培训考核或学位论文答辩者，</w:t>
      </w:r>
      <w:r>
        <w:rPr>
          <w:rFonts w:hint="eastAsia"/>
          <w:color w:val="auto"/>
          <w:sz w:val="24"/>
        </w:rPr>
        <w:t>应提出申请，经导师、医院审核同意后，报研究生学院，经学校</w:t>
      </w:r>
      <w:r>
        <w:rPr>
          <w:color w:val="auto"/>
          <w:sz w:val="24"/>
        </w:rPr>
        <w:t>批准</w:t>
      </w:r>
      <w:r>
        <w:rPr>
          <w:rFonts w:hint="eastAsia"/>
          <w:color w:val="auto"/>
          <w:sz w:val="24"/>
        </w:rPr>
        <w:t>后</w:t>
      </w:r>
      <w:r>
        <w:rPr>
          <w:color w:val="auto"/>
          <w:sz w:val="24"/>
        </w:rPr>
        <w:t>，可适当延长学习年限</w:t>
      </w:r>
      <w:r>
        <w:rPr>
          <w:rFonts w:hint="eastAsia"/>
          <w:color w:val="auto"/>
          <w:sz w:val="24"/>
        </w:rPr>
        <w:t>1年</w:t>
      </w:r>
      <w:r>
        <w:rPr>
          <w:color w:val="auto"/>
          <w:sz w:val="24"/>
        </w:rPr>
        <w:t>。</w:t>
      </w:r>
    </w:p>
    <w:p w14:paraId="623030D9">
      <w:pPr>
        <w:spacing w:line="360" w:lineRule="auto"/>
        <w:ind w:firstLine="480" w:firstLineChars="200"/>
        <w:rPr>
          <w:color w:val="auto"/>
          <w:sz w:val="24"/>
        </w:rPr>
      </w:pPr>
      <w:r>
        <w:rPr>
          <w:rFonts w:hint="eastAsia"/>
          <w:color w:val="auto"/>
          <w:sz w:val="24"/>
        </w:rPr>
        <w:t>（</w:t>
      </w:r>
      <w:r>
        <w:rPr>
          <w:color w:val="auto"/>
          <w:sz w:val="24"/>
        </w:rPr>
        <w:t>三</w:t>
      </w:r>
      <w:r>
        <w:rPr>
          <w:rFonts w:hint="eastAsia"/>
          <w:color w:val="auto"/>
          <w:sz w:val="24"/>
        </w:rPr>
        <w:t>）</w:t>
      </w:r>
      <w:r>
        <w:rPr>
          <w:color w:val="auto"/>
          <w:sz w:val="24"/>
        </w:rPr>
        <w:t>在规定的学习年限内获得《医师资格证书》、完成学位课程考核，但未获得《住院医师规范化培训合格证书》者，</w:t>
      </w:r>
      <w:r>
        <w:rPr>
          <w:rFonts w:hint="eastAsia"/>
          <w:color w:val="auto"/>
          <w:sz w:val="24"/>
        </w:rPr>
        <w:t>允许</w:t>
      </w:r>
      <w:r>
        <w:rPr>
          <w:color w:val="auto"/>
          <w:sz w:val="24"/>
        </w:rPr>
        <w:t>其</w:t>
      </w:r>
      <w:r>
        <w:rPr>
          <w:rFonts w:hint="eastAsia"/>
          <w:color w:val="auto"/>
          <w:sz w:val="24"/>
        </w:rPr>
        <w:t>申请</w:t>
      </w:r>
      <w:r>
        <w:rPr>
          <w:color w:val="auto"/>
          <w:sz w:val="24"/>
        </w:rPr>
        <w:t>毕业考核和论文答辩，</w:t>
      </w:r>
      <w:r>
        <w:rPr>
          <w:rFonts w:hint="eastAsia"/>
          <w:color w:val="auto"/>
          <w:sz w:val="24"/>
        </w:rPr>
        <w:t>如符合毕业及论文答辩要求，则</w:t>
      </w:r>
      <w:r>
        <w:rPr>
          <w:color w:val="auto"/>
          <w:sz w:val="24"/>
        </w:rPr>
        <w:t>准予</w:t>
      </w:r>
      <w:r>
        <w:rPr>
          <w:rFonts w:hint="eastAsia"/>
          <w:color w:val="auto"/>
          <w:sz w:val="24"/>
        </w:rPr>
        <w:t>答辩和</w:t>
      </w:r>
      <w:r>
        <w:rPr>
          <w:color w:val="auto"/>
          <w:sz w:val="24"/>
        </w:rPr>
        <w:t>毕业。毕业后</w:t>
      </w:r>
      <w:r>
        <w:rPr>
          <w:rFonts w:hint="eastAsia"/>
          <w:color w:val="auto"/>
          <w:sz w:val="24"/>
        </w:rPr>
        <w:t>3</w:t>
      </w:r>
      <w:r>
        <w:rPr>
          <w:color w:val="auto"/>
          <w:sz w:val="24"/>
        </w:rPr>
        <w:t>年内取得《</w:t>
      </w:r>
      <w:r>
        <w:rPr>
          <w:rFonts w:hint="eastAsia"/>
          <w:color w:val="auto"/>
          <w:sz w:val="24"/>
        </w:rPr>
        <w:t>中医</w:t>
      </w:r>
      <w:r>
        <w:rPr>
          <w:color w:val="auto"/>
          <w:sz w:val="24"/>
        </w:rPr>
        <w:t>住院医师规范化培训合格证书》者，可回</w:t>
      </w:r>
      <w:r>
        <w:rPr>
          <w:rFonts w:hint="eastAsia"/>
          <w:color w:val="auto"/>
          <w:sz w:val="24"/>
        </w:rPr>
        <w:t>学校</w:t>
      </w:r>
      <w:r>
        <w:rPr>
          <w:color w:val="auto"/>
          <w:sz w:val="24"/>
        </w:rPr>
        <w:t>申请中医硕士专业学位。</w:t>
      </w:r>
    </w:p>
    <w:p w14:paraId="65188148">
      <w:pPr>
        <w:spacing w:line="360" w:lineRule="auto"/>
        <w:ind w:firstLine="560" w:firstLineChars="200"/>
        <w:rPr>
          <w:rFonts w:eastAsia="黑体"/>
          <w:bCs/>
          <w:color w:val="auto"/>
          <w:sz w:val="28"/>
          <w:szCs w:val="28"/>
        </w:rPr>
      </w:pPr>
      <w:r>
        <w:rPr>
          <w:rFonts w:eastAsia="黑体"/>
          <w:bCs/>
          <w:color w:val="auto"/>
          <w:sz w:val="28"/>
          <w:szCs w:val="28"/>
        </w:rPr>
        <w:t>十</w:t>
      </w:r>
      <w:r>
        <w:rPr>
          <w:rFonts w:hint="eastAsia" w:eastAsia="黑体"/>
          <w:bCs/>
          <w:color w:val="auto"/>
          <w:sz w:val="28"/>
          <w:szCs w:val="28"/>
        </w:rPr>
        <w:t>三</w:t>
      </w:r>
      <w:r>
        <w:rPr>
          <w:rFonts w:eastAsia="黑体"/>
          <w:bCs/>
          <w:color w:val="auto"/>
          <w:sz w:val="28"/>
          <w:szCs w:val="28"/>
        </w:rPr>
        <w:t>、学分及课程设置</w:t>
      </w:r>
    </w:p>
    <w:p w14:paraId="08491C66">
      <w:pPr>
        <w:spacing w:line="360" w:lineRule="auto"/>
        <w:ind w:firstLine="480" w:firstLineChars="200"/>
        <w:rPr>
          <w:rFonts w:eastAsiaTheme="minorEastAsia"/>
          <w:color w:val="auto"/>
          <w:sz w:val="24"/>
        </w:rPr>
      </w:pPr>
      <w:r>
        <w:rPr>
          <w:rFonts w:eastAsiaTheme="minorEastAsia"/>
          <w:color w:val="auto"/>
          <w:sz w:val="24"/>
        </w:rPr>
        <w:t>本专业最低毕业学分为</w:t>
      </w:r>
      <w:r>
        <w:rPr>
          <w:rFonts w:hint="eastAsia" w:eastAsiaTheme="minorEastAsia"/>
          <w:color w:val="auto"/>
          <w:sz w:val="24"/>
        </w:rPr>
        <w:t>21</w:t>
      </w:r>
      <w:r>
        <w:rPr>
          <w:rFonts w:eastAsiaTheme="minorEastAsia"/>
          <w:color w:val="auto"/>
          <w:sz w:val="24"/>
        </w:rPr>
        <w:t>分，其中学位课</w:t>
      </w:r>
      <w:r>
        <w:rPr>
          <w:rFonts w:hint="eastAsia" w:eastAsiaTheme="minorEastAsia"/>
          <w:color w:val="auto"/>
          <w:sz w:val="24"/>
        </w:rPr>
        <w:t>14</w:t>
      </w:r>
      <w:r>
        <w:rPr>
          <w:rFonts w:eastAsiaTheme="minorEastAsia"/>
          <w:color w:val="auto"/>
          <w:sz w:val="24"/>
        </w:rPr>
        <w:t>学分，非学位课</w:t>
      </w:r>
      <w:r>
        <w:rPr>
          <w:rFonts w:hint="eastAsia" w:eastAsiaTheme="minorEastAsia"/>
          <w:color w:val="auto"/>
          <w:sz w:val="24"/>
        </w:rPr>
        <w:t>5</w:t>
      </w:r>
      <w:r>
        <w:rPr>
          <w:rFonts w:eastAsiaTheme="minorEastAsia"/>
          <w:color w:val="auto"/>
          <w:sz w:val="24"/>
        </w:rPr>
        <w:t>学分，必修环节</w:t>
      </w:r>
      <w:r>
        <w:rPr>
          <w:rFonts w:hint="eastAsia" w:eastAsiaTheme="minorEastAsia"/>
          <w:color w:val="auto"/>
          <w:sz w:val="24"/>
        </w:rPr>
        <w:t>2</w:t>
      </w:r>
      <w:r>
        <w:rPr>
          <w:rFonts w:eastAsiaTheme="minorEastAsia"/>
          <w:color w:val="auto"/>
          <w:sz w:val="24"/>
        </w:rPr>
        <w:t>分。</w:t>
      </w:r>
    </w:p>
    <w:p w14:paraId="4A9FA700">
      <w:pPr>
        <w:spacing w:line="360" w:lineRule="auto"/>
        <w:ind w:firstLine="480" w:firstLineChars="200"/>
        <w:rPr>
          <w:color w:val="auto"/>
          <w:sz w:val="24"/>
        </w:rPr>
      </w:pPr>
      <w:r>
        <w:rPr>
          <w:rFonts w:eastAsiaTheme="minorEastAsia"/>
          <w:color w:val="auto"/>
          <w:sz w:val="24"/>
        </w:rPr>
        <w:t>课程考试不设补考环节，</w:t>
      </w:r>
      <w:r>
        <w:rPr>
          <w:color w:val="auto"/>
          <w:sz w:val="24"/>
        </w:rPr>
        <w:t>考试成绩低于60分的需重修。</w:t>
      </w:r>
    </w:p>
    <w:p w14:paraId="5199B03A">
      <w:pPr>
        <w:spacing w:line="360" w:lineRule="auto"/>
        <w:ind w:firstLine="480" w:firstLineChars="200"/>
        <w:rPr>
          <w:rFonts w:eastAsiaTheme="minorEastAsia"/>
          <w:color w:val="auto"/>
          <w:sz w:val="24"/>
        </w:rPr>
      </w:pPr>
      <w:r>
        <w:rPr>
          <w:rFonts w:eastAsiaTheme="minorEastAsia"/>
          <w:color w:val="auto"/>
          <w:sz w:val="24"/>
        </w:rPr>
        <w:t>课程考核方式包括考试和考查，可以采用口试、笔试或写读书报告、论文的形式，但应有</w:t>
      </w:r>
      <w:r>
        <w:rPr>
          <w:rFonts w:hint="eastAsia" w:eastAsiaTheme="minorEastAsia"/>
          <w:color w:val="auto"/>
          <w:sz w:val="24"/>
        </w:rPr>
        <w:t>一</w:t>
      </w:r>
      <w:r>
        <w:rPr>
          <w:rFonts w:eastAsiaTheme="minorEastAsia"/>
          <w:color w:val="auto"/>
          <w:sz w:val="24"/>
        </w:rPr>
        <w:t>定数量的笔试。无论采取何种考核方式，均真实反映学生对所学课程掌握的程度及运用知识的能力。</w:t>
      </w:r>
    </w:p>
    <w:p w14:paraId="6EA79412">
      <w:pPr>
        <w:spacing w:line="360" w:lineRule="auto"/>
        <w:ind w:firstLine="480" w:firstLineChars="200"/>
        <w:rPr>
          <w:rFonts w:eastAsiaTheme="minorEastAsia"/>
          <w:color w:val="auto"/>
          <w:sz w:val="24"/>
        </w:rPr>
      </w:pPr>
    </w:p>
    <w:p w14:paraId="531E6D60">
      <w:pPr>
        <w:spacing w:line="360" w:lineRule="auto"/>
        <w:ind w:firstLine="480" w:firstLineChars="200"/>
        <w:rPr>
          <w:rFonts w:eastAsiaTheme="minorEastAsia"/>
          <w:color w:val="auto"/>
          <w:sz w:val="24"/>
        </w:rPr>
      </w:pPr>
    </w:p>
    <w:p w14:paraId="1DCAC7D4">
      <w:pPr>
        <w:spacing w:line="360" w:lineRule="auto"/>
        <w:ind w:firstLine="480" w:firstLineChars="200"/>
        <w:rPr>
          <w:rFonts w:eastAsiaTheme="minorEastAsia"/>
          <w:color w:val="auto"/>
          <w:sz w:val="24"/>
        </w:rPr>
      </w:pPr>
    </w:p>
    <w:p w14:paraId="7B0FE863">
      <w:pPr>
        <w:spacing w:line="360" w:lineRule="auto"/>
        <w:ind w:firstLine="480" w:firstLineChars="200"/>
        <w:rPr>
          <w:rFonts w:eastAsiaTheme="minorEastAsia"/>
          <w:color w:val="auto"/>
          <w:sz w:val="24"/>
        </w:rPr>
      </w:pPr>
    </w:p>
    <w:p w14:paraId="0A76AFC8">
      <w:pPr>
        <w:spacing w:line="360" w:lineRule="auto"/>
        <w:ind w:firstLine="480" w:firstLineChars="200"/>
        <w:rPr>
          <w:rFonts w:eastAsiaTheme="minorEastAsia"/>
          <w:color w:val="auto"/>
          <w:sz w:val="24"/>
        </w:rPr>
      </w:pPr>
    </w:p>
    <w:p w14:paraId="07159528">
      <w:pPr>
        <w:spacing w:line="360" w:lineRule="auto"/>
        <w:ind w:firstLine="480" w:firstLineChars="200"/>
        <w:rPr>
          <w:rFonts w:eastAsiaTheme="minorEastAsia"/>
          <w:color w:val="auto"/>
          <w:sz w:val="24"/>
        </w:rPr>
      </w:pPr>
    </w:p>
    <w:p w14:paraId="74FBE5EF">
      <w:pPr>
        <w:spacing w:line="360" w:lineRule="auto"/>
        <w:ind w:firstLine="480" w:firstLineChars="200"/>
        <w:rPr>
          <w:rFonts w:eastAsiaTheme="minorEastAsia"/>
          <w:color w:val="auto"/>
          <w:sz w:val="24"/>
        </w:rPr>
      </w:pPr>
    </w:p>
    <w:p w14:paraId="2E223D36">
      <w:pPr>
        <w:spacing w:line="360" w:lineRule="auto"/>
        <w:ind w:firstLine="480" w:firstLineChars="200"/>
        <w:rPr>
          <w:rFonts w:eastAsiaTheme="minorEastAsia"/>
          <w:color w:val="auto"/>
          <w:sz w:val="24"/>
        </w:rPr>
      </w:pPr>
    </w:p>
    <w:p w14:paraId="59469B53">
      <w:pPr>
        <w:spacing w:line="360" w:lineRule="auto"/>
        <w:ind w:firstLine="480" w:firstLineChars="200"/>
        <w:rPr>
          <w:rFonts w:eastAsiaTheme="minorEastAsia"/>
          <w:color w:val="auto"/>
          <w:sz w:val="24"/>
        </w:rPr>
      </w:pPr>
    </w:p>
    <w:p w14:paraId="3D0BA372">
      <w:pPr>
        <w:spacing w:line="360" w:lineRule="auto"/>
        <w:ind w:firstLine="480" w:firstLineChars="200"/>
        <w:rPr>
          <w:rFonts w:eastAsiaTheme="minorEastAsia"/>
          <w:color w:val="auto"/>
          <w:sz w:val="24"/>
        </w:rPr>
      </w:pPr>
    </w:p>
    <w:p w14:paraId="1CA6E3E0">
      <w:pPr>
        <w:spacing w:line="360" w:lineRule="auto"/>
        <w:ind w:firstLine="480" w:firstLineChars="200"/>
        <w:rPr>
          <w:rFonts w:eastAsiaTheme="minorEastAsia"/>
          <w:color w:val="auto"/>
          <w:sz w:val="24"/>
        </w:rPr>
      </w:pPr>
    </w:p>
    <w:p w14:paraId="79161DC9">
      <w:pPr>
        <w:spacing w:after="156" w:afterLines="50" w:line="440" w:lineRule="exact"/>
        <w:ind w:firstLine="482" w:firstLineChars="200"/>
        <w:jc w:val="center"/>
        <w:rPr>
          <w:rFonts w:eastAsiaTheme="minorEastAsia"/>
          <w:b/>
          <w:bCs/>
          <w:color w:val="auto"/>
          <w:sz w:val="24"/>
        </w:rPr>
      </w:pPr>
      <w:r>
        <w:rPr>
          <w:rFonts w:hint="eastAsia" w:eastAsiaTheme="minorEastAsia"/>
          <w:b/>
          <w:bCs/>
          <w:color w:val="auto"/>
          <w:sz w:val="24"/>
        </w:rPr>
        <w:t>针灸推拿学</w:t>
      </w:r>
      <w:r>
        <w:rPr>
          <w:rFonts w:eastAsiaTheme="minorEastAsia"/>
          <w:b/>
          <w:bCs/>
          <w:color w:val="auto"/>
          <w:sz w:val="24"/>
        </w:rPr>
        <w:t>专业全日制专业学位硕士研究生课程及培养环节设置一览表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1C607C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5173883E">
            <w:pPr>
              <w:jc w:val="center"/>
              <w:rPr>
                <w:b/>
                <w:color w:val="auto"/>
                <w:szCs w:val="21"/>
              </w:rPr>
            </w:pPr>
            <w:r>
              <w:rPr>
                <w:b/>
                <w:color w:val="auto"/>
                <w:szCs w:val="21"/>
              </w:rPr>
              <w:t>课程类别</w:t>
            </w:r>
          </w:p>
        </w:tc>
        <w:tc>
          <w:tcPr>
            <w:tcW w:w="3516" w:type="dxa"/>
            <w:vAlign w:val="center"/>
          </w:tcPr>
          <w:p w14:paraId="04491918">
            <w:pPr>
              <w:jc w:val="center"/>
              <w:rPr>
                <w:b/>
                <w:color w:val="auto"/>
                <w:szCs w:val="21"/>
              </w:rPr>
            </w:pPr>
            <w:r>
              <w:rPr>
                <w:b/>
                <w:color w:val="auto"/>
                <w:szCs w:val="21"/>
              </w:rPr>
              <w:t>课程说明</w:t>
            </w:r>
          </w:p>
        </w:tc>
        <w:tc>
          <w:tcPr>
            <w:tcW w:w="1081" w:type="dxa"/>
            <w:vAlign w:val="center"/>
          </w:tcPr>
          <w:p w14:paraId="0F740812">
            <w:pPr>
              <w:jc w:val="center"/>
              <w:rPr>
                <w:b/>
                <w:color w:val="auto"/>
                <w:szCs w:val="21"/>
              </w:rPr>
            </w:pPr>
            <w:r>
              <w:rPr>
                <w:b/>
                <w:color w:val="auto"/>
                <w:szCs w:val="21"/>
              </w:rPr>
              <w:t>课程编号</w:t>
            </w:r>
          </w:p>
        </w:tc>
        <w:tc>
          <w:tcPr>
            <w:tcW w:w="709" w:type="dxa"/>
            <w:vAlign w:val="center"/>
          </w:tcPr>
          <w:p w14:paraId="42F8C570">
            <w:pPr>
              <w:jc w:val="center"/>
              <w:rPr>
                <w:b/>
                <w:color w:val="auto"/>
                <w:szCs w:val="21"/>
              </w:rPr>
            </w:pPr>
            <w:r>
              <w:rPr>
                <w:b/>
                <w:color w:val="auto"/>
                <w:szCs w:val="21"/>
              </w:rPr>
              <w:t>学分</w:t>
            </w:r>
          </w:p>
        </w:tc>
        <w:tc>
          <w:tcPr>
            <w:tcW w:w="709" w:type="dxa"/>
            <w:vAlign w:val="center"/>
          </w:tcPr>
          <w:p w14:paraId="01D38146">
            <w:pPr>
              <w:jc w:val="center"/>
              <w:rPr>
                <w:b/>
                <w:color w:val="auto"/>
                <w:szCs w:val="21"/>
              </w:rPr>
            </w:pPr>
            <w:r>
              <w:rPr>
                <w:b/>
                <w:color w:val="auto"/>
                <w:szCs w:val="21"/>
              </w:rPr>
              <w:t>学期</w:t>
            </w:r>
          </w:p>
        </w:tc>
        <w:tc>
          <w:tcPr>
            <w:tcW w:w="1045" w:type="dxa"/>
            <w:vAlign w:val="center"/>
          </w:tcPr>
          <w:p w14:paraId="16180B15">
            <w:pPr>
              <w:jc w:val="center"/>
              <w:rPr>
                <w:b/>
                <w:color w:val="auto"/>
                <w:szCs w:val="21"/>
              </w:rPr>
            </w:pPr>
            <w:r>
              <w:rPr>
                <w:b/>
                <w:color w:val="auto"/>
                <w:szCs w:val="21"/>
              </w:rPr>
              <w:t>备注</w:t>
            </w:r>
          </w:p>
        </w:tc>
      </w:tr>
      <w:tr w14:paraId="1F92D1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8" w:hRule="atLeast"/>
          <w:jc w:val="center"/>
        </w:trPr>
        <w:tc>
          <w:tcPr>
            <w:tcW w:w="571" w:type="dxa"/>
            <w:vMerge w:val="restart"/>
            <w:vAlign w:val="center"/>
          </w:tcPr>
          <w:p w14:paraId="495655EE">
            <w:pPr>
              <w:jc w:val="center"/>
              <w:rPr>
                <w:b/>
                <w:color w:val="auto"/>
                <w:sz w:val="18"/>
                <w:szCs w:val="18"/>
              </w:rPr>
            </w:pPr>
            <w:r>
              <w:rPr>
                <w:b/>
                <w:color w:val="auto"/>
                <w:sz w:val="18"/>
                <w:szCs w:val="18"/>
              </w:rPr>
              <w:t>学位课</w:t>
            </w:r>
          </w:p>
        </w:tc>
        <w:tc>
          <w:tcPr>
            <w:tcW w:w="1226" w:type="dxa"/>
            <w:vMerge w:val="restart"/>
            <w:vAlign w:val="center"/>
          </w:tcPr>
          <w:p w14:paraId="2E75323F">
            <w:pPr>
              <w:jc w:val="center"/>
              <w:rPr>
                <w:b/>
                <w:color w:val="auto"/>
                <w:sz w:val="18"/>
                <w:szCs w:val="18"/>
              </w:rPr>
            </w:pPr>
            <w:r>
              <w:rPr>
                <w:b/>
                <w:color w:val="auto"/>
                <w:sz w:val="18"/>
                <w:szCs w:val="18"/>
              </w:rPr>
              <w:t>公共必修课</w:t>
            </w:r>
          </w:p>
          <w:p w14:paraId="29546B9E">
            <w:pPr>
              <w:jc w:val="center"/>
              <w:rPr>
                <w:b/>
                <w:color w:val="auto"/>
                <w:sz w:val="18"/>
                <w:szCs w:val="18"/>
              </w:rPr>
            </w:pPr>
            <w:r>
              <w:rPr>
                <w:b/>
                <w:color w:val="auto"/>
                <w:sz w:val="18"/>
                <w:szCs w:val="18"/>
              </w:rPr>
              <w:t>（</w:t>
            </w:r>
            <w:r>
              <w:rPr>
                <w:rFonts w:hint="eastAsia"/>
                <w:b/>
                <w:color w:val="auto"/>
                <w:sz w:val="18"/>
                <w:szCs w:val="18"/>
              </w:rPr>
              <w:t>4</w:t>
            </w:r>
            <w:r>
              <w:rPr>
                <w:b/>
                <w:color w:val="auto"/>
                <w:sz w:val="18"/>
                <w:szCs w:val="18"/>
              </w:rPr>
              <w:t>学分）</w:t>
            </w:r>
          </w:p>
        </w:tc>
        <w:tc>
          <w:tcPr>
            <w:tcW w:w="3516" w:type="dxa"/>
            <w:vAlign w:val="center"/>
          </w:tcPr>
          <w:p w14:paraId="7F6EA285">
            <w:pPr>
              <w:rPr>
                <w:color w:val="auto"/>
                <w:sz w:val="18"/>
                <w:szCs w:val="18"/>
              </w:rPr>
            </w:pPr>
            <w:r>
              <w:rPr>
                <w:color w:val="auto"/>
                <w:sz w:val="18"/>
                <w:szCs w:val="18"/>
              </w:rPr>
              <w:t>新时代中国特色社会主义理论与实践</w:t>
            </w:r>
          </w:p>
        </w:tc>
        <w:tc>
          <w:tcPr>
            <w:tcW w:w="1081" w:type="dxa"/>
            <w:vAlign w:val="center"/>
          </w:tcPr>
          <w:p w14:paraId="6C79900A">
            <w:pPr>
              <w:jc w:val="center"/>
              <w:rPr>
                <w:color w:val="auto"/>
                <w:sz w:val="18"/>
                <w:szCs w:val="18"/>
              </w:rPr>
            </w:pPr>
            <w:r>
              <w:rPr>
                <w:color w:val="auto"/>
                <w:sz w:val="18"/>
                <w:szCs w:val="18"/>
              </w:rPr>
              <w:t>TS0000001</w:t>
            </w:r>
          </w:p>
        </w:tc>
        <w:tc>
          <w:tcPr>
            <w:tcW w:w="709" w:type="dxa"/>
            <w:vAlign w:val="center"/>
          </w:tcPr>
          <w:p w14:paraId="65A83484">
            <w:pPr>
              <w:jc w:val="center"/>
              <w:rPr>
                <w:color w:val="auto"/>
                <w:sz w:val="18"/>
                <w:szCs w:val="18"/>
              </w:rPr>
            </w:pPr>
            <w:r>
              <w:rPr>
                <w:color w:val="auto"/>
                <w:sz w:val="18"/>
                <w:szCs w:val="18"/>
              </w:rPr>
              <w:t>2</w:t>
            </w:r>
          </w:p>
        </w:tc>
        <w:tc>
          <w:tcPr>
            <w:tcW w:w="709" w:type="dxa"/>
            <w:vAlign w:val="center"/>
          </w:tcPr>
          <w:p w14:paraId="786CFEC0">
            <w:pPr>
              <w:jc w:val="center"/>
              <w:rPr>
                <w:color w:val="auto"/>
                <w:sz w:val="18"/>
                <w:szCs w:val="18"/>
              </w:rPr>
            </w:pPr>
            <w:r>
              <w:rPr>
                <w:color w:val="auto"/>
                <w:sz w:val="18"/>
                <w:szCs w:val="18"/>
              </w:rPr>
              <w:t>1</w:t>
            </w:r>
          </w:p>
        </w:tc>
        <w:tc>
          <w:tcPr>
            <w:tcW w:w="1045" w:type="dxa"/>
            <w:vAlign w:val="center"/>
          </w:tcPr>
          <w:p w14:paraId="62022452">
            <w:pPr>
              <w:jc w:val="center"/>
              <w:rPr>
                <w:color w:val="auto"/>
                <w:sz w:val="18"/>
                <w:szCs w:val="18"/>
              </w:rPr>
            </w:pPr>
            <w:r>
              <w:rPr>
                <w:rFonts w:hint="eastAsia"/>
                <w:color w:val="auto"/>
                <w:sz w:val="18"/>
                <w:szCs w:val="18"/>
              </w:rPr>
              <w:t>考查</w:t>
            </w:r>
          </w:p>
        </w:tc>
      </w:tr>
      <w:tr w14:paraId="151A6E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2" w:hRule="atLeast"/>
          <w:jc w:val="center"/>
        </w:trPr>
        <w:tc>
          <w:tcPr>
            <w:tcW w:w="571" w:type="dxa"/>
            <w:vMerge w:val="continue"/>
            <w:vAlign w:val="center"/>
          </w:tcPr>
          <w:p w14:paraId="40E7DFAE">
            <w:pPr>
              <w:jc w:val="center"/>
              <w:rPr>
                <w:b/>
                <w:color w:val="auto"/>
                <w:sz w:val="18"/>
                <w:szCs w:val="18"/>
              </w:rPr>
            </w:pPr>
          </w:p>
        </w:tc>
        <w:tc>
          <w:tcPr>
            <w:tcW w:w="1226" w:type="dxa"/>
            <w:vMerge w:val="continue"/>
            <w:vAlign w:val="center"/>
          </w:tcPr>
          <w:p w14:paraId="07D1C704">
            <w:pPr>
              <w:jc w:val="center"/>
              <w:rPr>
                <w:b/>
                <w:color w:val="auto"/>
                <w:sz w:val="18"/>
                <w:szCs w:val="18"/>
              </w:rPr>
            </w:pPr>
          </w:p>
        </w:tc>
        <w:tc>
          <w:tcPr>
            <w:tcW w:w="3516" w:type="dxa"/>
            <w:vAlign w:val="center"/>
          </w:tcPr>
          <w:p w14:paraId="34082FE3">
            <w:pPr>
              <w:rPr>
                <w:color w:val="auto"/>
                <w:sz w:val="18"/>
                <w:szCs w:val="18"/>
              </w:rPr>
            </w:pPr>
            <w:r>
              <w:rPr>
                <w:color w:val="auto"/>
                <w:sz w:val="18"/>
                <w:szCs w:val="18"/>
              </w:rPr>
              <w:t>通用学术英语</w:t>
            </w:r>
          </w:p>
        </w:tc>
        <w:tc>
          <w:tcPr>
            <w:tcW w:w="1081" w:type="dxa"/>
            <w:vAlign w:val="center"/>
          </w:tcPr>
          <w:p w14:paraId="2AC0ED87">
            <w:pPr>
              <w:jc w:val="center"/>
              <w:rPr>
                <w:color w:val="auto"/>
                <w:sz w:val="18"/>
                <w:szCs w:val="18"/>
              </w:rPr>
            </w:pPr>
            <w:r>
              <w:rPr>
                <w:color w:val="auto"/>
                <w:sz w:val="18"/>
                <w:szCs w:val="18"/>
              </w:rPr>
              <w:t>TS0000002</w:t>
            </w:r>
          </w:p>
        </w:tc>
        <w:tc>
          <w:tcPr>
            <w:tcW w:w="709" w:type="dxa"/>
            <w:vAlign w:val="center"/>
          </w:tcPr>
          <w:p w14:paraId="36866CA6">
            <w:pPr>
              <w:jc w:val="center"/>
              <w:rPr>
                <w:color w:val="auto"/>
                <w:sz w:val="18"/>
                <w:szCs w:val="18"/>
              </w:rPr>
            </w:pPr>
            <w:r>
              <w:rPr>
                <w:color w:val="auto"/>
                <w:sz w:val="18"/>
                <w:szCs w:val="18"/>
              </w:rPr>
              <w:t>2</w:t>
            </w:r>
          </w:p>
        </w:tc>
        <w:tc>
          <w:tcPr>
            <w:tcW w:w="709" w:type="dxa"/>
            <w:vAlign w:val="center"/>
          </w:tcPr>
          <w:p w14:paraId="3B5E827D">
            <w:pPr>
              <w:jc w:val="center"/>
              <w:rPr>
                <w:color w:val="auto"/>
                <w:sz w:val="18"/>
                <w:szCs w:val="18"/>
              </w:rPr>
            </w:pPr>
            <w:r>
              <w:rPr>
                <w:color w:val="auto"/>
                <w:sz w:val="18"/>
                <w:szCs w:val="18"/>
              </w:rPr>
              <w:t>1</w:t>
            </w:r>
          </w:p>
        </w:tc>
        <w:tc>
          <w:tcPr>
            <w:tcW w:w="1045" w:type="dxa"/>
            <w:vAlign w:val="center"/>
          </w:tcPr>
          <w:p w14:paraId="158AF902">
            <w:pPr>
              <w:jc w:val="center"/>
              <w:rPr>
                <w:color w:val="auto"/>
                <w:sz w:val="18"/>
                <w:szCs w:val="18"/>
              </w:rPr>
            </w:pPr>
            <w:r>
              <w:rPr>
                <w:rFonts w:hint="eastAsia"/>
                <w:color w:val="auto"/>
                <w:sz w:val="18"/>
                <w:szCs w:val="18"/>
              </w:rPr>
              <w:t>考查</w:t>
            </w:r>
          </w:p>
        </w:tc>
      </w:tr>
      <w:tr w14:paraId="034AFC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DBF7FC6">
            <w:pPr>
              <w:jc w:val="center"/>
              <w:rPr>
                <w:b/>
                <w:color w:val="auto"/>
                <w:sz w:val="18"/>
                <w:szCs w:val="18"/>
              </w:rPr>
            </w:pPr>
          </w:p>
        </w:tc>
        <w:tc>
          <w:tcPr>
            <w:tcW w:w="1226" w:type="dxa"/>
            <w:vMerge w:val="restart"/>
            <w:vAlign w:val="center"/>
          </w:tcPr>
          <w:p w14:paraId="6DA823D0">
            <w:pPr>
              <w:jc w:val="center"/>
              <w:rPr>
                <w:b/>
                <w:color w:val="auto"/>
                <w:sz w:val="18"/>
                <w:szCs w:val="18"/>
              </w:rPr>
            </w:pPr>
            <w:r>
              <w:rPr>
                <w:b/>
                <w:color w:val="auto"/>
                <w:sz w:val="18"/>
                <w:szCs w:val="18"/>
              </w:rPr>
              <w:t>学科基础课</w:t>
            </w:r>
          </w:p>
          <w:p w14:paraId="7FDB90D6">
            <w:pPr>
              <w:jc w:val="center"/>
              <w:rPr>
                <w:b/>
                <w:color w:val="auto"/>
                <w:sz w:val="18"/>
                <w:szCs w:val="18"/>
              </w:rPr>
            </w:pPr>
            <w:r>
              <w:rPr>
                <w:b/>
                <w:color w:val="auto"/>
                <w:sz w:val="18"/>
                <w:szCs w:val="18"/>
              </w:rPr>
              <w:t>（</w:t>
            </w:r>
            <w:r>
              <w:rPr>
                <w:rFonts w:hint="eastAsia"/>
                <w:b/>
                <w:color w:val="auto"/>
                <w:sz w:val="18"/>
                <w:szCs w:val="18"/>
              </w:rPr>
              <w:t>5</w:t>
            </w:r>
            <w:r>
              <w:rPr>
                <w:b/>
                <w:color w:val="auto"/>
                <w:sz w:val="18"/>
                <w:szCs w:val="18"/>
              </w:rPr>
              <w:t>分）</w:t>
            </w:r>
          </w:p>
        </w:tc>
        <w:tc>
          <w:tcPr>
            <w:tcW w:w="3516" w:type="dxa"/>
            <w:vAlign w:val="center"/>
          </w:tcPr>
          <w:p w14:paraId="1632E99C">
            <w:pPr>
              <w:rPr>
                <w:color w:val="auto"/>
                <w:sz w:val="18"/>
                <w:szCs w:val="18"/>
              </w:rPr>
            </w:pPr>
            <w:r>
              <w:rPr>
                <w:color w:val="auto"/>
                <w:sz w:val="18"/>
                <w:szCs w:val="18"/>
              </w:rPr>
              <w:t>学术道德与论文写作</w:t>
            </w:r>
          </w:p>
        </w:tc>
        <w:tc>
          <w:tcPr>
            <w:tcW w:w="1081" w:type="dxa"/>
            <w:vAlign w:val="center"/>
          </w:tcPr>
          <w:p w14:paraId="3E5FE1A8">
            <w:pPr>
              <w:jc w:val="center"/>
              <w:rPr>
                <w:i/>
                <w:color w:val="auto"/>
                <w:sz w:val="18"/>
                <w:szCs w:val="18"/>
              </w:rPr>
            </w:pPr>
            <w:r>
              <w:rPr>
                <w:rFonts w:hint="eastAsia"/>
                <w:iCs/>
                <w:color w:val="auto"/>
                <w:sz w:val="18"/>
                <w:szCs w:val="18"/>
              </w:rPr>
              <w:t>Z</w:t>
            </w:r>
            <w:r>
              <w:rPr>
                <w:iCs/>
                <w:color w:val="auto"/>
                <w:sz w:val="18"/>
                <w:szCs w:val="18"/>
              </w:rPr>
              <w:t>S250</w:t>
            </w:r>
            <w:r>
              <w:rPr>
                <w:rFonts w:hint="eastAsia"/>
                <w:iCs/>
                <w:color w:val="auto"/>
                <w:sz w:val="18"/>
                <w:szCs w:val="18"/>
              </w:rPr>
              <w:t>1</w:t>
            </w:r>
            <w:r>
              <w:rPr>
                <w:iCs/>
                <w:color w:val="auto"/>
                <w:sz w:val="18"/>
                <w:szCs w:val="18"/>
              </w:rPr>
              <w:t>001</w:t>
            </w:r>
          </w:p>
        </w:tc>
        <w:tc>
          <w:tcPr>
            <w:tcW w:w="709" w:type="dxa"/>
            <w:vAlign w:val="center"/>
          </w:tcPr>
          <w:p w14:paraId="5298D3EF">
            <w:pPr>
              <w:jc w:val="center"/>
              <w:rPr>
                <w:color w:val="auto"/>
              </w:rPr>
            </w:pPr>
            <w:r>
              <w:rPr>
                <w:rFonts w:hint="eastAsia"/>
                <w:color w:val="auto"/>
                <w:sz w:val="18"/>
                <w:szCs w:val="18"/>
              </w:rPr>
              <w:t>1</w:t>
            </w:r>
          </w:p>
        </w:tc>
        <w:tc>
          <w:tcPr>
            <w:tcW w:w="709" w:type="dxa"/>
            <w:vAlign w:val="center"/>
          </w:tcPr>
          <w:p w14:paraId="5B74752F">
            <w:pPr>
              <w:jc w:val="center"/>
              <w:rPr>
                <w:color w:val="auto"/>
              </w:rPr>
            </w:pPr>
            <w:r>
              <w:rPr>
                <w:color w:val="auto"/>
                <w:sz w:val="18"/>
                <w:szCs w:val="18"/>
              </w:rPr>
              <w:t>1</w:t>
            </w:r>
          </w:p>
        </w:tc>
        <w:tc>
          <w:tcPr>
            <w:tcW w:w="1045" w:type="dxa"/>
            <w:vAlign w:val="center"/>
          </w:tcPr>
          <w:p w14:paraId="179E7CEB">
            <w:pPr>
              <w:jc w:val="center"/>
              <w:rPr>
                <w:rFonts w:hint="eastAsia" w:eastAsia="宋体"/>
                <w:i/>
                <w:color w:val="auto"/>
                <w:sz w:val="18"/>
                <w:szCs w:val="18"/>
                <w:lang w:eastAsia="zh-CN"/>
              </w:rPr>
            </w:pPr>
            <w:bookmarkStart w:id="8" w:name="_GoBack"/>
            <w:r>
              <w:rPr>
                <w:rFonts w:hint="eastAsia"/>
                <w:color w:val="FF0000"/>
                <w:sz w:val="18"/>
                <w:szCs w:val="18"/>
              </w:rPr>
              <w:t>考</w:t>
            </w:r>
            <w:r>
              <w:rPr>
                <w:rFonts w:hint="eastAsia"/>
                <w:color w:val="FF0000"/>
                <w:sz w:val="18"/>
                <w:szCs w:val="18"/>
                <w:lang w:eastAsia="zh-CN"/>
              </w:rPr>
              <w:t>试</w:t>
            </w:r>
            <w:bookmarkEnd w:id="8"/>
          </w:p>
        </w:tc>
      </w:tr>
      <w:tr w14:paraId="725E9E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A30B1B3">
            <w:pPr>
              <w:jc w:val="center"/>
              <w:rPr>
                <w:b/>
                <w:color w:val="auto"/>
                <w:sz w:val="18"/>
                <w:szCs w:val="18"/>
              </w:rPr>
            </w:pPr>
          </w:p>
        </w:tc>
        <w:tc>
          <w:tcPr>
            <w:tcW w:w="1226" w:type="dxa"/>
            <w:vMerge w:val="continue"/>
            <w:vAlign w:val="center"/>
          </w:tcPr>
          <w:p w14:paraId="2E073D77">
            <w:pPr>
              <w:jc w:val="center"/>
              <w:rPr>
                <w:b/>
                <w:color w:val="auto"/>
                <w:sz w:val="18"/>
                <w:szCs w:val="18"/>
              </w:rPr>
            </w:pPr>
          </w:p>
        </w:tc>
        <w:tc>
          <w:tcPr>
            <w:tcW w:w="3516" w:type="dxa"/>
            <w:shd w:val="clear" w:color="auto" w:fill="auto"/>
            <w:vAlign w:val="center"/>
          </w:tcPr>
          <w:p w14:paraId="19E5BBF6">
            <w:pPr>
              <w:rPr>
                <w:color w:val="auto"/>
                <w:sz w:val="18"/>
                <w:szCs w:val="18"/>
              </w:rPr>
            </w:pPr>
            <w:r>
              <w:rPr>
                <w:rFonts w:hint="eastAsia"/>
                <w:color w:val="auto"/>
                <w:sz w:val="18"/>
                <w:szCs w:val="18"/>
              </w:rPr>
              <w:t>数智时代中医药临床科研方法</w:t>
            </w:r>
          </w:p>
        </w:tc>
        <w:tc>
          <w:tcPr>
            <w:tcW w:w="1081" w:type="dxa"/>
            <w:vAlign w:val="center"/>
          </w:tcPr>
          <w:p w14:paraId="38479486">
            <w:pPr>
              <w:jc w:val="center"/>
              <w:rPr>
                <w:color w:val="auto"/>
                <w:sz w:val="18"/>
                <w:szCs w:val="18"/>
              </w:rPr>
            </w:pPr>
            <w:r>
              <w:rPr>
                <w:rFonts w:hint="eastAsia"/>
                <w:color w:val="auto"/>
                <w:sz w:val="18"/>
                <w:szCs w:val="18"/>
              </w:rPr>
              <w:t>ZS2501002</w:t>
            </w:r>
          </w:p>
        </w:tc>
        <w:tc>
          <w:tcPr>
            <w:tcW w:w="709" w:type="dxa"/>
            <w:shd w:val="clear" w:color="auto" w:fill="auto"/>
            <w:vAlign w:val="center"/>
          </w:tcPr>
          <w:p w14:paraId="0DBAA8B4">
            <w:pPr>
              <w:jc w:val="center"/>
              <w:rPr>
                <w:i/>
                <w:color w:val="auto"/>
                <w:sz w:val="18"/>
                <w:szCs w:val="18"/>
              </w:rPr>
            </w:pPr>
            <w:r>
              <w:rPr>
                <w:rFonts w:hint="eastAsia"/>
                <w:color w:val="auto"/>
                <w:sz w:val="18"/>
                <w:szCs w:val="18"/>
              </w:rPr>
              <w:t>2</w:t>
            </w:r>
          </w:p>
        </w:tc>
        <w:tc>
          <w:tcPr>
            <w:tcW w:w="709" w:type="dxa"/>
            <w:shd w:val="clear" w:color="auto" w:fill="auto"/>
            <w:vAlign w:val="center"/>
          </w:tcPr>
          <w:p w14:paraId="72753A37">
            <w:pPr>
              <w:jc w:val="center"/>
              <w:rPr>
                <w:i/>
                <w:color w:val="auto"/>
                <w:sz w:val="18"/>
                <w:szCs w:val="18"/>
              </w:rPr>
            </w:pPr>
            <w:r>
              <w:rPr>
                <w:color w:val="auto"/>
                <w:sz w:val="18"/>
                <w:szCs w:val="18"/>
              </w:rPr>
              <w:t>1</w:t>
            </w:r>
          </w:p>
        </w:tc>
        <w:tc>
          <w:tcPr>
            <w:tcW w:w="1045" w:type="dxa"/>
            <w:shd w:val="clear" w:color="auto" w:fill="auto"/>
            <w:vAlign w:val="center"/>
          </w:tcPr>
          <w:p w14:paraId="48D85B5B">
            <w:pPr>
              <w:adjustRightInd w:val="0"/>
              <w:snapToGrid w:val="0"/>
              <w:jc w:val="center"/>
              <w:rPr>
                <w:color w:val="auto"/>
                <w:sz w:val="18"/>
                <w:szCs w:val="18"/>
              </w:rPr>
            </w:pPr>
            <w:r>
              <w:rPr>
                <w:rFonts w:hint="eastAsia"/>
                <w:color w:val="auto"/>
                <w:sz w:val="18"/>
                <w:szCs w:val="18"/>
              </w:rPr>
              <w:t>考试</w:t>
            </w:r>
          </w:p>
        </w:tc>
      </w:tr>
      <w:tr w14:paraId="43E900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E0961B0">
            <w:pPr>
              <w:jc w:val="center"/>
              <w:rPr>
                <w:b/>
                <w:color w:val="auto"/>
                <w:sz w:val="18"/>
                <w:szCs w:val="18"/>
              </w:rPr>
            </w:pPr>
          </w:p>
        </w:tc>
        <w:tc>
          <w:tcPr>
            <w:tcW w:w="1226" w:type="dxa"/>
            <w:vMerge w:val="continue"/>
            <w:vAlign w:val="center"/>
          </w:tcPr>
          <w:p w14:paraId="091E285F">
            <w:pPr>
              <w:jc w:val="center"/>
              <w:rPr>
                <w:b/>
                <w:color w:val="auto"/>
                <w:sz w:val="18"/>
                <w:szCs w:val="18"/>
              </w:rPr>
            </w:pPr>
          </w:p>
        </w:tc>
        <w:tc>
          <w:tcPr>
            <w:tcW w:w="3516" w:type="dxa"/>
            <w:shd w:val="clear" w:color="auto" w:fill="auto"/>
            <w:vAlign w:val="center"/>
          </w:tcPr>
          <w:p w14:paraId="547D1AA6">
            <w:pPr>
              <w:rPr>
                <w:color w:val="auto"/>
                <w:sz w:val="18"/>
                <w:szCs w:val="18"/>
              </w:rPr>
            </w:pPr>
            <w:r>
              <w:rPr>
                <w:rFonts w:hint="eastAsia"/>
                <w:color w:val="auto"/>
                <w:sz w:val="18"/>
                <w:szCs w:val="18"/>
              </w:rPr>
              <w:t>四部经典研读</w:t>
            </w:r>
          </w:p>
        </w:tc>
        <w:tc>
          <w:tcPr>
            <w:tcW w:w="1081" w:type="dxa"/>
            <w:shd w:val="clear" w:color="auto" w:fill="auto"/>
            <w:vAlign w:val="center"/>
          </w:tcPr>
          <w:p w14:paraId="6B506A44">
            <w:pPr>
              <w:jc w:val="center"/>
              <w:rPr>
                <w:color w:val="auto"/>
                <w:sz w:val="18"/>
                <w:szCs w:val="18"/>
              </w:rPr>
            </w:pPr>
            <w:r>
              <w:rPr>
                <w:rFonts w:hint="eastAsia"/>
                <w:color w:val="auto"/>
                <w:sz w:val="18"/>
                <w:szCs w:val="18"/>
              </w:rPr>
              <w:t>ZS2501003</w:t>
            </w:r>
          </w:p>
        </w:tc>
        <w:tc>
          <w:tcPr>
            <w:tcW w:w="709" w:type="dxa"/>
            <w:shd w:val="clear" w:color="auto" w:fill="auto"/>
            <w:vAlign w:val="center"/>
          </w:tcPr>
          <w:p w14:paraId="5267023E">
            <w:pPr>
              <w:jc w:val="center"/>
              <w:rPr>
                <w:i/>
                <w:color w:val="auto"/>
                <w:sz w:val="18"/>
                <w:szCs w:val="18"/>
              </w:rPr>
            </w:pPr>
            <w:r>
              <w:rPr>
                <w:rFonts w:hint="eastAsia"/>
                <w:color w:val="auto"/>
                <w:sz w:val="18"/>
                <w:szCs w:val="18"/>
              </w:rPr>
              <w:t>2</w:t>
            </w:r>
          </w:p>
        </w:tc>
        <w:tc>
          <w:tcPr>
            <w:tcW w:w="709" w:type="dxa"/>
            <w:shd w:val="clear" w:color="auto" w:fill="auto"/>
            <w:vAlign w:val="center"/>
          </w:tcPr>
          <w:p w14:paraId="7C741589">
            <w:pPr>
              <w:jc w:val="center"/>
              <w:rPr>
                <w:i/>
                <w:color w:val="auto"/>
                <w:sz w:val="18"/>
                <w:szCs w:val="18"/>
              </w:rPr>
            </w:pPr>
            <w:r>
              <w:rPr>
                <w:color w:val="auto"/>
                <w:sz w:val="18"/>
                <w:szCs w:val="18"/>
              </w:rPr>
              <w:t>1</w:t>
            </w:r>
          </w:p>
        </w:tc>
        <w:tc>
          <w:tcPr>
            <w:tcW w:w="1045" w:type="dxa"/>
            <w:shd w:val="clear" w:color="auto" w:fill="auto"/>
            <w:vAlign w:val="center"/>
          </w:tcPr>
          <w:p w14:paraId="2F3627EC">
            <w:pPr>
              <w:adjustRightInd w:val="0"/>
              <w:snapToGrid w:val="0"/>
              <w:jc w:val="center"/>
              <w:rPr>
                <w:color w:val="auto"/>
                <w:sz w:val="18"/>
                <w:szCs w:val="18"/>
              </w:rPr>
            </w:pPr>
            <w:r>
              <w:rPr>
                <w:rFonts w:hint="eastAsia"/>
                <w:color w:val="auto"/>
                <w:sz w:val="18"/>
                <w:szCs w:val="18"/>
              </w:rPr>
              <w:t>考试</w:t>
            </w:r>
          </w:p>
        </w:tc>
      </w:tr>
      <w:tr w14:paraId="49860B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vAlign w:val="center"/>
          </w:tcPr>
          <w:p w14:paraId="2897548B">
            <w:pPr>
              <w:jc w:val="center"/>
              <w:rPr>
                <w:b/>
                <w:color w:val="auto"/>
                <w:sz w:val="18"/>
                <w:szCs w:val="18"/>
              </w:rPr>
            </w:pPr>
          </w:p>
        </w:tc>
        <w:tc>
          <w:tcPr>
            <w:tcW w:w="1226" w:type="dxa"/>
            <w:vMerge w:val="restart"/>
            <w:vAlign w:val="center"/>
          </w:tcPr>
          <w:p w14:paraId="45D2E33E">
            <w:pPr>
              <w:jc w:val="center"/>
              <w:rPr>
                <w:b/>
                <w:color w:val="auto"/>
                <w:sz w:val="18"/>
                <w:szCs w:val="18"/>
              </w:rPr>
            </w:pPr>
            <w:r>
              <w:rPr>
                <w:b/>
                <w:color w:val="auto"/>
                <w:sz w:val="18"/>
                <w:szCs w:val="18"/>
              </w:rPr>
              <w:t>专业必修课</w:t>
            </w:r>
          </w:p>
          <w:p w14:paraId="541892F8">
            <w:pPr>
              <w:jc w:val="center"/>
              <w:rPr>
                <w:b/>
                <w:color w:val="auto"/>
                <w:sz w:val="18"/>
                <w:szCs w:val="18"/>
              </w:rPr>
            </w:pPr>
            <w:r>
              <w:rPr>
                <w:b/>
                <w:color w:val="auto"/>
                <w:sz w:val="18"/>
                <w:szCs w:val="18"/>
              </w:rPr>
              <w:t>（</w:t>
            </w:r>
            <w:r>
              <w:rPr>
                <w:rFonts w:hint="eastAsia"/>
                <w:b/>
                <w:color w:val="000000" w:themeColor="text1"/>
                <w:sz w:val="18"/>
                <w:szCs w:val="18"/>
                <w14:textFill>
                  <w14:solidFill>
                    <w14:schemeClr w14:val="tx1"/>
                  </w14:solidFill>
                </w14:textFill>
              </w:rPr>
              <w:t>5</w:t>
            </w:r>
            <w:r>
              <w:rPr>
                <w:b/>
                <w:color w:val="auto"/>
                <w:sz w:val="18"/>
                <w:szCs w:val="18"/>
              </w:rPr>
              <w:t>学分）</w:t>
            </w:r>
          </w:p>
        </w:tc>
        <w:tc>
          <w:tcPr>
            <w:tcW w:w="3516" w:type="dxa"/>
          </w:tcPr>
          <w:p w14:paraId="0BAD5F4E">
            <w:pPr>
              <w:rPr>
                <w:color w:val="auto"/>
              </w:rPr>
            </w:pPr>
            <w:r>
              <w:rPr>
                <w:rFonts w:hint="eastAsia"/>
                <w:color w:val="auto"/>
                <w:sz w:val="18"/>
                <w:szCs w:val="18"/>
              </w:rPr>
              <w:t>中医临床思维与人际沟通</w:t>
            </w:r>
          </w:p>
        </w:tc>
        <w:tc>
          <w:tcPr>
            <w:tcW w:w="1081" w:type="dxa"/>
            <w:vAlign w:val="center"/>
          </w:tcPr>
          <w:p w14:paraId="00306834">
            <w:pPr>
              <w:jc w:val="center"/>
              <w:rPr>
                <w:color w:val="auto"/>
                <w:sz w:val="18"/>
                <w:szCs w:val="18"/>
              </w:rPr>
            </w:pPr>
            <w:r>
              <w:rPr>
                <w:rFonts w:hint="eastAsia"/>
                <w:color w:val="auto"/>
                <w:sz w:val="18"/>
                <w:szCs w:val="18"/>
              </w:rPr>
              <w:t>Z</w:t>
            </w:r>
            <w:r>
              <w:rPr>
                <w:color w:val="auto"/>
                <w:sz w:val="18"/>
                <w:szCs w:val="18"/>
              </w:rPr>
              <w:t>S25</w:t>
            </w:r>
            <w:r>
              <w:rPr>
                <w:rFonts w:hint="eastAsia"/>
                <w:color w:val="auto"/>
                <w:sz w:val="18"/>
                <w:szCs w:val="18"/>
              </w:rPr>
              <w:t>01004</w:t>
            </w:r>
          </w:p>
        </w:tc>
        <w:tc>
          <w:tcPr>
            <w:tcW w:w="709" w:type="dxa"/>
            <w:shd w:val="clear" w:color="auto" w:fill="auto"/>
            <w:vAlign w:val="center"/>
          </w:tcPr>
          <w:p w14:paraId="335AE0A5">
            <w:pPr>
              <w:jc w:val="center"/>
              <w:rPr>
                <w:color w:val="auto"/>
                <w:sz w:val="18"/>
                <w:szCs w:val="18"/>
              </w:rPr>
            </w:pPr>
            <w:r>
              <w:rPr>
                <w:rFonts w:hint="eastAsia"/>
                <w:color w:val="auto"/>
                <w:sz w:val="18"/>
                <w:szCs w:val="18"/>
              </w:rPr>
              <w:t>1</w:t>
            </w:r>
          </w:p>
        </w:tc>
        <w:tc>
          <w:tcPr>
            <w:tcW w:w="709" w:type="dxa"/>
            <w:shd w:val="clear" w:color="auto" w:fill="auto"/>
            <w:vAlign w:val="center"/>
          </w:tcPr>
          <w:p w14:paraId="5D3D492C">
            <w:pPr>
              <w:jc w:val="center"/>
              <w:rPr>
                <w:color w:val="auto"/>
                <w:sz w:val="18"/>
                <w:szCs w:val="18"/>
              </w:rPr>
            </w:pPr>
            <w:r>
              <w:rPr>
                <w:rFonts w:hint="eastAsia"/>
                <w:color w:val="auto"/>
                <w:sz w:val="18"/>
                <w:szCs w:val="18"/>
              </w:rPr>
              <w:t>1</w:t>
            </w:r>
          </w:p>
        </w:tc>
        <w:tc>
          <w:tcPr>
            <w:tcW w:w="1045" w:type="dxa"/>
            <w:shd w:val="clear" w:color="auto" w:fill="auto"/>
            <w:vAlign w:val="center"/>
          </w:tcPr>
          <w:p w14:paraId="244B0EDA">
            <w:pPr>
              <w:jc w:val="center"/>
              <w:rPr>
                <w:i/>
                <w:color w:val="auto"/>
                <w:sz w:val="18"/>
                <w:szCs w:val="18"/>
              </w:rPr>
            </w:pPr>
            <w:r>
              <w:rPr>
                <w:rFonts w:hint="eastAsia"/>
                <w:color w:val="auto"/>
                <w:sz w:val="18"/>
                <w:szCs w:val="18"/>
              </w:rPr>
              <w:t>考查</w:t>
            </w:r>
          </w:p>
        </w:tc>
      </w:tr>
      <w:tr w14:paraId="42E472B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3162EDA">
            <w:pPr>
              <w:jc w:val="center"/>
              <w:rPr>
                <w:b/>
                <w:color w:val="auto"/>
                <w:sz w:val="18"/>
                <w:szCs w:val="18"/>
              </w:rPr>
            </w:pPr>
          </w:p>
        </w:tc>
        <w:tc>
          <w:tcPr>
            <w:tcW w:w="1226" w:type="dxa"/>
            <w:vMerge w:val="continue"/>
            <w:vAlign w:val="center"/>
          </w:tcPr>
          <w:p w14:paraId="16F07511">
            <w:pPr>
              <w:jc w:val="center"/>
              <w:rPr>
                <w:b/>
                <w:color w:val="auto"/>
                <w:sz w:val="18"/>
                <w:szCs w:val="18"/>
              </w:rPr>
            </w:pPr>
          </w:p>
        </w:tc>
        <w:tc>
          <w:tcPr>
            <w:tcW w:w="3516" w:type="dxa"/>
            <w:shd w:val="clear" w:color="auto" w:fill="auto"/>
            <w:vAlign w:val="center"/>
          </w:tcPr>
          <w:p w14:paraId="68F9FBE2">
            <w:pPr>
              <w:rPr>
                <w:color w:val="auto"/>
                <w:sz w:val="18"/>
                <w:szCs w:val="18"/>
              </w:rPr>
            </w:pPr>
            <w:r>
              <w:rPr>
                <w:rFonts w:hint="eastAsia"/>
                <w:color w:val="auto"/>
                <w:sz w:val="18"/>
                <w:szCs w:val="18"/>
              </w:rPr>
              <w:t>医学法律法规</w:t>
            </w:r>
          </w:p>
        </w:tc>
        <w:tc>
          <w:tcPr>
            <w:tcW w:w="1081" w:type="dxa"/>
            <w:shd w:val="clear" w:color="auto" w:fill="auto"/>
            <w:vAlign w:val="center"/>
          </w:tcPr>
          <w:p w14:paraId="625AA609">
            <w:pPr>
              <w:jc w:val="center"/>
              <w:rPr>
                <w:i/>
                <w:color w:val="auto"/>
                <w:sz w:val="18"/>
                <w:szCs w:val="18"/>
              </w:rPr>
            </w:pPr>
            <w:r>
              <w:rPr>
                <w:rFonts w:hint="eastAsia"/>
                <w:color w:val="auto"/>
                <w:sz w:val="18"/>
                <w:szCs w:val="18"/>
              </w:rPr>
              <w:t>Z</w:t>
            </w:r>
            <w:r>
              <w:rPr>
                <w:color w:val="auto"/>
                <w:sz w:val="18"/>
                <w:szCs w:val="18"/>
              </w:rPr>
              <w:t>S25</w:t>
            </w:r>
            <w:r>
              <w:rPr>
                <w:rFonts w:hint="eastAsia"/>
                <w:color w:val="auto"/>
                <w:sz w:val="18"/>
                <w:szCs w:val="18"/>
              </w:rPr>
              <w:t>01005</w:t>
            </w:r>
          </w:p>
        </w:tc>
        <w:tc>
          <w:tcPr>
            <w:tcW w:w="709" w:type="dxa"/>
            <w:shd w:val="clear" w:color="auto" w:fill="auto"/>
            <w:vAlign w:val="center"/>
          </w:tcPr>
          <w:p w14:paraId="0B51812C">
            <w:pPr>
              <w:jc w:val="center"/>
              <w:rPr>
                <w:color w:val="auto"/>
                <w:sz w:val="18"/>
                <w:szCs w:val="18"/>
              </w:rPr>
            </w:pPr>
            <w:r>
              <w:rPr>
                <w:rFonts w:hint="eastAsia"/>
                <w:color w:val="auto"/>
                <w:sz w:val="18"/>
                <w:szCs w:val="18"/>
              </w:rPr>
              <w:t>1</w:t>
            </w:r>
          </w:p>
        </w:tc>
        <w:tc>
          <w:tcPr>
            <w:tcW w:w="709" w:type="dxa"/>
            <w:shd w:val="clear" w:color="auto" w:fill="auto"/>
            <w:vAlign w:val="center"/>
          </w:tcPr>
          <w:p w14:paraId="19E95E0B">
            <w:pPr>
              <w:jc w:val="center"/>
              <w:rPr>
                <w:color w:val="auto"/>
                <w:sz w:val="18"/>
                <w:szCs w:val="18"/>
              </w:rPr>
            </w:pPr>
            <w:r>
              <w:rPr>
                <w:rFonts w:hint="eastAsia"/>
                <w:color w:val="auto"/>
                <w:sz w:val="18"/>
                <w:szCs w:val="18"/>
              </w:rPr>
              <w:t>1</w:t>
            </w:r>
          </w:p>
        </w:tc>
        <w:tc>
          <w:tcPr>
            <w:tcW w:w="1045" w:type="dxa"/>
            <w:shd w:val="clear" w:color="auto" w:fill="auto"/>
            <w:vAlign w:val="center"/>
          </w:tcPr>
          <w:p w14:paraId="10A7C8B6">
            <w:pPr>
              <w:jc w:val="center"/>
              <w:rPr>
                <w:i/>
                <w:color w:val="auto"/>
                <w:sz w:val="18"/>
                <w:szCs w:val="18"/>
              </w:rPr>
            </w:pPr>
            <w:r>
              <w:rPr>
                <w:rFonts w:hint="eastAsia"/>
                <w:color w:val="auto"/>
                <w:sz w:val="18"/>
                <w:szCs w:val="18"/>
              </w:rPr>
              <w:t>考查</w:t>
            </w:r>
          </w:p>
        </w:tc>
      </w:tr>
      <w:tr w14:paraId="466937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5A45E0E">
            <w:pPr>
              <w:jc w:val="center"/>
              <w:rPr>
                <w:b/>
                <w:color w:val="auto"/>
                <w:sz w:val="18"/>
                <w:szCs w:val="18"/>
              </w:rPr>
            </w:pPr>
          </w:p>
        </w:tc>
        <w:tc>
          <w:tcPr>
            <w:tcW w:w="1226" w:type="dxa"/>
            <w:vMerge w:val="continue"/>
            <w:vAlign w:val="center"/>
          </w:tcPr>
          <w:p w14:paraId="106CF6C6">
            <w:pPr>
              <w:jc w:val="center"/>
              <w:rPr>
                <w:b/>
                <w:color w:val="auto"/>
                <w:sz w:val="18"/>
                <w:szCs w:val="18"/>
              </w:rPr>
            </w:pPr>
          </w:p>
        </w:tc>
        <w:tc>
          <w:tcPr>
            <w:tcW w:w="3516" w:type="dxa"/>
            <w:shd w:val="clear" w:color="auto" w:fill="auto"/>
            <w:vAlign w:val="center"/>
          </w:tcPr>
          <w:p w14:paraId="608E04AB">
            <w:pPr>
              <w:rPr>
                <w:color w:val="auto"/>
                <w:sz w:val="18"/>
                <w:szCs w:val="18"/>
              </w:rPr>
            </w:pPr>
            <w:r>
              <w:rPr>
                <w:rFonts w:hint="eastAsia"/>
                <w:color w:val="auto"/>
                <w:sz w:val="18"/>
                <w:szCs w:val="18"/>
              </w:rPr>
              <w:t>针灸推拿学进展</w:t>
            </w:r>
          </w:p>
        </w:tc>
        <w:tc>
          <w:tcPr>
            <w:tcW w:w="1081" w:type="dxa"/>
            <w:shd w:val="clear" w:color="auto" w:fill="auto"/>
            <w:vAlign w:val="center"/>
          </w:tcPr>
          <w:p w14:paraId="1AD996D6">
            <w:pPr>
              <w:jc w:val="center"/>
              <w:rPr>
                <w:i/>
                <w:color w:val="auto"/>
                <w:sz w:val="18"/>
                <w:szCs w:val="18"/>
              </w:rPr>
            </w:pPr>
            <w:r>
              <w:rPr>
                <w:rFonts w:hint="eastAsia"/>
                <w:color w:val="auto"/>
                <w:sz w:val="18"/>
                <w:szCs w:val="18"/>
              </w:rPr>
              <w:t>Z</w:t>
            </w:r>
            <w:r>
              <w:rPr>
                <w:color w:val="auto"/>
                <w:sz w:val="18"/>
                <w:szCs w:val="18"/>
              </w:rPr>
              <w:t>S25</w:t>
            </w:r>
            <w:r>
              <w:rPr>
                <w:rFonts w:hint="eastAsia"/>
                <w:color w:val="auto"/>
                <w:sz w:val="18"/>
                <w:szCs w:val="18"/>
              </w:rPr>
              <w:t>03001</w:t>
            </w:r>
          </w:p>
        </w:tc>
        <w:tc>
          <w:tcPr>
            <w:tcW w:w="709" w:type="dxa"/>
            <w:shd w:val="clear" w:color="auto" w:fill="auto"/>
            <w:vAlign w:val="center"/>
          </w:tcPr>
          <w:p w14:paraId="2933CF6B">
            <w:pPr>
              <w:jc w:val="center"/>
              <w:rPr>
                <w:color w:val="auto"/>
                <w:sz w:val="18"/>
                <w:szCs w:val="18"/>
              </w:rPr>
            </w:pPr>
            <w:r>
              <w:rPr>
                <w:rFonts w:hint="eastAsia"/>
                <w:color w:val="auto"/>
                <w:sz w:val="18"/>
                <w:szCs w:val="18"/>
              </w:rPr>
              <w:t>2</w:t>
            </w:r>
          </w:p>
        </w:tc>
        <w:tc>
          <w:tcPr>
            <w:tcW w:w="709" w:type="dxa"/>
            <w:shd w:val="clear" w:color="auto" w:fill="auto"/>
            <w:vAlign w:val="center"/>
          </w:tcPr>
          <w:p w14:paraId="2FAB154A">
            <w:pPr>
              <w:jc w:val="center"/>
              <w:rPr>
                <w:color w:val="auto"/>
                <w:sz w:val="18"/>
                <w:szCs w:val="18"/>
              </w:rPr>
            </w:pPr>
            <w:r>
              <w:rPr>
                <w:rFonts w:hint="eastAsia"/>
                <w:color w:val="auto"/>
                <w:sz w:val="18"/>
                <w:szCs w:val="18"/>
              </w:rPr>
              <w:t>1</w:t>
            </w:r>
          </w:p>
        </w:tc>
        <w:tc>
          <w:tcPr>
            <w:tcW w:w="1045" w:type="dxa"/>
            <w:shd w:val="clear" w:color="auto" w:fill="auto"/>
            <w:vAlign w:val="center"/>
          </w:tcPr>
          <w:p w14:paraId="0812B4AC">
            <w:pPr>
              <w:jc w:val="center"/>
              <w:rPr>
                <w:i/>
                <w:color w:val="auto"/>
                <w:sz w:val="18"/>
                <w:szCs w:val="18"/>
              </w:rPr>
            </w:pPr>
            <w:r>
              <w:rPr>
                <w:rFonts w:hint="eastAsia"/>
                <w:color w:val="auto"/>
                <w:sz w:val="18"/>
                <w:szCs w:val="18"/>
              </w:rPr>
              <w:t>考查</w:t>
            </w:r>
          </w:p>
        </w:tc>
      </w:tr>
      <w:tr w14:paraId="7A34CE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FA3414E">
            <w:pPr>
              <w:jc w:val="center"/>
              <w:rPr>
                <w:b/>
                <w:color w:val="auto"/>
                <w:sz w:val="18"/>
                <w:szCs w:val="18"/>
              </w:rPr>
            </w:pPr>
          </w:p>
        </w:tc>
        <w:tc>
          <w:tcPr>
            <w:tcW w:w="1226" w:type="dxa"/>
            <w:vMerge w:val="continue"/>
            <w:vAlign w:val="center"/>
          </w:tcPr>
          <w:p w14:paraId="5C55F434">
            <w:pPr>
              <w:jc w:val="center"/>
              <w:rPr>
                <w:b/>
                <w:color w:val="auto"/>
                <w:sz w:val="18"/>
                <w:szCs w:val="18"/>
              </w:rPr>
            </w:pPr>
          </w:p>
        </w:tc>
        <w:tc>
          <w:tcPr>
            <w:tcW w:w="3516" w:type="dxa"/>
            <w:shd w:val="clear" w:color="auto" w:fill="auto"/>
            <w:vAlign w:val="center"/>
          </w:tcPr>
          <w:p w14:paraId="0B8F157E">
            <w:pPr>
              <w:rPr>
                <w:color w:val="auto"/>
                <w:sz w:val="18"/>
                <w:szCs w:val="18"/>
              </w:rPr>
            </w:pPr>
            <w:r>
              <w:rPr>
                <w:rFonts w:hint="eastAsia"/>
                <w:color w:val="auto"/>
                <w:sz w:val="18"/>
                <w:szCs w:val="18"/>
              </w:rPr>
              <w:t>重点传染病防治知识</w:t>
            </w:r>
          </w:p>
        </w:tc>
        <w:tc>
          <w:tcPr>
            <w:tcW w:w="1081" w:type="dxa"/>
            <w:shd w:val="clear" w:color="auto" w:fill="auto"/>
            <w:vAlign w:val="center"/>
          </w:tcPr>
          <w:p w14:paraId="451C564F">
            <w:pPr>
              <w:jc w:val="center"/>
              <w:rPr>
                <w:i/>
                <w:color w:val="auto"/>
                <w:sz w:val="18"/>
                <w:szCs w:val="18"/>
              </w:rPr>
            </w:pPr>
            <w:r>
              <w:rPr>
                <w:rFonts w:hint="eastAsia"/>
                <w:color w:val="auto"/>
                <w:sz w:val="18"/>
                <w:szCs w:val="18"/>
              </w:rPr>
              <w:t>Z</w:t>
            </w:r>
            <w:r>
              <w:rPr>
                <w:color w:val="auto"/>
                <w:sz w:val="18"/>
                <w:szCs w:val="18"/>
              </w:rPr>
              <w:t>S25</w:t>
            </w:r>
            <w:r>
              <w:rPr>
                <w:rFonts w:hint="eastAsia"/>
                <w:color w:val="auto"/>
                <w:sz w:val="18"/>
                <w:szCs w:val="18"/>
              </w:rPr>
              <w:t>01007</w:t>
            </w:r>
          </w:p>
        </w:tc>
        <w:tc>
          <w:tcPr>
            <w:tcW w:w="709" w:type="dxa"/>
            <w:shd w:val="clear" w:color="auto" w:fill="auto"/>
            <w:vAlign w:val="center"/>
          </w:tcPr>
          <w:p w14:paraId="39B1E085">
            <w:pPr>
              <w:jc w:val="center"/>
              <w:rPr>
                <w:color w:val="auto"/>
                <w:sz w:val="18"/>
                <w:szCs w:val="18"/>
              </w:rPr>
            </w:pPr>
            <w:r>
              <w:rPr>
                <w:rFonts w:hint="eastAsia"/>
                <w:color w:val="auto"/>
                <w:sz w:val="18"/>
                <w:szCs w:val="18"/>
              </w:rPr>
              <w:t>1</w:t>
            </w:r>
          </w:p>
        </w:tc>
        <w:tc>
          <w:tcPr>
            <w:tcW w:w="709" w:type="dxa"/>
            <w:shd w:val="clear" w:color="auto" w:fill="auto"/>
            <w:vAlign w:val="center"/>
          </w:tcPr>
          <w:p w14:paraId="02720A61">
            <w:pPr>
              <w:jc w:val="center"/>
              <w:rPr>
                <w:color w:val="auto"/>
                <w:sz w:val="18"/>
                <w:szCs w:val="18"/>
              </w:rPr>
            </w:pPr>
            <w:r>
              <w:rPr>
                <w:rFonts w:hint="eastAsia"/>
                <w:color w:val="auto"/>
                <w:sz w:val="18"/>
                <w:szCs w:val="18"/>
              </w:rPr>
              <w:t>1</w:t>
            </w:r>
          </w:p>
        </w:tc>
        <w:tc>
          <w:tcPr>
            <w:tcW w:w="1045" w:type="dxa"/>
            <w:shd w:val="clear" w:color="auto" w:fill="auto"/>
            <w:vAlign w:val="center"/>
          </w:tcPr>
          <w:p w14:paraId="70808C05">
            <w:pPr>
              <w:jc w:val="center"/>
              <w:rPr>
                <w:i/>
                <w:color w:val="auto"/>
                <w:sz w:val="18"/>
                <w:szCs w:val="18"/>
              </w:rPr>
            </w:pPr>
            <w:r>
              <w:rPr>
                <w:rFonts w:hint="eastAsia"/>
                <w:color w:val="auto"/>
                <w:sz w:val="18"/>
                <w:szCs w:val="18"/>
              </w:rPr>
              <w:t>考查</w:t>
            </w:r>
          </w:p>
        </w:tc>
      </w:tr>
      <w:tr w14:paraId="3D62C80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7" w:hRule="atLeast"/>
          <w:jc w:val="center"/>
        </w:trPr>
        <w:tc>
          <w:tcPr>
            <w:tcW w:w="571" w:type="dxa"/>
            <w:vMerge w:val="restart"/>
            <w:vAlign w:val="center"/>
          </w:tcPr>
          <w:p w14:paraId="23FE7605">
            <w:pPr>
              <w:jc w:val="center"/>
              <w:rPr>
                <w:b/>
                <w:color w:val="auto"/>
                <w:sz w:val="18"/>
                <w:szCs w:val="18"/>
              </w:rPr>
            </w:pPr>
            <w:r>
              <w:rPr>
                <w:b/>
                <w:color w:val="auto"/>
                <w:sz w:val="18"/>
                <w:szCs w:val="18"/>
              </w:rPr>
              <w:t>非学位课</w:t>
            </w:r>
          </w:p>
        </w:tc>
        <w:tc>
          <w:tcPr>
            <w:tcW w:w="1226" w:type="dxa"/>
            <w:vMerge w:val="restart"/>
            <w:vAlign w:val="center"/>
          </w:tcPr>
          <w:p w14:paraId="0132235E">
            <w:pPr>
              <w:jc w:val="center"/>
              <w:rPr>
                <w:b/>
                <w:color w:val="auto"/>
                <w:sz w:val="18"/>
                <w:szCs w:val="18"/>
              </w:rPr>
            </w:pPr>
            <w:r>
              <w:rPr>
                <w:b/>
                <w:color w:val="auto"/>
                <w:sz w:val="18"/>
                <w:szCs w:val="18"/>
              </w:rPr>
              <w:t>公共通识课</w:t>
            </w:r>
          </w:p>
          <w:p w14:paraId="15D0C619">
            <w:pPr>
              <w:jc w:val="center"/>
              <w:rPr>
                <w:b/>
                <w:color w:val="auto"/>
                <w:sz w:val="18"/>
                <w:szCs w:val="18"/>
              </w:rPr>
            </w:pPr>
            <w:r>
              <w:rPr>
                <w:b/>
                <w:color w:val="auto"/>
                <w:sz w:val="18"/>
                <w:szCs w:val="18"/>
              </w:rPr>
              <w:t>（2学分）</w:t>
            </w:r>
          </w:p>
        </w:tc>
        <w:tc>
          <w:tcPr>
            <w:tcW w:w="3516" w:type="dxa"/>
            <w:vAlign w:val="center"/>
          </w:tcPr>
          <w:p w14:paraId="55ED85D6">
            <w:pPr>
              <w:rPr>
                <w:color w:val="auto"/>
                <w:sz w:val="18"/>
                <w:szCs w:val="18"/>
              </w:rPr>
            </w:pPr>
            <w:r>
              <w:rPr>
                <w:color w:val="auto"/>
                <w:sz w:val="18"/>
                <w:szCs w:val="18"/>
              </w:rPr>
              <w:t>《习近平谈治国理政》研读</w:t>
            </w:r>
          </w:p>
        </w:tc>
        <w:tc>
          <w:tcPr>
            <w:tcW w:w="1081" w:type="dxa"/>
            <w:vAlign w:val="center"/>
          </w:tcPr>
          <w:p w14:paraId="447FD28A">
            <w:pPr>
              <w:jc w:val="center"/>
              <w:rPr>
                <w:color w:val="auto"/>
                <w:sz w:val="18"/>
                <w:szCs w:val="18"/>
              </w:rPr>
            </w:pPr>
            <w:r>
              <w:rPr>
                <w:color w:val="auto"/>
                <w:sz w:val="18"/>
                <w:szCs w:val="18"/>
              </w:rPr>
              <w:t>TT0000101</w:t>
            </w:r>
          </w:p>
        </w:tc>
        <w:tc>
          <w:tcPr>
            <w:tcW w:w="709" w:type="dxa"/>
            <w:vAlign w:val="center"/>
          </w:tcPr>
          <w:p w14:paraId="14D54159">
            <w:pPr>
              <w:jc w:val="center"/>
              <w:rPr>
                <w:color w:val="auto"/>
                <w:sz w:val="18"/>
                <w:szCs w:val="18"/>
              </w:rPr>
            </w:pPr>
            <w:r>
              <w:rPr>
                <w:color w:val="auto"/>
                <w:sz w:val="18"/>
                <w:szCs w:val="18"/>
              </w:rPr>
              <w:t>1</w:t>
            </w:r>
          </w:p>
        </w:tc>
        <w:tc>
          <w:tcPr>
            <w:tcW w:w="709" w:type="dxa"/>
            <w:vAlign w:val="center"/>
          </w:tcPr>
          <w:p w14:paraId="0581423D">
            <w:pPr>
              <w:jc w:val="center"/>
              <w:rPr>
                <w:color w:val="auto"/>
                <w:sz w:val="18"/>
                <w:szCs w:val="18"/>
              </w:rPr>
            </w:pPr>
            <w:r>
              <w:rPr>
                <w:color w:val="auto"/>
                <w:sz w:val="18"/>
                <w:szCs w:val="18"/>
              </w:rPr>
              <w:t>2</w:t>
            </w:r>
          </w:p>
        </w:tc>
        <w:tc>
          <w:tcPr>
            <w:tcW w:w="1045" w:type="dxa"/>
            <w:vAlign w:val="center"/>
          </w:tcPr>
          <w:p w14:paraId="6CB52C71">
            <w:pPr>
              <w:jc w:val="center"/>
              <w:rPr>
                <w:color w:val="auto"/>
                <w:sz w:val="18"/>
                <w:szCs w:val="18"/>
              </w:rPr>
            </w:pPr>
            <w:r>
              <w:rPr>
                <w:color w:val="auto"/>
                <w:sz w:val="18"/>
                <w:szCs w:val="18"/>
              </w:rPr>
              <w:t>考查</w:t>
            </w:r>
          </w:p>
        </w:tc>
      </w:tr>
      <w:tr w14:paraId="7E5A90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2FE4671D">
            <w:pPr>
              <w:jc w:val="center"/>
              <w:rPr>
                <w:b/>
                <w:color w:val="auto"/>
                <w:sz w:val="18"/>
                <w:szCs w:val="18"/>
              </w:rPr>
            </w:pPr>
          </w:p>
        </w:tc>
        <w:tc>
          <w:tcPr>
            <w:tcW w:w="1226" w:type="dxa"/>
            <w:vMerge w:val="continue"/>
            <w:vAlign w:val="center"/>
          </w:tcPr>
          <w:p w14:paraId="4E70C77B">
            <w:pPr>
              <w:jc w:val="center"/>
              <w:rPr>
                <w:b/>
                <w:color w:val="auto"/>
                <w:sz w:val="18"/>
                <w:szCs w:val="18"/>
              </w:rPr>
            </w:pPr>
          </w:p>
        </w:tc>
        <w:tc>
          <w:tcPr>
            <w:tcW w:w="3516" w:type="dxa"/>
            <w:vAlign w:val="center"/>
          </w:tcPr>
          <w:p w14:paraId="4DF17DFA">
            <w:pPr>
              <w:adjustRightInd w:val="0"/>
              <w:rPr>
                <w:color w:val="auto"/>
                <w:sz w:val="18"/>
                <w:szCs w:val="18"/>
              </w:rPr>
            </w:pPr>
            <w:r>
              <w:rPr>
                <w:color w:val="auto"/>
                <w:sz w:val="18"/>
                <w:szCs w:val="18"/>
              </w:rPr>
              <w:t>自然辩证法概论</w:t>
            </w:r>
          </w:p>
        </w:tc>
        <w:tc>
          <w:tcPr>
            <w:tcW w:w="1081" w:type="dxa"/>
            <w:vAlign w:val="center"/>
          </w:tcPr>
          <w:p w14:paraId="41BFE8FC">
            <w:pPr>
              <w:jc w:val="center"/>
              <w:rPr>
                <w:color w:val="auto"/>
                <w:sz w:val="18"/>
                <w:szCs w:val="18"/>
              </w:rPr>
            </w:pPr>
            <w:r>
              <w:rPr>
                <w:color w:val="auto"/>
                <w:sz w:val="18"/>
                <w:szCs w:val="18"/>
              </w:rPr>
              <w:t>TS0000102</w:t>
            </w:r>
          </w:p>
        </w:tc>
        <w:tc>
          <w:tcPr>
            <w:tcW w:w="709" w:type="dxa"/>
            <w:vAlign w:val="center"/>
          </w:tcPr>
          <w:p w14:paraId="2E53BF1D">
            <w:pPr>
              <w:jc w:val="center"/>
              <w:rPr>
                <w:color w:val="auto"/>
                <w:sz w:val="18"/>
                <w:szCs w:val="18"/>
              </w:rPr>
            </w:pPr>
            <w:r>
              <w:rPr>
                <w:color w:val="auto"/>
                <w:sz w:val="18"/>
                <w:szCs w:val="18"/>
              </w:rPr>
              <w:t>1</w:t>
            </w:r>
          </w:p>
        </w:tc>
        <w:tc>
          <w:tcPr>
            <w:tcW w:w="709" w:type="dxa"/>
            <w:vAlign w:val="center"/>
          </w:tcPr>
          <w:p w14:paraId="2214E905">
            <w:pPr>
              <w:jc w:val="center"/>
              <w:rPr>
                <w:color w:val="auto"/>
                <w:sz w:val="18"/>
                <w:szCs w:val="18"/>
              </w:rPr>
            </w:pPr>
            <w:r>
              <w:rPr>
                <w:color w:val="auto"/>
                <w:sz w:val="18"/>
                <w:szCs w:val="18"/>
              </w:rPr>
              <w:t>2</w:t>
            </w:r>
          </w:p>
        </w:tc>
        <w:tc>
          <w:tcPr>
            <w:tcW w:w="1045" w:type="dxa"/>
            <w:vAlign w:val="center"/>
          </w:tcPr>
          <w:p w14:paraId="0EA6F338">
            <w:pPr>
              <w:jc w:val="center"/>
              <w:rPr>
                <w:color w:val="auto"/>
                <w:sz w:val="18"/>
                <w:szCs w:val="18"/>
              </w:rPr>
            </w:pPr>
            <w:r>
              <w:rPr>
                <w:color w:val="auto"/>
                <w:sz w:val="18"/>
                <w:szCs w:val="18"/>
              </w:rPr>
              <w:t>考查</w:t>
            </w:r>
          </w:p>
        </w:tc>
      </w:tr>
      <w:tr w14:paraId="5E9C58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71DFDA">
            <w:pPr>
              <w:rPr>
                <w:b/>
                <w:color w:val="auto"/>
                <w:sz w:val="18"/>
                <w:szCs w:val="18"/>
              </w:rPr>
            </w:pPr>
          </w:p>
        </w:tc>
        <w:tc>
          <w:tcPr>
            <w:tcW w:w="1226" w:type="dxa"/>
            <w:vMerge w:val="restart"/>
            <w:vAlign w:val="center"/>
          </w:tcPr>
          <w:p w14:paraId="76835DEE">
            <w:pPr>
              <w:adjustRightInd w:val="0"/>
              <w:snapToGrid w:val="0"/>
              <w:jc w:val="center"/>
              <w:rPr>
                <w:b/>
                <w:color w:val="auto"/>
                <w:sz w:val="18"/>
                <w:szCs w:val="18"/>
              </w:rPr>
            </w:pPr>
            <w:r>
              <w:rPr>
                <w:rFonts w:hint="eastAsia"/>
                <w:b/>
                <w:color w:val="auto"/>
                <w:sz w:val="18"/>
                <w:szCs w:val="18"/>
              </w:rPr>
              <w:t>选修课</w:t>
            </w:r>
          </w:p>
          <w:p w14:paraId="5632473D">
            <w:pPr>
              <w:adjustRightInd w:val="0"/>
              <w:snapToGrid w:val="0"/>
              <w:jc w:val="center"/>
              <w:rPr>
                <w:b/>
                <w:color w:val="auto"/>
                <w:sz w:val="18"/>
                <w:szCs w:val="18"/>
              </w:rPr>
            </w:pPr>
            <w:r>
              <w:rPr>
                <w:b/>
                <w:color w:val="auto"/>
                <w:sz w:val="18"/>
                <w:szCs w:val="18"/>
              </w:rPr>
              <w:t>（</w:t>
            </w:r>
            <w:bookmarkStart w:id="6" w:name="_Hlk194251310"/>
            <w:r>
              <w:rPr>
                <w:b/>
                <w:color w:val="auto"/>
                <w:sz w:val="18"/>
                <w:szCs w:val="18"/>
              </w:rPr>
              <w:t>≥</w:t>
            </w:r>
            <w:r>
              <w:rPr>
                <w:rFonts w:hint="eastAsia"/>
                <w:b/>
                <w:color w:val="auto"/>
                <w:sz w:val="18"/>
                <w:szCs w:val="18"/>
              </w:rPr>
              <w:t>3</w:t>
            </w:r>
            <w:r>
              <w:rPr>
                <w:b/>
                <w:color w:val="auto"/>
                <w:sz w:val="18"/>
                <w:szCs w:val="18"/>
              </w:rPr>
              <w:t>学分</w:t>
            </w:r>
            <w:bookmarkEnd w:id="6"/>
            <w:r>
              <w:rPr>
                <w:b/>
                <w:color w:val="auto"/>
                <w:sz w:val="18"/>
                <w:szCs w:val="18"/>
              </w:rPr>
              <w:t>）</w:t>
            </w:r>
          </w:p>
        </w:tc>
        <w:tc>
          <w:tcPr>
            <w:tcW w:w="3516" w:type="dxa"/>
            <w:shd w:val="clear" w:color="auto" w:fill="auto"/>
            <w:vAlign w:val="center"/>
          </w:tcPr>
          <w:p w14:paraId="0D3F7367">
            <w:pPr>
              <w:rPr>
                <w:i/>
                <w:color w:val="auto"/>
                <w:sz w:val="18"/>
                <w:szCs w:val="18"/>
              </w:rPr>
            </w:pPr>
            <w:r>
              <w:rPr>
                <w:rFonts w:hint="eastAsia"/>
                <w:color w:val="auto"/>
                <w:sz w:val="18"/>
                <w:szCs w:val="18"/>
              </w:rPr>
              <w:t>SPSS统计应用</w:t>
            </w:r>
          </w:p>
        </w:tc>
        <w:tc>
          <w:tcPr>
            <w:tcW w:w="1081" w:type="dxa"/>
            <w:shd w:val="clear" w:color="auto" w:fill="auto"/>
            <w:vAlign w:val="center"/>
          </w:tcPr>
          <w:p w14:paraId="72FA2328">
            <w:pPr>
              <w:adjustRightInd w:val="0"/>
              <w:snapToGrid w:val="0"/>
              <w:rPr>
                <w:color w:val="auto"/>
                <w:sz w:val="18"/>
                <w:szCs w:val="18"/>
              </w:rPr>
            </w:pPr>
            <w:r>
              <w:rPr>
                <w:rFonts w:hint="eastAsia"/>
                <w:color w:val="auto"/>
                <w:sz w:val="18"/>
                <w:szCs w:val="18"/>
              </w:rPr>
              <w:t>Z</w:t>
            </w:r>
            <w:r>
              <w:rPr>
                <w:color w:val="auto"/>
                <w:sz w:val="18"/>
                <w:szCs w:val="18"/>
              </w:rPr>
              <w:t>S250</w:t>
            </w:r>
            <w:r>
              <w:rPr>
                <w:rFonts w:hint="eastAsia"/>
                <w:color w:val="auto"/>
                <w:sz w:val="18"/>
                <w:szCs w:val="18"/>
              </w:rPr>
              <w:t>1</w:t>
            </w:r>
            <w:r>
              <w:rPr>
                <w:color w:val="auto"/>
                <w:sz w:val="18"/>
                <w:szCs w:val="18"/>
              </w:rPr>
              <w:t>20</w:t>
            </w:r>
            <w:r>
              <w:rPr>
                <w:rFonts w:hint="eastAsia"/>
                <w:color w:val="auto"/>
                <w:sz w:val="18"/>
                <w:szCs w:val="18"/>
              </w:rPr>
              <w:t>1</w:t>
            </w:r>
          </w:p>
        </w:tc>
        <w:tc>
          <w:tcPr>
            <w:tcW w:w="709" w:type="dxa"/>
            <w:shd w:val="clear" w:color="auto" w:fill="auto"/>
            <w:vAlign w:val="center"/>
          </w:tcPr>
          <w:p w14:paraId="6FC3D426">
            <w:pPr>
              <w:adjustRightInd w:val="0"/>
              <w:snapToGrid w:val="0"/>
              <w:jc w:val="center"/>
              <w:rPr>
                <w:color w:val="auto"/>
                <w:sz w:val="18"/>
                <w:szCs w:val="18"/>
              </w:rPr>
            </w:pPr>
            <w:r>
              <w:rPr>
                <w:rFonts w:hint="eastAsia"/>
                <w:color w:val="auto"/>
                <w:sz w:val="18"/>
                <w:szCs w:val="18"/>
              </w:rPr>
              <w:t>2</w:t>
            </w:r>
          </w:p>
        </w:tc>
        <w:tc>
          <w:tcPr>
            <w:tcW w:w="709" w:type="dxa"/>
            <w:shd w:val="clear" w:color="auto" w:fill="auto"/>
            <w:vAlign w:val="center"/>
          </w:tcPr>
          <w:p w14:paraId="0E6EC549">
            <w:pPr>
              <w:adjustRightInd w:val="0"/>
              <w:snapToGrid w:val="0"/>
              <w:jc w:val="center"/>
              <w:rPr>
                <w:color w:val="auto"/>
                <w:sz w:val="18"/>
                <w:szCs w:val="18"/>
                <w:highlight w:val="yellow"/>
              </w:rPr>
            </w:pPr>
            <w:r>
              <w:rPr>
                <w:color w:val="auto"/>
                <w:sz w:val="18"/>
                <w:szCs w:val="18"/>
              </w:rPr>
              <w:t>1</w:t>
            </w:r>
          </w:p>
        </w:tc>
        <w:tc>
          <w:tcPr>
            <w:tcW w:w="1045" w:type="dxa"/>
            <w:shd w:val="clear" w:color="auto" w:fill="auto"/>
            <w:vAlign w:val="center"/>
          </w:tcPr>
          <w:p w14:paraId="2BFCA2C1">
            <w:pPr>
              <w:adjustRightInd w:val="0"/>
              <w:snapToGrid w:val="0"/>
              <w:jc w:val="center"/>
              <w:rPr>
                <w:color w:val="auto"/>
                <w:sz w:val="18"/>
                <w:szCs w:val="18"/>
              </w:rPr>
            </w:pPr>
            <w:r>
              <w:rPr>
                <w:color w:val="auto"/>
                <w:sz w:val="18"/>
                <w:szCs w:val="18"/>
              </w:rPr>
              <w:t>考查</w:t>
            </w:r>
          </w:p>
        </w:tc>
      </w:tr>
      <w:tr w14:paraId="50D8B67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AE8E9AF">
            <w:pPr>
              <w:rPr>
                <w:b/>
                <w:color w:val="auto"/>
                <w:sz w:val="18"/>
                <w:szCs w:val="18"/>
              </w:rPr>
            </w:pPr>
          </w:p>
        </w:tc>
        <w:tc>
          <w:tcPr>
            <w:tcW w:w="1226" w:type="dxa"/>
            <w:vMerge w:val="continue"/>
            <w:vAlign w:val="center"/>
          </w:tcPr>
          <w:p w14:paraId="2A9F52FA">
            <w:pPr>
              <w:adjustRightInd w:val="0"/>
              <w:snapToGrid w:val="0"/>
              <w:jc w:val="center"/>
              <w:rPr>
                <w:b/>
                <w:color w:val="auto"/>
                <w:sz w:val="18"/>
                <w:szCs w:val="18"/>
              </w:rPr>
            </w:pPr>
          </w:p>
        </w:tc>
        <w:tc>
          <w:tcPr>
            <w:tcW w:w="3516" w:type="dxa"/>
            <w:shd w:val="clear" w:color="auto" w:fill="auto"/>
            <w:vAlign w:val="center"/>
          </w:tcPr>
          <w:p w14:paraId="755452BD">
            <w:pPr>
              <w:rPr>
                <w:color w:val="auto"/>
                <w:sz w:val="18"/>
                <w:szCs w:val="18"/>
              </w:rPr>
            </w:pPr>
            <w:r>
              <w:rPr>
                <w:rFonts w:hint="eastAsia"/>
                <w:color w:val="auto"/>
                <w:sz w:val="18"/>
                <w:szCs w:val="18"/>
              </w:rPr>
              <w:t>中医医案选读</w:t>
            </w:r>
          </w:p>
        </w:tc>
        <w:tc>
          <w:tcPr>
            <w:tcW w:w="1081" w:type="dxa"/>
            <w:shd w:val="clear" w:color="auto" w:fill="auto"/>
            <w:vAlign w:val="center"/>
          </w:tcPr>
          <w:p w14:paraId="5B196348">
            <w:pPr>
              <w:adjustRightInd w:val="0"/>
              <w:snapToGrid w:val="0"/>
              <w:rPr>
                <w:color w:val="auto"/>
                <w:sz w:val="18"/>
                <w:szCs w:val="18"/>
              </w:rPr>
            </w:pPr>
            <w:r>
              <w:rPr>
                <w:rFonts w:hint="eastAsia"/>
                <w:color w:val="auto"/>
                <w:sz w:val="18"/>
                <w:szCs w:val="18"/>
              </w:rPr>
              <w:t>Z</w:t>
            </w:r>
            <w:r>
              <w:rPr>
                <w:color w:val="auto"/>
                <w:sz w:val="18"/>
                <w:szCs w:val="18"/>
              </w:rPr>
              <w:t>S250</w:t>
            </w:r>
            <w:r>
              <w:rPr>
                <w:rFonts w:hint="eastAsia"/>
                <w:color w:val="auto"/>
                <w:sz w:val="18"/>
                <w:szCs w:val="18"/>
              </w:rPr>
              <w:t>1</w:t>
            </w:r>
            <w:r>
              <w:rPr>
                <w:color w:val="auto"/>
                <w:sz w:val="18"/>
                <w:szCs w:val="18"/>
              </w:rPr>
              <w:t>20</w:t>
            </w:r>
            <w:r>
              <w:rPr>
                <w:rFonts w:hint="eastAsia"/>
                <w:color w:val="auto"/>
                <w:sz w:val="18"/>
                <w:szCs w:val="18"/>
              </w:rPr>
              <w:t>2</w:t>
            </w:r>
          </w:p>
        </w:tc>
        <w:tc>
          <w:tcPr>
            <w:tcW w:w="709" w:type="dxa"/>
            <w:shd w:val="clear" w:color="auto" w:fill="auto"/>
            <w:vAlign w:val="center"/>
          </w:tcPr>
          <w:p w14:paraId="17863727">
            <w:pPr>
              <w:adjustRightInd w:val="0"/>
              <w:snapToGrid w:val="0"/>
              <w:jc w:val="center"/>
              <w:rPr>
                <w:color w:val="auto"/>
                <w:sz w:val="18"/>
                <w:szCs w:val="18"/>
              </w:rPr>
            </w:pPr>
            <w:r>
              <w:rPr>
                <w:rFonts w:hint="eastAsia"/>
                <w:color w:val="auto"/>
                <w:sz w:val="18"/>
                <w:szCs w:val="18"/>
              </w:rPr>
              <w:t>2</w:t>
            </w:r>
          </w:p>
        </w:tc>
        <w:tc>
          <w:tcPr>
            <w:tcW w:w="709" w:type="dxa"/>
            <w:shd w:val="clear" w:color="auto" w:fill="auto"/>
            <w:vAlign w:val="center"/>
          </w:tcPr>
          <w:p w14:paraId="10625AA2">
            <w:pPr>
              <w:adjustRightInd w:val="0"/>
              <w:snapToGrid w:val="0"/>
              <w:jc w:val="center"/>
              <w:rPr>
                <w:color w:val="auto"/>
                <w:sz w:val="18"/>
                <w:szCs w:val="18"/>
                <w:highlight w:val="yellow"/>
              </w:rPr>
            </w:pPr>
            <w:r>
              <w:rPr>
                <w:color w:val="auto"/>
                <w:sz w:val="18"/>
                <w:szCs w:val="18"/>
              </w:rPr>
              <w:t>1</w:t>
            </w:r>
          </w:p>
        </w:tc>
        <w:tc>
          <w:tcPr>
            <w:tcW w:w="1045" w:type="dxa"/>
            <w:shd w:val="clear" w:color="auto" w:fill="auto"/>
            <w:vAlign w:val="center"/>
          </w:tcPr>
          <w:p w14:paraId="2D2A356E">
            <w:pPr>
              <w:adjustRightInd w:val="0"/>
              <w:snapToGrid w:val="0"/>
              <w:jc w:val="center"/>
              <w:rPr>
                <w:color w:val="auto"/>
                <w:sz w:val="18"/>
                <w:szCs w:val="18"/>
              </w:rPr>
            </w:pPr>
            <w:r>
              <w:rPr>
                <w:color w:val="auto"/>
                <w:sz w:val="18"/>
                <w:szCs w:val="18"/>
              </w:rPr>
              <w:t>考查</w:t>
            </w:r>
          </w:p>
        </w:tc>
      </w:tr>
      <w:tr w14:paraId="1CEC3F1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6C847C9">
            <w:pPr>
              <w:rPr>
                <w:b/>
                <w:color w:val="auto"/>
                <w:sz w:val="18"/>
                <w:szCs w:val="18"/>
              </w:rPr>
            </w:pPr>
          </w:p>
        </w:tc>
        <w:tc>
          <w:tcPr>
            <w:tcW w:w="1226" w:type="dxa"/>
            <w:vMerge w:val="continue"/>
            <w:vAlign w:val="center"/>
          </w:tcPr>
          <w:p w14:paraId="5C76EAEF">
            <w:pPr>
              <w:adjustRightInd w:val="0"/>
              <w:snapToGrid w:val="0"/>
              <w:jc w:val="center"/>
              <w:rPr>
                <w:b/>
                <w:color w:val="auto"/>
                <w:sz w:val="18"/>
                <w:szCs w:val="18"/>
              </w:rPr>
            </w:pPr>
          </w:p>
        </w:tc>
        <w:tc>
          <w:tcPr>
            <w:tcW w:w="3516" w:type="dxa"/>
            <w:shd w:val="clear" w:color="auto" w:fill="auto"/>
            <w:vAlign w:val="center"/>
          </w:tcPr>
          <w:p w14:paraId="08C7CD81">
            <w:pPr>
              <w:rPr>
                <w:color w:val="auto"/>
                <w:sz w:val="18"/>
                <w:szCs w:val="18"/>
              </w:rPr>
            </w:pPr>
            <w:r>
              <w:rPr>
                <w:rFonts w:hint="eastAsia"/>
                <w:color w:val="auto"/>
                <w:sz w:val="18"/>
                <w:szCs w:val="18"/>
              </w:rPr>
              <w:t>临床病历写作</w:t>
            </w:r>
          </w:p>
        </w:tc>
        <w:tc>
          <w:tcPr>
            <w:tcW w:w="1081" w:type="dxa"/>
            <w:shd w:val="clear" w:color="auto" w:fill="auto"/>
            <w:vAlign w:val="center"/>
          </w:tcPr>
          <w:p w14:paraId="6F2C3B83">
            <w:pPr>
              <w:adjustRightInd w:val="0"/>
              <w:snapToGrid w:val="0"/>
              <w:rPr>
                <w:color w:val="auto"/>
                <w:sz w:val="18"/>
                <w:szCs w:val="18"/>
              </w:rPr>
            </w:pPr>
            <w:r>
              <w:rPr>
                <w:rFonts w:hint="eastAsia"/>
                <w:color w:val="auto"/>
                <w:sz w:val="18"/>
                <w:szCs w:val="18"/>
              </w:rPr>
              <w:t>Z</w:t>
            </w:r>
            <w:r>
              <w:rPr>
                <w:color w:val="auto"/>
                <w:sz w:val="18"/>
                <w:szCs w:val="18"/>
              </w:rPr>
              <w:t>S250</w:t>
            </w:r>
            <w:r>
              <w:rPr>
                <w:rFonts w:hint="eastAsia"/>
                <w:color w:val="auto"/>
                <w:sz w:val="18"/>
                <w:szCs w:val="18"/>
              </w:rPr>
              <w:t>1</w:t>
            </w:r>
            <w:r>
              <w:rPr>
                <w:color w:val="auto"/>
                <w:sz w:val="18"/>
                <w:szCs w:val="18"/>
              </w:rPr>
              <w:t>20</w:t>
            </w:r>
            <w:r>
              <w:rPr>
                <w:rFonts w:hint="eastAsia"/>
                <w:color w:val="auto"/>
                <w:sz w:val="18"/>
                <w:szCs w:val="18"/>
              </w:rPr>
              <w:t>3</w:t>
            </w:r>
          </w:p>
        </w:tc>
        <w:tc>
          <w:tcPr>
            <w:tcW w:w="709" w:type="dxa"/>
            <w:shd w:val="clear" w:color="auto" w:fill="auto"/>
            <w:vAlign w:val="center"/>
          </w:tcPr>
          <w:p w14:paraId="0F5A3FE1">
            <w:pPr>
              <w:adjustRightInd w:val="0"/>
              <w:snapToGrid w:val="0"/>
              <w:jc w:val="center"/>
              <w:rPr>
                <w:color w:val="auto"/>
                <w:sz w:val="18"/>
                <w:szCs w:val="18"/>
              </w:rPr>
            </w:pPr>
            <w:r>
              <w:rPr>
                <w:color w:val="auto"/>
                <w:sz w:val="18"/>
                <w:szCs w:val="18"/>
              </w:rPr>
              <w:t>1</w:t>
            </w:r>
          </w:p>
        </w:tc>
        <w:tc>
          <w:tcPr>
            <w:tcW w:w="709" w:type="dxa"/>
            <w:shd w:val="clear" w:color="auto" w:fill="auto"/>
            <w:vAlign w:val="center"/>
          </w:tcPr>
          <w:p w14:paraId="35DBA674">
            <w:pPr>
              <w:adjustRightInd w:val="0"/>
              <w:snapToGrid w:val="0"/>
              <w:jc w:val="center"/>
              <w:rPr>
                <w:color w:val="auto"/>
                <w:sz w:val="18"/>
                <w:szCs w:val="18"/>
                <w:highlight w:val="yellow"/>
              </w:rPr>
            </w:pPr>
            <w:r>
              <w:rPr>
                <w:color w:val="auto"/>
                <w:sz w:val="18"/>
                <w:szCs w:val="18"/>
              </w:rPr>
              <w:t>1</w:t>
            </w:r>
          </w:p>
        </w:tc>
        <w:tc>
          <w:tcPr>
            <w:tcW w:w="1045" w:type="dxa"/>
            <w:shd w:val="clear" w:color="auto" w:fill="auto"/>
            <w:vAlign w:val="center"/>
          </w:tcPr>
          <w:p w14:paraId="4689C612">
            <w:pPr>
              <w:adjustRightInd w:val="0"/>
              <w:snapToGrid w:val="0"/>
              <w:jc w:val="center"/>
              <w:rPr>
                <w:color w:val="auto"/>
                <w:sz w:val="18"/>
                <w:szCs w:val="18"/>
              </w:rPr>
            </w:pPr>
            <w:r>
              <w:rPr>
                <w:color w:val="auto"/>
                <w:sz w:val="18"/>
                <w:szCs w:val="18"/>
              </w:rPr>
              <w:t>考查</w:t>
            </w:r>
          </w:p>
        </w:tc>
      </w:tr>
      <w:tr w14:paraId="00EC9C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3" w:hRule="atLeast"/>
          <w:jc w:val="center"/>
        </w:trPr>
        <w:tc>
          <w:tcPr>
            <w:tcW w:w="571" w:type="dxa"/>
            <w:vMerge w:val="restart"/>
            <w:vAlign w:val="center"/>
          </w:tcPr>
          <w:p w14:paraId="1D12130E">
            <w:pPr>
              <w:jc w:val="center"/>
              <w:rPr>
                <w:b/>
                <w:color w:val="auto"/>
                <w:sz w:val="18"/>
                <w:szCs w:val="18"/>
              </w:rPr>
            </w:pPr>
            <w:r>
              <w:rPr>
                <w:b/>
                <w:color w:val="auto"/>
                <w:sz w:val="18"/>
                <w:szCs w:val="18"/>
              </w:rPr>
              <w:t>必修环节</w:t>
            </w:r>
          </w:p>
          <w:p w14:paraId="383BD860">
            <w:pPr>
              <w:jc w:val="center"/>
              <w:rPr>
                <w:b/>
                <w:color w:val="auto"/>
                <w:sz w:val="18"/>
                <w:szCs w:val="18"/>
              </w:rPr>
            </w:pPr>
          </w:p>
        </w:tc>
        <w:tc>
          <w:tcPr>
            <w:tcW w:w="1226" w:type="dxa"/>
            <w:vMerge w:val="restart"/>
            <w:vAlign w:val="center"/>
          </w:tcPr>
          <w:p w14:paraId="518C92C7">
            <w:pPr>
              <w:jc w:val="center"/>
              <w:rPr>
                <w:b/>
                <w:color w:val="auto"/>
                <w:sz w:val="18"/>
                <w:szCs w:val="18"/>
              </w:rPr>
            </w:pPr>
            <w:r>
              <w:rPr>
                <w:b/>
                <w:color w:val="auto"/>
                <w:sz w:val="18"/>
                <w:szCs w:val="18"/>
              </w:rPr>
              <w:t>素质拓展</w:t>
            </w:r>
          </w:p>
        </w:tc>
        <w:tc>
          <w:tcPr>
            <w:tcW w:w="3516" w:type="dxa"/>
            <w:vAlign w:val="center"/>
          </w:tcPr>
          <w:p w14:paraId="129A4336">
            <w:pPr>
              <w:rPr>
                <w:color w:val="auto"/>
                <w:sz w:val="18"/>
                <w:szCs w:val="18"/>
              </w:rPr>
            </w:pPr>
            <w:r>
              <w:rPr>
                <w:color w:val="auto"/>
                <w:sz w:val="18"/>
                <w:szCs w:val="18"/>
              </w:rPr>
              <w:t>入学教育</w:t>
            </w:r>
          </w:p>
        </w:tc>
        <w:tc>
          <w:tcPr>
            <w:tcW w:w="1081" w:type="dxa"/>
            <w:vAlign w:val="center"/>
          </w:tcPr>
          <w:p w14:paraId="5D171679">
            <w:pPr>
              <w:jc w:val="center"/>
              <w:rPr>
                <w:color w:val="0000FF"/>
                <w:sz w:val="18"/>
                <w:szCs w:val="18"/>
              </w:rPr>
            </w:pPr>
            <w:r>
              <w:rPr>
                <w:color w:val="0000FF"/>
                <w:sz w:val="18"/>
                <w:szCs w:val="18"/>
              </w:rPr>
              <w:t>ZS2501204</w:t>
            </w:r>
          </w:p>
        </w:tc>
        <w:tc>
          <w:tcPr>
            <w:tcW w:w="709" w:type="dxa"/>
            <w:vAlign w:val="center"/>
          </w:tcPr>
          <w:p w14:paraId="19E6D364">
            <w:pPr>
              <w:jc w:val="center"/>
              <w:rPr>
                <w:color w:val="auto"/>
                <w:sz w:val="18"/>
                <w:szCs w:val="18"/>
              </w:rPr>
            </w:pPr>
            <w:r>
              <w:rPr>
                <w:rFonts w:hint="eastAsia"/>
                <w:color w:val="auto"/>
                <w:sz w:val="18"/>
                <w:szCs w:val="18"/>
              </w:rPr>
              <w:t>1</w:t>
            </w:r>
          </w:p>
        </w:tc>
        <w:tc>
          <w:tcPr>
            <w:tcW w:w="709" w:type="dxa"/>
            <w:vAlign w:val="center"/>
          </w:tcPr>
          <w:p w14:paraId="49C75D05">
            <w:pPr>
              <w:jc w:val="center"/>
              <w:rPr>
                <w:color w:val="auto"/>
                <w:sz w:val="18"/>
                <w:szCs w:val="18"/>
              </w:rPr>
            </w:pPr>
            <w:r>
              <w:rPr>
                <w:color w:val="auto"/>
                <w:sz w:val="18"/>
                <w:szCs w:val="18"/>
              </w:rPr>
              <w:t>1</w:t>
            </w:r>
          </w:p>
        </w:tc>
        <w:tc>
          <w:tcPr>
            <w:tcW w:w="1045" w:type="dxa"/>
            <w:vMerge w:val="restart"/>
            <w:vAlign w:val="center"/>
          </w:tcPr>
          <w:p w14:paraId="1A8027FB">
            <w:pPr>
              <w:jc w:val="center"/>
              <w:rPr>
                <w:i/>
                <w:color w:val="auto"/>
                <w:sz w:val="18"/>
                <w:szCs w:val="18"/>
              </w:rPr>
            </w:pPr>
          </w:p>
        </w:tc>
      </w:tr>
      <w:tr w14:paraId="745980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4" w:hRule="atLeast"/>
          <w:jc w:val="center"/>
        </w:trPr>
        <w:tc>
          <w:tcPr>
            <w:tcW w:w="571" w:type="dxa"/>
            <w:vMerge w:val="continue"/>
            <w:vAlign w:val="center"/>
          </w:tcPr>
          <w:p w14:paraId="521063B1">
            <w:pPr>
              <w:jc w:val="center"/>
              <w:rPr>
                <w:b/>
                <w:color w:val="auto"/>
                <w:sz w:val="18"/>
                <w:szCs w:val="18"/>
              </w:rPr>
            </w:pPr>
          </w:p>
        </w:tc>
        <w:tc>
          <w:tcPr>
            <w:tcW w:w="1226" w:type="dxa"/>
            <w:vMerge w:val="continue"/>
            <w:vAlign w:val="center"/>
          </w:tcPr>
          <w:p w14:paraId="22623F65">
            <w:pPr>
              <w:jc w:val="center"/>
              <w:rPr>
                <w:b/>
                <w:color w:val="auto"/>
                <w:sz w:val="18"/>
                <w:szCs w:val="18"/>
              </w:rPr>
            </w:pPr>
          </w:p>
        </w:tc>
        <w:tc>
          <w:tcPr>
            <w:tcW w:w="3516" w:type="dxa"/>
            <w:vAlign w:val="center"/>
          </w:tcPr>
          <w:p w14:paraId="18596F45">
            <w:pPr>
              <w:rPr>
                <w:color w:val="auto"/>
                <w:sz w:val="18"/>
                <w:szCs w:val="18"/>
              </w:rPr>
            </w:pPr>
            <w:r>
              <w:rPr>
                <w:color w:val="auto"/>
                <w:sz w:val="18"/>
                <w:szCs w:val="18"/>
              </w:rPr>
              <w:t>学术/实践活动</w:t>
            </w:r>
          </w:p>
        </w:tc>
        <w:tc>
          <w:tcPr>
            <w:tcW w:w="1081" w:type="dxa"/>
            <w:vAlign w:val="center"/>
          </w:tcPr>
          <w:p w14:paraId="59BE6D57">
            <w:pPr>
              <w:jc w:val="center"/>
              <w:rPr>
                <w:color w:val="auto"/>
                <w:sz w:val="18"/>
                <w:szCs w:val="18"/>
              </w:rPr>
            </w:pPr>
          </w:p>
        </w:tc>
        <w:tc>
          <w:tcPr>
            <w:tcW w:w="709" w:type="dxa"/>
            <w:vAlign w:val="center"/>
          </w:tcPr>
          <w:p w14:paraId="71BE0B38">
            <w:pPr>
              <w:jc w:val="center"/>
              <w:rPr>
                <w:color w:val="auto"/>
                <w:sz w:val="18"/>
                <w:szCs w:val="18"/>
              </w:rPr>
            </w:pPr>
            <w:r>
              <w:rPr>
                <w:color w:val="auto"/>
                <w:sz w:val="18"/>
                <w:szCs w:val="18"/>
              </w:rPr>
              <w:t>1</w:t>
            </w:r>
          </w:p>
        </w:tc>
        <w:tc>
          <w:tcPr>
            <w:tcW w:w="709" w:type="dxa"/>
            <w:vAlign w:val="center"/>
          </w:tcPr>
          <w:p w14:paraId="69512777">
            <w:pPr>
              <w:jc w:val="center"/>
              <w:rPr>
                <w:color w:val="auto"/>
                <w:sz w:val="18"/>
                <w:szCs w:val="18"/>
              </w:rPr>
            </w:pPr>
            <w:r>
              <w:rPr>
                <w:rFonts w:hint="eastAsia"/>
                <w:color w:val="auto"/>
                <w:sz w:val="18"/>
                <w:szCs w:val="18"/>
              </w:rPr>
              <w:t>1-6</w:t>
            </w:r>
          </w:p>
        </w:tc>
        <w:tc>
          <w:tcPr>
            <w:tcW w:w="1045" w:type="dxa"/>
            <w:vMerge w:val="continue"/>
            <w:vAlign w:val="center"/>
          </w:tcPr>
          <w:p w14:paraId="024F18F8">
            <w:pPr>
              <w:jc w:val="center"/>
              <w:rPr>
                <w:color w:val="auto"/>
                <w:sz w:val="18"/>
                <w:szCs w:val="18"/>
              </w:rPr>
            </w:pPr>
          </w:p>
        </w:tc>
      </w:tr>
      <w:tr w14:paraId="6C52CF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3" w:hRule="atLeast"/>
          <w:jc w:val="center"/>
        </w:trPr>
        <w:tc>
          <w:tcPr>
            <w:tcW w:w="571" w:type="dxa"/>
            <w:vMerge w:val="continue"/>
            <w:vAlign w:val="center"/>
          </w:tcPr>
          <w:p w14:paraId="298997BC">
            <w:pPr>
              <w:jc w:val="center"/>
              <w:rPr>
                <w:b/>
                <w:color w:val="auto"/>
                <w:sz w:val="18"/>
                <w:szCs w:val="18"/>
              </w:rPr>
            </w:pPr>
          </w:p>
        </w:tc>
        <w:tc>
          <w:tcPr>
            <w:tcW w:w="1226" w:type="dxa"/>
            <w:vMerge w:val="continue"/>
            <w:vAlign w:val="center"/>
          </w:tcPr>
          <w:p w14:paraId="739A494A">
            <w:pPr>
              <w:jc w:val="center"/>
              <w:rPr>
                <w:b/>
                <w:color w:val="auto"/>
                <w:sz w:val="18"/>
                <w:szCs w:val="18"/>
              </w:rPr>
            </w:pPr>
          </w:p>
        </w:tc>
        <w:tc>
          <w:tcPr>
            <w:tcW w:w="3516" w:type="dxa"/>
            <w:vAlign w:val="center"/>
          </w:tcPr>
          <w:p w14:paraId="4D5D347B">
            <w:pPr>
              <w:adjustRightInd w:val="0"/>
              <w:snapToGrid w:val="0"/>
              <w:rPr>
                <w:color w:val="auto"/>
                <w:sz w:val="18"/>
                <w:szCs w:val="18"/>
              </w:rPr>
            </w:pPr>
            <w:r>
              <w:rPr>
                <w:color w:val="auto"/>
                <w:sz w:val="18"/>
                <w:szCs w:val="18"/>
              </w:rPr>
              <w:t>竞赛活动</w:t>
            </w:r>
          </w:p>
        </w:tc>
        <w:tc>
          <w:tcPr>
            <w:tcW w:w="1081" w:type="dxa"/>
            <w:vAlign w:val="center"/>
          </w:tcPr>
          <w:p w14:paraId="2CEECF69">
            <w:pPr>
              <w:jc w:val="center"/>
              <w:rPr>
                <w:color w:val="auto"/>
                <w:sz w:val="18"/>
                <w:szCs w:val="18"/>
              </w:rPr>
            </w:pPr>
          </w:p>
        </w:tc>
        <w:tc>
          <w:tcPr>
            <w:tcW w:w="709" w:type="dxa"/>
            <w:vAlign w:val="center"/>
          </w:tcPr>
          <w:p w14:paraId="505F9587">
            <w:pPr>
              <w:jc w:val="center"/>
              <w:rPr>
                <w:color w:val="auto"/>
                <w:sz w:val="18"/>
                <w:szCs w:val="18"/>
              </w:rPr>
            </w:pPr>
            <w:r>
              <w:rPr>
                <w:rFonts w:hint="eastAsia"/>
                <w:color w:val="auto"/>
                <w:sz w:val="18"/>
                <w:szCs w:val="18"/>
              </w:rPr>
              <w:t>1</w:t>
            </w:r>
          </w:p>
        </w:tc>
        <w:tc>
          <w:tcPr>
            <w:tcW w:w="709" w:type="dxa"/>
            <w:vAlign w:val="center"/>
          </w:tcPr>
          <w:p w14:paraId="3172D0A0">
            <w:pPr>
              <w:jc w:val="center"/>
              <w:rPr>
                <w:color w:val="auto"/>
                <w:sz w:val="18"/>
                <w:szCs w:val="18"/>
              </w:rPr>
            </w:pPr>
            <w:r>
              <w:rPr>
                <w:rFonts w:hint="eastAsia"/>
                <w:color w:val="auto"/>
                <w:sz w:val="18"/>
                <w:szCs w:val="18"/>
              </w:rPr>
              <w:t>1-6</w:t>
            </w:r>
          </w:p>
        </w:tc>
        <w:tc>
          <w:tcPr>
            <w:tcW w:w="1045" w:type="dxa"/>
            <w:vMerge w:val="continue"/>
            <w:vAlign w:val="center"/>
          </w:tcPr>
          <w:p w14:paraId="2C45FE7B">
            <w:pPr>
              <w:jc w:val="center"/>
              <w:rPr>
                <w:color w:val="auto"/>
                <w:sz w:val="18"/>
                <w:szCs w:val="18"/>
              </w:rPr>
            </w:pPr>
          </w:p>
        </w:tc>
      </w:tr>
      <w:tr w14:paraId="41254B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4F445A6">
            <w:pPr>
              <w:rPr>
                <w:b/>
                <w:color w:val="auto"/>
                <w:sz w:val="18"/>
                <w:szCs w:val="18"/>
              </w:rPr>
            </w:pPr>
          </w:p>
        </w:tc>
        <w:tc>
          <w:tcPr>
            <w:tcW w:w="1226" w:type="dxa"/>
            <w:vMerge w:val="restart"/>
            <w:vAlign w:val="center"/>
          </w:tcPr>
          <w:p w14:paraId="3620ED34">
            <w:pPr>
              <w:jc w:val="center"/>
              <w:rPr>
                <w:b/>
                <w:color w:val="auto"/>
                <w:sz w:val="18"/>
                <w:szCs w:val="18"/>
              </w:rPr>
            </w:pPr>
            <w:r>
              <w:rPr>
                <w:b/>
                <w:color w:val="auto"/>
                <w:sz w:val="18"/>
                <w:szCs w:val="18"/>
              </w:rPr>
              <w:t>学术训练</w:t>
            </w:r>
          </w:p>
        </w:tc>
        <w:tc>
          <w:tcPr>
            <w:tcW w:w="3516" w:type="dxa"/>
            <w:vAlign w:val="center"/>
          </w:tcPr>
          <w:p w14:paraId="7D94C253">
            <w:pPr>
              <w:rPr>
                <w:color w:val="auto"/>
                <w:sz w:val="18"/>
                <w:szCs w:val="18"/>
              </w:rPr>
            </w:pPr>
            <w:r>
              <w:rPr>
                <w:color w:val="auto"/>
                <w:sz w:val="18"/>
                <w:szCs w:val="18"/>
              </w:rPr>
              <w:t>中期筛选</w:t>
            </w:r>
          </w:p>
        </w:tc>
        <w:tc>
          <w:tcPr>
            <w:tcW w:w="1081" w:type="dxa"/>
            <w:vAlign w:val="center"/>
          </w:tcPr>
          <w:p w14:paraId="1A672EFE">
            <w:pPr>
              <w:jc w:val="center"/>
              <w:rPr>
                <w:color w:val="auto"/>
                <w:sz w:val="18"/>
                <w:szCs w:val="18"/>
              </w:rPr>
            </w:pPr>
          </w:p>
        </w:tc>
        <w:tc>
          <w:tcPr>
            <w:tcW w:w="709" w:type="dxa"/>
            <w:vAlign w:val="center"/>
          </w:tcPr>
          <w:p w14:paraId="7AAF17CD">
            <w:pPr>
              <w:jc w:val="center"/>
              <w:rPr>
                <w:color w:val="auto"/>
                <w:sz w:val="18"/>
                <w:szCs w:val="18"/>
              </w:rPr>
            </w:pPr>
          </w:p>
        </w:tc>
        <w:tc>
          <w:tcPr>
            <w:tcW w:w="709" w:type="dxa"/>
            <w:vAlign w:val="center"/>
          </w:tcPr>
          <w:p w14:paraId="7A619FB1">
            <w:pPr>
              <w:jc w:val="center"/>
              <w:rPr>
                <w:iCs/>
                <w:color w:val="auto"/>
                <w:sz w:val="18"/>
                <w:szCs w:val="18"/>
              </w:rPr>
            </w:pPr>
            <w:r>
              <w:rPr>
                <w:rFonts w:hint="eastAsia"/>
                <w:iCs/>
                <w:color w:val="auto"/>
                <w:sz w:val="18"/>
                <w:szCs w:val="18"/>
              </w:rPr>
              <w:t>3</w:t>
            </w:r>
          </w:p>
        </w:tc>
        <w:tc>
          <w:tcPr>
            <w:tcW w:w="1045" w:type="dxa"/>
            <w:vMerge w:val="restart"/>
            <w:vAlign w:val="center"/>
          </w:tcPr>
          <w:p w14:paraId="0A4A3278">
            <w:pPr>
              <w:jc w:val="center"/>
              <w:rPr>
                <w:color w:val="auto"/>
                <w:sz w:val="18"/>
                <w:szCs w:val="18"/>
              </w:rPr>
            </w:pPr>
          </w:p>
        </w:tc>
      </w:tr>
      <w:tr w14:paraId="43C242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091DC0C">
            <w:pPr>
              <w:rPr>
                <w:b/>
                <w:color w:val="auto"/>
                <w:sz w:val="18"/>
                <w:szCs w:val="18"/>
              </w:rPr>
            </w:pPr>
          </w:p>
        </w:tc>
        <w:tc>
          <w:tcPr>
            <w:tcW w:w="1226" w:type="dxa"/>
            <w:vMerge w:val="continue"/>
            <w:vAlign w:val="center"/>
          </w:tcPr>
          <w:p w14:paraId="70BE750B">
            <w:pPr>
              <w:jc w:val="center"/>
              <w:rPr>
                <w:b/>
                <w:color w:val="auto"/>
                <w:sz w:val="18"/>
                <w:szCs w:val="18"/>
              </w:rPr>
            </w:pPr>
          </w:p>
        </w:tc>
        <w:tc>
          <w:tcPr>
            <w:tcW w:w="3516" w:type="dxa"/>
            <w:vAlign w:val="center"/>
          </w:tcPr>
          <w:p w14:paraId="0FB46F5E">
            <w:pPr>
              <w:rPr>
                <w:color w:val="auto"/>
                <w:sz w:val="18"/>
                <w:szCs w:val="18"/>
              </w:rPr>
            </w:pPr>
            <w:r>
              <w:rPr>
                <w:color w:val="auto"/>
                <w:sz w:val="18"/>
                <w:szCs w:val="18"/>
              </w:rPr>
              <w:t>论文开题</w:t>
            </w:r>
          </w:p>
        </w:tc>
        <w:tc>
          <w:tcPr>
            <w:tcW w:w="1081" w:type="dxa"/>
            <w:vAlign w:val="center"/>
          </w:tcPr>
          <w:p w14:paraId="6F9AB6A7">
            <w:pPr>
              <w:jc w:val="center"/>
              <w:rPr>
                <w:color w:val="auto"/>
                <w:sz w:val="18"/>
                <w:szCs w:val="18"/>
              </w:rPr>
            </w:pPr>
          </w:p>
        </w:tc>
        <w:tc>
          <w:tcPr>
            <w:tcW w:w="709" w:type="dxa"/>
            <w:vAlign w:val="center"/>
          </w:tcPr>
          <w:p w14:paraId="6AE84367">
            <w:pPr>
              <w:jc w:val="center"/>
              <w:rPr>
                <w:color w:val="auto"/>
                <w:sz w:val="18"/>
                <w:szCs w:val="18"/>
              </w:rPr>
            </w:pPr>
          </w:p>
        </w:tc>
        <w:tc>
          <w:tcPr>
            <w:tcW w:w="709" w:type="dxa"/>
            <w:vAlign w:val="center"/>
          </w:tcPr>
          <w:p w14:paraId="33128413">
            <w:pPr>
              <w:jc w:val="center"/>
              <w:rPr>
                <w:iCs/>
                <w:color w:val="auto"/>
                <w:sz w:val="18"/>
                <w:szCs w:val="18"/>
              </w:rPr>
            </w:pPr>
            <w:r>
              <w:rPr>
                <w:rFonts w:hint="eastAsia"/>
                <w:iCs/>
                <w:color w:val="auto"/>
                <w:sz w:val="18"/>
                <w:szCs w:val="18"/>
              </w:rPr>
              <w:t>3</w:t>
            </w:r>
          </w:p>
        </w:tc>
        <w:tc>
          <w:tcPr>
            <w:tcW w:w="1045" w:type="dxa"/>
            <w:vMerge w:val="continue"/>
            <w:vAlign w:val="center"/>
          </w:tcPr>
          <w:p w14:paraId="1D1617C5">
            <w:pPr>
              <w:jc w:val="center"/>
              <w:rPr>
                <w:color w:val="auto"/>
                <w:sz w:val="18"/>
                <w:szCs w:val="18"/>
              </w:rPr>
            </w:pPr>
          </w:p>
        </w:tc>
      </w:tr>
      <w:tr w14:paraId="23EBDC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B4A25D3">
            <w:pPr>
              <w:rPr>
                <w:b/>
                <w:color w:val="auto"/>
                <w:sz w:val="18"/>
                <w:szCs w:val="18"/>
              </w:rPr>
            </w:pPr>
          </w:p>
        </w:tc>
        <w:tc>
          <w:tcPr>
            <w:tcW w:w="1226" w:type="dxa"/>
            <w:vMerge w:val="continue"/>
            <w:vAlign w:val="center"/>
          </w:tcPr>
          <w:p w14:paraId="3CA6048B">
            <w:pPr>
              <w:jc w:val="center"/>
              <w:rPr>
                <w:b/>
                <w:color w:val="auto"/>
                <w:sz w:val="18"/>
                <w:szCs w:val="18"/>
              </w:rPr>
            </w:pPr>
          </w:p>
        </w:tc>
        <w:tc>
          <w:tcPr>
            <w:tcW w:w="3516" w:type="dxa"/>
            <w:vAlign w:val="center"/>
          </w:tcPr>
          <w:p w14:paraId="1F3339C0">
            <w:pPr>
              <w:rPr>
                <w:color w:val="auto"/>
                <w:sz w:val="18"/>
                <w:szCs w:val="18"/>
              </w:rPr>
            </w:pPr>
            <w:r>
              <w:rPr>
                <w:color w:val="auto"/>
                <w:sz w:val="18"/>
                <w:szCs w:val="18"/>
              </w:rPr>
              <w:t>论文中期进展报告</w:t>
            </w:r>
          </w:p>
        </w:tc>
        <w:tc>
          <w:tcPr>
            <w:tcW w:w="1081" w:type="dxa"/>
            <w:vAlign w:val="center"/>
          </w:tcPr>
          <w:p w14:paraId="3AC5C048">
            <w:pPr>
              <w:jc w:val="center"/>
              <w:rPr>
                <w:color w:val="auto"/>
                <w:sz w:val="18"/>
                <w:szCs w:val="18"/>
              </w:rPr>
            </w:pPr>
          </w:p>
        </w:tc>
        <w:tc>
          <w:tcPr>
            <w:tcW w:w="709" w:type="dxa"/>
            <w:vAlign w:val="center"/>
          </w:tcPr>
          <w:p w14:paraId="3BD569B3">
            <w:pPr>
              <w:jc w:val="center"/>
              <w:rPr>
                <w:color w:val="auto"/>
                <w:sz w:val="18"/>
                <w:szCs w:val="18"/>
              </w:rPr>
            </w:pPr>
          </w:p>
        </w:tc>
        <w:tc>
          <w:tcPr>
            <w:tcW w:w="709" w:type="dxa"/>
            <w:vAlign w:val="center"/>
          </w:tcPr>
          <w:p w14:paraId="2CC0988E">
            <w:pPr>
              <w:jc w:val="center"/>
              <w:rPr>
                <w:iCs/>
                <w:color w:val="auto"/>
                <w:sz w:val="18"/>
                <w:szCs w:val="18"/>
              </w:rPr>
            </w:pPr>
            <w:r>
              <w:rPr>
                <w:rFonts w:hint="eastAsia"/>
                <w:iCs/>
                <w:color w:val="auto"/>
                <w:sz w:val="18"/>
                <w:szCs w:val="18"/>
              </w:rPr>
              <w:t>5</w:t>
            </w:r>
          </w:p>
        </w:tc>
        <w:tc>
          <w:tcPr>
            <w:tcW w:w="1045" w:type="dxa"/>
            <w:vMerge w:val="continue"/>
          </w:tcPr>
          <w:p w14:paraId="3488ED58">
            <w:pPr>
              <w:jc w:val="center"/>
              <w:rPr>
                <w:color w:val="auto"/>
                <w:sz w:val="18"/>
                <w:szCs w:val="18"/>
              </w:rPr>
            </w:pPr>
          </w:p>
        </w:tc>
      </w:tr>
      <w:tr w14:paraId="043234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E42667C">
            <w:pPr>
              <w:rPr>
                <w:b/>
                <w:color w:val="auto"/>
                <w:sz w:val="18"/>
                <w:szCs w:val="18"/>
              </w:rPr>
            </w:pPr>
          </w:p>
        </w:tc>
        <w:tc>
          <w:tcPr>
            <w:tcW w:w="1226" w:type="dxa"/>
            <w:vMerge w:val="continue"/>
            <w:vAlign w:val="center"/>
          </w:tcPr>
          <w:p w14:paraId="529E0ECC">
            <w:pPr>
              <w:jc w:val="center"/>
              <w:rPr>
                <w:b/>
                <w:color w:val="auto"/>
                <w:sz w:val="18"/>
                <w:szCs w:val="18"/>
              </w:rPr>
            </w:pPr>
          </w:p>
        </w:tc>
        <w:tc>
          <w:tcPr>
            <w:tcW w:w="3516" w:type="dxa"/>
            <w:vAlign w:val="center"/>
          </w:tcPr>
          <w:p w14:paraId="6DC22C18">
            <w:pPr>
              <w:rPr>
                <w:color w:val="auto"/>
                <w:sz w:val="18"/>
                <w:szCs w:val="18"/>
              </w:rPr>
            </w:pPr>
            <w:r>
              <w:rPr>
                <w:color w:val="auto"/>
                <w:sz w:val="18"/>
                <w:szCs w:val="18"/>
              </w:rPr>
              <w:t>论文预答辩</w:t>
            </w:r>
          </w:p>
        </w:tc>
        <w:tc>
          <w:tcPr>
            <w:tcW w:w="1081" w:type="dxa"/>
            <w:vAlign w:val="center"/>
          </w:tcPr>
          <w:p w14:paraId="4FD86D2A">
            <w:pPr>
              <w:jc w:val="center"/>
              <w:rPr>
                <w:color w:val="auto"/>
                <w:sz w:val="18"/>
                <w:szCs w:val="18"/>
              </w:rPr>
            </w:pPr>
          </w:p>
        </w:tc>
        <w:tc>
          <w:tcPr>
            <w:tcW w:w="709" w:type="dxa"/>
            <w:vAlign w:val="center"/>
          </w:tcPr>
          <w:p w14:paraId="123C2240">
            <w:pPr>
              <w:jc w:val="center"/>
              <w:rPr>
                <w:color w:val="auto"/>
                <w:sz w:val="18"/>
                <w:szCs w:val="18"/>
              </w:rPr>
            </w:pPr>
          </w:p>
        </w:tc>
        <w:tc>
          <w:tcPr>
            <w:tcW w:w="709" w:type="dxa"/>
            <w:vAlign w:val="center"/>
          </w:tcPr>
          <w:p w14:paraId="6126E40B">
            <w:pPr>
              <w:jc w:val="center"/>
              <w:rPr>
                <w:iCs/>
                <w:color w:val="auto"/>
                <w:sz w:val="18"/>
                <w:szCs w:val="18"/>
              </w:rPr>
            </w:pPr>
            <w:r>
              <w:rPr>
                <w:rFonts w:hint="eastAsia"/>
                <w:iCs/>
                <w:color w:val="auto"/>
                <w:sz w:val="18"/>
                <w:szCs w:val="18"/>
              </w:rPr>
              <w:t>6</w:t>
            </w:r>
          </w:p>
        </w:tc>
        <w:tc>
          <w:tcPr>
            <w:tcW w:w="1045" w:type="dxa"/>
            <w:vMerge w:val="continue"/>
          </w:tcPr>
          <w:p w14:paraId="279458DB">
            <w:pPr>
              <w:jc w:val="center"/>
              <w:rPr>
                <w:color w:val="auto"/>
                <w:sz w:val="18"/>
                <w:szCs w:val="18"/>
              </w:rPr>
            </w:pPr>
          </w:p>
        </w:tc>
      </w:tr>
      <w:tr w14:paraId="29AFB4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FC785C3">
            <w:pPr>
              <w:rPr>
                <w:color w:val="auto"/>
                <w:sz w:val="18"/>
                <w:szCs w:val="18"/>
              </w:rPr>
            </w:pPr>
          </w:p>
        </w:tc>
        <w:tc>
          <w:tcPr>
            <w:tcW w:w="1226" w:type="dxa"/>
            <w:vMerge w:val="continue"/>
          </w:tcPr>
          <w:p w14:paraId="74C34DFE">
            <w:pPr>
              <w:jc w:val="center"/>
              <w:rPr>
                <w:color w:val="auto"/>
                <w:sz w:val="18"/>
                <w:szCs w:val="18"/>
              </w:rPr>
            </w:pPr>
          </w:p>
        </w:tc>
        <w:tc>
          <w:tcPr>
            <w:tcW w:w="3516" w:type="dxa"/>
            <w:vAlign w:val="center"/>
          </w:tcPr>
          <w:p w14:paraId="0E05BFD1">
            <w:pPr>
              <w:rPr>
                <w:color w:val="auto"/>
                <w:sz w:val="18"/>
                <w:szCs w:val="18"/>
              </w:rPr>
            </w:pPr>
            <w:r>
              <w:rPr>
                <w:color w:val="auto"/>
                <w:sz w:val="18"/>
                <w:szCs w:val="18"/>
              </w:rPr>
              <w:t>论文评审</w:t>
            </w:r>
          </w:p>
        </w:tc>
        <w:tc>
          <w:tcPr>
            <w:tcW w:w="1081" w:type="dxa"/>
            <w:vAlign w:val="center"/>
          </w:tcPr>
          <w:p w14:paraId="0A722D76">
            <w:pPr>
              <w:jc w:val="center"/>
              <w:rPr>
                <w:color w:val="auto"/>
                <w:sz w:val="18"/>
                <w:szCs w:val="18"/>
              </w:rPr>
            </w:pPr>
          </w:p>
        </w:tc>
        <w:tc>
          <w:tcPr>
            <w:tcW w:w="709" w:type="dxa"/>
            <w:vAlign w:val="center"/>
          </w:tcPr>
          <w:p w14:paraId="0C128ACF">
            <w:pPr>
              <w:jc w:val="center"/>
              <w:rPr>
                <w:color w:val="auto"/>
                <w:sz w:val="18"/>
                <w:szCs w:val="18"/>
              </w:rPr>
            </w:pPr>
          </w:p>
        </w:tc>
        <w:tc>
          <w:tcPr>
            <w:tcW w:w="709" w:type="dxa"/>
            <w:vAlign w:val="center"/>
          </w:tcPr>
          <w:p w14:paraId="744161C5">
            <w:pPr>
              <w:jc w:val="center"/>
              <w:rPr>
                <w:color w:val="auto"/>
                <w:sz w:val="18"/>
                <w:szCs w:val="18"/>
              </w:rPr>
            </w:pPr>
            <w:r>
              <w:rPr>
                <w:color w:val="auto"/>
                <w:sz w:val="18"/>
                <w:szCs w:val="18"/>
              </w:rPr>
              <w:t>6</w:t>
            </w:r>
          </w:p>
        </w:tc>
        <w:tc>
          <w:tcPr>
            <w:tcW w:w="1045" w:type="dxa"/>
            <w:vMerge w:val="continue"/>
          </w:tcPr>
          <w:p w14:paraId="4B93036B">
            <w:pPr>
              <w:jc w:val="center"/>
              <w:rPr>
                <w:color w:val="auto"/>
                <w:sz w:val="18"/>
                <w:szCs w:val="18"/>
              </w:rPr>
            </w:pPr>
          </w:p>
        </w:tc>
      </w:tr>
      <w:tr w14:paraId="2C2536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10F422D">
            <w:pPr>
              <w:rPr>
                <w:color w:val="auto"/>
                <w:sz w:val="18"/>
                <w:szCs w:val="18"/>
              </w:rPr>
            </w:pPr>
          </w:p>
        </w:tc>
        <w:tc>
          <w:tcPr>
            <w:tcW w:w="1226" w:type="dxa"/>
            <w:vMerge w:val="continue"/>
          </w:tcPr>
          <w:p w14:paraId="1EBA5DE9">
            <w:pPr>
              <w:jc w:val="center"/>
              <w:rPr>
                <w:color w:val="auto"/>
                <w:sz w:val="18"/>
                <w:szCs w:val="18"/>
              </w:rPr>
            </w:pPr>
          </w:p>
        </w:tc>
        <w:tc>
          <w:tcPr>
            <w:tcW w:w="3516" w:type="dxa"/>
            <w:vAlign w:val="center"/>
          </w:tcPr>
          <w:p w14:paraId="4572EA12">
            <w:pPr>
              <w:rPr>
                <w:color w:val="auto"/>
                <w:sz w:val="18"/>
                <w:szCs w:val="18"/>
              </w:rPr>
            </w:pPr>
            <w:r>
              <w:rPr>
                <w:color w:val="auto"/>
                <w:sz w:val="18"/>
                <w:szCs w:val="18"/>
              </w:rPr>
              <w:t>论文答辩</w:t>
            </w:r>
          </w:p>
        </w:tc>
        <w:tc>
          <w:tcPr>
            <w:tcW w:w="1081" w:type="dxa"/>
            <w:vAlign w:val="center"/>
          </w:tcPr>
          <w:p w14:paraId="0ADD0274">
            <w:pPr>
              <w:jc w:val="center"/>
              <w:rPr>
                <w:color w:val="auto"/>
                <w:sz w:val="18"/>
                <w:szCs w:val="18"/>
              </w:rPr>
            </w:pPr>
          </w:p>
        </w:tc>
        <w:tc>
          <w:tcPr>
            <w:tcW w:w="709" w:type="dxa"/>
            <w:vAlign w:val="center"/>
          </w:tcPr>
          <w:p w14:paraId="3B5635CB">
            <w:pPr>
              <w:jc w:val="center"/>
              <w:rPr>
                <w:color w:val="auto"/>
                <w:sz w:val="18"/>
                <w:szCs w:val="18"/>
              </w:rPr>
            </w:pPr>
          </w:p>
        </w:tc>
        <w:tc>
          <w:tcPr>
            <w:tcW w:w="709" w:type="dxa"/>
            <w:vAlign w:val="center"/>
          </w:tcPr>
          <w:p w14:paraId="3E791A85">
            <w:pPr>
              <w:jc w:val="center"/>
              <w:rPr>
                <w:color w:val="auto"/>
                <w:sz w:val="18"/>
                <w:szCs w:val="18"/>
              </w:rPr>
            </w:pPr>
            <w:r>
              <w:rPr>
                <w:color w:val="auto"/>
                <w:sz w:val="18"/>
                <w:szCs w:val="18"/>
              </w:rPr>
              <w:t>6</w:t>
            </w:r>
          </w:p>
        </w:tc>
        <w:tc>
          <w:tcPr>
            <w:tcW w:w="1045" w:type="dxa"/>
            <w:vMerge w:val="continue"/>
          </w:tcPr>
          <w:p w14:paraId="7DF26ACF">
            <w:pPr>
              <w:jc w:val="center"/>
              <w:rPr>
                <w:color w:val="auto"/>
                <w:sz w:val="18"/>
                <w:szCs w:val="18"/>
              </w:rPr>
            </w:pPr>
          </w:p>
        </w:tc>
      </w:tr>
    </w:tbl>
    <w:p w14:paraId="6967502A">
      <w:pPr>
        <w:spacing w:line="440" w:lineRule="exact"/>
        <w:ind w:firstLine="400" w:firstLineChars="200"/>
        <w:rPr>
          <w:rFonts w:eastAsiaTheme="minorEastAsia"/>
          <w:bCs/>
          <w:color w:val="auto"/>
          <w:sz w:val="20"/>
          <w:szCs w:val="20"/>
        </w:rPr>
      </w:pPr>
      <w:r>
        <w:rPr>
          <w:rFonts w:eastAsiaTheme="minorEastAsia"/>
          <w:bCs/>
          <w:color w:val="auto"/>
          <w:sz w:val="20"/>
          <w:szCs w:val="20"/>
        </w:rPr>
        <w:t>*公共外语课程按入学时的外国语考试科目修读相关语种。</w:t>
      </w:r>
    </w:p>
    <w:p w14:paraId="4540B305">
      <w:pPr>
        <w:spacing w:line="440" w:lineRule="exact"/>
        <w:ind w:firstLine="200"/>
        <w:rPr>
          <w:rFonts w:eastAsiaTheme="minorEastAsia"/>
          <w:b/>
          <w:color w:val="auto"/>
          <w:sz w:val="20"/>
          <w:szCs w:val="20"/>
        </w:rPr>
      </w:pPr>
      <w:r>
        <w:rPr>
          <w:rFonts w:eastAsiaTheme="minorEastAsia"/>
          <w:b/>
          <w:color w:val="auto"/>
          <w:sz w:val="20"/>
          <w:szCs w:val="20"/>
        </w:rPr>
        <w:t>课程修读说明：</w:t>
      </w:r>
    </w:p>
    <w:p w14:paraId="05E990ED">
      <w:pPr>
        <w:spacing w:line="440" w:lineRule="exact"/>
        <w:ind w:firstLine="200"/>
        <w:rPr>
          <w:rFonts w:eastAsiaTheme="minorEastAsia"/>
          <w:bCs/>
          <w:color w:val="auto"/>
          <w:sz w:val="20"/>
          <w:szCs w:val="20"/>
        </w:rPr>
      </w:pPr>
      <w:r>
        <w:rPr>
          <w:rFonts w:eastAsiaTheme="minorEastAsia"/>
          <w:bCs/>
          <w:color w:val="auto"/>
          <w:sz w:val="20"/>
          <w:szCs w:val="20"/>
        </w:rPr>
        <w:t>1. 学位课为一级学科下所有专业方向的必修课程。必修环节为研究生培养过程中必须完成的培养活动。</w:t>
      </w:r>
    </w:p>
    <w:p w14:paraId="4C4BA2BE">
      <w:pPr>
        <w:spacing w:line="440" w:lineRule="exact"/>
        <w:ind w:firstLine="200"/>
        <w:rPr>
          <w:rFonts w:eastAsiaTheme="minorEastAsia"/>
          <w:bCs/>
          <w:color w:val="auto"/>
          <w:sz w:val="20"/>
          <w:szCs w:val="20"/>
        </w:rPr>
      </w:pPr>
      <w:r>
        <w:rPr>
          <w:rFonts w:eastAsiaTheme="minorEastAsia"/>
          <w:bCs/>
          <w:color w:val="auto"/>
          <w:sz w:val="20"/>
          <w:szCs w:val="20"/>
        </w:rPr>
        <w:t>2. 公共必修课中的外语课程按入学时的外国语考试科目修读相关语种。</w:t>
      </w:r>
    </w:p>
    <w:p w14:paraId="5181F5F7">
      <w:pPr>
        <w:spacing w:line="440" w:lineRule="exact"/>
        <w:ind w:firstLine="200"/>
        <w:rPr>
          <w:rFonts w:eastAsiaTheme="minorEastAsia"/>
          <w:bCs/>
          <w:color w:val="auto"/>
          <w:sz w:val="20"/>
          <w:szCs w:val="20"/>
        </w:rPr>
      </w:pPr>
      <w:r>
        <w:rPr>
          <w:rFonts w:eastAsiaTheme="minorEastAsia"/>
          <w:bCs/>
          <w:color w:val="auto"/>
          <w:sz w:val="20"/>
          <w:szCs w:val="20"/>
        </w:rPr>
        <w:t>3. 公共通识课程为必选课程。</w:t>
      </w:r>
    </w:p>
    <w:p w14:paraId="47D08F3A">
      <w:pPr>
        <w:spacing w:line="440" w:lineRule="exact"/>
        <w:ind w:firstLine="200"/>
        <w:rPr>
          <w:rFonts w:eastAsiaTheme="minorEastAsia"/>
          <w:bCs/>
          <w:color w:val="auto"/>
          <w:sz w:val="20"/>
          <w:szCs w:val="20"/>
        </w:rPr>
      </w:pPr>
      <w:r>
        <w:rPr>
          <w:rFonts w:eastAsiaTheme="minorEastAsia"/>
          <w:bCs/>
          <w:color w:val="auto"/>
          <w:sz w:val="20"/>
          <w:szCs w:val="20"/>
        </w:rPr>
        <w:t>4. 学术/实践活动满10次计1学分</w:t>
      </w:r>
    </w:p>
    <w:p w14:paraId="56EF17E7">
      <w:pPr>
        <w:spacing w:line="440" w:lineRule="exact"/>
        <w:ind w:firstLine="200"/>
        <w:rPr>
          <w:rFonts w:eastAsiaTheme="minorEastAsia"/>
          <w:bCs/>
          <w:color w:val="auto"/>
          <w:sz w:val="20"/>
          <w:szCs w:val="20"/>
        </w:rPr>
      </w:pPr>
      <w:bookmarkStart w:id="7" w:name="_Hlk193054318"/>
      <w:r>
        <w:rPr>
          <w:rFonts w:eastAsiaTheme="minorEastAsia"/>
          <w:bCs/>
          <w:color w:val="auto"/>
          <w:sz w:val="20"/>
          <w:szCs w:val="20"/>
        </w:rPr>
        <w:t>5. 参加中国研究生创新实践系列大赛、中国国际大学生创新大赛、“挑战杯”全国大学生课外学术科技作品竞赛、及本学科专业内有较大影响力的竞赛（例如中医药经典等级考试三级）。获国家级各级奖励前5名计1学分，省级各级奖励前3名计0.5学分</w:t>
      </w:r>
      <w:bookmarkEnd w:id="7"/>
      <w:r>
        <w:rPr>
          <w:rFonts w:eastAsiaTheme="minorEastAsia"/>
          <w:bCs/>
          <w:color w:val="auto"/>
          <w:sz w:val="20"/>
          <w:szCs w:val="20"/>
        </w:rPr>
        <w:t>；中医药经典等级考试三级记1分。</w:t>
      </w:r>
    </w:p>
    <w:p w14:paraId="29BF4542">
      <w:pPr>
        <w:spacing w:line="440" w:lineRule="exact"/>
        <w:ind w:firstLine="200"/>
        <w:rPr>
          <w:rFonts w:eastAsiaTheme="minorEastAsia"/>
          <w:bCs/>
          <w:color w:val="auto"/>
          <w:sz w:val="20"/>
          <w:szCs w:val="20"/>
        </w:rPr>
      </w:pPr>
      <w:r>
        <w:rPr>
          <w:rFonts w:hint="eastAsia" w:eastAsiaTheme="minorEastAsia"/>
          <w:bCs/>
          <w:color w:val="auto"/>
          <w:sz w:val="20"/>
          <w:szCs w:val="20"/>
        </w:rPr>
        <w:t xml:space="preserve">6. </w:t>
      </w:r>
      <w:r>
        <w:rPr>
          <w:rFonts w:eastAsiaTheme="minorEastAsia"/>
          <w:bCs/>
          <w:color w:val="auto"/>
          <w:sz w:val="20"/>
          <w:szCs w:val="20"/>
        </w:rPr>
        <w:t>学生毕业总学分为：</w:t>
      </w:r>
      <w:r>
        <w:rPr>
          <w:rFonts w:eastAsiaTheme="minorEastAsia"/>
          <w:bCs/>
          <w:iCs/>
          <w:color w:val="auto"/>
          <w:sz w:val="20"/>
          <w:szCs w:val="20"/>
        </w:rPr>
        <w:t>学位课+非学位课+必修环节</w:t>
      </w:r>
      <w:r>
        <w:rPr>
          <w:rFonts w:eastAsiaTheme="minorEastAsia"/>
          <w:bCs/>
          <w:color w:val="auto"/>
          <w:sz w:val="20"/>
          <w:szCs w:val="20"/>
        </w:rPr>
        <w:t>。</w:t>
      </w:r>
    </w:p>
    <w:p w14:paraId="67C8736B">
      <w:pPr>
        <w:spacing w:before="156" w:beforeLines="50" w:line="360" w:lineRule="auto"/>
        <w:ind w:firstLine="560" w:firstLineChars="200"/>
        <w:rPr>
          <w:rFonts w:eastAsia="黑体"/>
          <w:bCs/>
          <w:color w:val="auto"/>
          <w:sz w:val="28"/>
          <w:szCs w:val="28"/>
        </w:rPr>
      </w:pPr>
      <w:r>
        <w:rPr>
          <w:rFonts w:eastAsia="黑体"/>
          <w:bCs/>
          <w:color w:val="auto"/>
          <w:sz w:val="28"/>
          <w:szCs w:val="28"/>
        </w:rPr>
        <w:t>十</w:t>
      </w:r>
      <w:r>
        <w:rPr>
          <w:rFonts w:hint="eastAsia" w:eastAsia="黑体"/>
          <w:bCs/>
          <w:color w:val="auto"/>
          <w:sz w:val="28"/>
          <w:szCs w:val="28"/>
        </w:rPr>
        <w:t>四</w:t>
      </w:r>
      <w:r>
        <w:rPr>
          <w:rFonts w:eastAsia="黑体"/>
          <w:bCs/>
          <w:color w:val="auto"/>
          <w:sz w:val="28"/>
          <w:szCs w:val="28"/>
        </w:rPr>
        <w:t>、其他需要说明事项</w:t>
      </w:r>
    </w:p>
    <w:p w14:paraId="2B82FF0C">
      <w:pPr>
        <w:spacing w:before="156" w:beforeLines="50" w:line="360" w:lineRule="auto"/>
        <w:ind w:firstLine="480" w:firstLineChars="200"/>
        <w:rPr>
          <w:rFonts w:eastAsiaTheme="minorEastAsia"/>
          <w:bCs/>
          <w:color w:val="auto"/>
          <w:sz w:val="24"/>
        </w:rPr>
      </w:pPr>
      <w:r>
        <w:rPr>
          <w:rFonts w:eastAsiaTheme="minorEastAsia"/>
          <w:bCs/>
          <w:color w:val="auto"/>
          <w:sz w:val="24"/>
        </w:rPr>
        <w:t>1. 非学位课中选修课模块</w:t>
      </w:r>
      <w:r>
        <w:rPr>
          <w:rFonts w:hint="eastAsia" w:eastAsiaTheme="minorEastAsia"/>
          <w:bCs/>
          <w:color w:val="auto"/>
          <w:sz w:val="24"/>
        </w:rPr>
        <w:t>不再分研究方向</w:t>
      </w:r>
      <w:r>
        <w:rPr>
          <w:rFonts w:eastAsiaTheme="minorEastAsia"/>
          <w:bCs/>
          <w:color w:val="auto"/>
          <w:sz w:val="24"/>
        </w:rPr>
        <w:t>设置</w:t>
      </w:r>
      <w:r>
        <w:rPr>
          <w:rFonts w:hint="eastAsia" w:eastAsiaTheme="minorEastAsia"/>
          <w:bCs/>
          <w:color w:val="auto"/>
          <w:sz w:val="24"/>
        </w:rPr>
        <w:t>课程</w:t>
      </w:r>
      <w:r>
        <w:rPr>
          <w:rFonts w:eastAsiaTheme="minorEastAsia"/>
          <w:bCs/>
          <w:color w:val="auto"/>
          <w:sz w:val="24"/>
        </w:rPr>
        <w:t>，选修学分要求</w:t>
      </w:r>
      <w:r>
        <w:rPr>
          <w:rFonts w:hint="eastAsia" w:eastAsiaTheme="minorEastAsia"/>
          <w:bCs/>
          <w:color w:val="auto"/>
          <w:sz w:val="24"/>
        </w:rPr>
        <w:t>≥3学分</w:t>
      </w:r>
      <w:r>
        <w:rPr>
          <w:rFonts w:eastAsiaTheme="minorEastAsia"/>
          <w:bCs/>
          <w:color w:val="auto"/>
          <w:sz w:val="24"/>
        </w:rPr>
        <w:t>。</w:t>
      </w:r>
    </w:p>
    <w:bookmarkEnd w:id="0"/>
    <w:bookmarkEnd w:id="1"/>
    <w:p w14:paraId="2E64BFAE">
      <w:pPr>
        <w:spacing w:before="156" w:beforeLines="50" w:line="360" w:lineRule="auto"/>
        <w:ind w:firstLine="480" w:firstLineChars="200"/>
        <w:rPr>
          <w:rFonts w:eastAsia="黑体"/>
          <w:bCs/>
          <w:color w:val="auto"/>
          <w:sz w:val="24"/>
        </w:rPr>
      </w:pPr>
      <w:r>
        <w:rPr>
          <w:rFonts w:eastAsiaTheme="minorEastAsia"/>
          <w:bCs/>
          <w:color w:val="auto"/>
          <w:sz w:val="24"/>
        </w:rPr>
        <w:t>2. 毕业总学分：</w:t>
      </w:r>
      <w:r>
        <w:rPr>
          <w:rFonts w:hint="eastAsia" w:eastAsiaTheme="minorEastAsia"/>
          <w:bCs/>
          <w:color w:val="auto"/>
          <w:sz w:val="24"/>
        </w:rPr>
        <w:t>学位课</w:t>
      </w:r>
      <w:r>
        <w:rPr>
          <w:rFonts w:eastAsiaTheme="minorEastAsia"/>
          <w:bCs/>
          <w:color w:val="auto"/>
          <w:sz w:val="24"/>
        </w:rPr>
        <w:t>+</w:t>
      </w:r>
      <w:r>
        <w:rPr>
          <w:rFonts w:hint="eastAsia" w:eastAsiaTheme="minorEastAsia"/>
          <w:bCs/>
          <w:color w:val="auto"/>
          <w:sz w:val="24"/>
        </w:rPr>
        <w:t>非学位课</w:t>
      </w:r>
      <w:r>
        <w:rPr>
          <w:rFonts w:eastAsiaTheme="minorEastAsia"/>
          <w:bCs/>
          <w:color w:val="auto"/>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A00002EF" w:usb1="4000004B" w:usb2="00000000" w:usb3="00000000" w:csb0="200000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DB39F3"/>
    <w:multiLevelType w:val="singleLevel"/>
    <w:tmpl w:val="B1DB39F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2D5"/>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479A"/>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0F6F7F"/>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37CC6"/>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242"/>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4A7"/>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1F2D"/>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1753"/>
    <w:rsid w:val="005A27CF"/>
    <w:rsid w:val="005A3159"/>
    <w:rsid w:val="005A411E"/>
    <w:rsid w:val="005A5206"/>
    <w:rsid w:val="005A62AC"/>
    <w:rsid w:val="005A746C"/>
    <w:rsid w:val="005A7529"/>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4E9"/>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8C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83"/>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482"/>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348A"/>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B7CD7"/>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0B30"/>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0680"/>
    <w:rsid w:val="009F1134"/>
    <w:rsid w:val="009F1A70"/>
    <w:rsid w:val="009F26E5"/>
    <w:rsid w:val="009F48B2"/>
    <w:rsid w:val="009F5E43"/>
    <w:rsid w:val="009F65B7"/>
    <w:rsid w:val="009F68A2"/>
    <w:rsid w:val="009F7492"/>
    <w:rsid w:val="009F74A9"/>
    <w:rsid w:val="009F7FA4"/>
    <w:rsid w:val="00A01B1A"/>
    <w:rsid w:val="00A01FA4"/>
    <w:rsid w:val="00A031A6"/>
    <w:rsid w:val="00A0323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5D8"/>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37D73"/>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2DD9"/>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875"/>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287"/>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1D8"/>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49A4"/>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271"/>
    <w:rsid w:val="00FE6A1E"/>
    <w:rsid w:val="00FE6B2A"/>
    <w:rsid w:val="00FE7F66"/>
    <w:rsid w:val="00FF0343"/>
    <w:rsid w:val="00FF0CF7"/>
    <w:rsid w:val="00FF1F8D"/>
    <w:rsid w:val="00FF2D9D"/>
    <w:rsid w:val="00FF40BB"/>
    <w:rsid w:val="00FF5CED"/>
    <w:rsid w:val="00FF7300"/>
    <w:rsid w:val="00FF735B"/>
    <w:rsid w:val="027C350B"/>
    <w:rsid w:val="04F44364"/>
    <w:rsid w:val="06EE1B44"/>
    <w:rsid w:val="09385CE0"/>
    <w:rsid w:val="0A157CFC"/>
    <w:rsid w:val="0A5922DF"/>
    <w:rsid w:val="0FCB3577"/>
    <w:rsid w:val="17C801CA"/>
    <w:rsid w:val="1FE96C05"/>
    <w:rsid w:val="208C3828"/>
    <w:rsid w:val="20EB4B3E"/>
    <w:rsid w:val="241B373E"/>
    <w:rsid w:val="279B588D"/>
    <w:rsid w:val="287C56BE"/>
    <w:rsid w:val="28CB5646"/>
    <w:rsid w:val="2C226971"/>
    <w:rsid w:val="2D54611B"/>
    <w:rsid w:val="2F120B2A"/>
    <w:rsid w:val="309B4EB5"/>
    <w:rsid w:val="322A7F4D"/>
    <w:rsid w:val="36557C1C"/>
    <w:rsid w:val="44292BC5"/>
    <w:rsid w:val="453E0AF9"/>
    <w:rsid w:val="45975322"/>
    <w:rsid w:val="45E71F50"/>
    <w:rsid w:val="4C0514DD"/>
    <w:rsid w:val="4D0D20C8"/>
    <w:rsid w:val="518A40F8"/>
    <w:rsid w:val="5385202A"/>
    <w:rsid w:val="54E21BE8"/>
    <w:rsid w:val="5730129E"/>
    <w:rsid w:val="5CB83372"/>
    <w:rsid w:val="64252A00"/>
    <w:rsid w:val="71565BFB"/>
    <w:rsid w:val="76133EA1"/>
    <w:rsid w:val="76992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10</Pages>
  <Words>7283</Words>
  <Characters>7516</Characters>
  <Lines>54</Lines>
  <Paragraphs>15</Paragraphs>
  <TotalTime>8</TotalTime>
  <ScaleCrop>false</ScaleCrop>
  <LinksUpToDate>false</LinksUpToDate>
  <CharactersWithSpaces>7540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秋</cp:lastModifiedBy>
  <cp:lastPrinted>2025-04-25T07:29:00Z</cp:lastPrinted>
  <dcterms:modified xsi:type="dcterms:W3CDTF">2025-06-19T11:09:59Z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eyJoZGlkIjoiMDllMjFiNjgwN2I4NWQ3OTlmODBmOTcxZjVmZjY0YjUiLCJ1c2VySWQiOiI0MzkxNjk0MDIifQ==</vt:lpwstr>
  </property>
  <property fmtid="{D5CDD505-2E9C-101B-9397-08002B2CF9AE}" pid="4" name="ICV">
    <vt:lpwstr>899F770444894E7BB620E1C90344F24D_13</vt:lpwstr>
  </property>
</Properties>
</file>