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9B265">
      <w:pPr>
        <w:ind w:left="321" w:leftChars="153" w:right="227"/>
        <w:jc w:val="center"/>
        <w:rPr>
          <w:rFonts w:eastAsia="黑体"/>
          <w:b/>
          <w:bCs/>
          <w:sz w:val="32"/>
          <w:szCs w:val="32"/>
        </w:rPr>
      </w:pPr>
      <w:r>
        <w:rPr>
          <w:rFonts w:hint="eastAsia" w:eastAsia="黑体"/>
          <w:b/>
          <w:bCs/>
          <w:iCs/>
          <w:sz w:val="32"/>
          <w:szCs w:val="32"/>
          <w:u w:val="single"/>
        </w:rPr>
        <w:t>仪器科学与技术</w:t>
      </w:r>
      <w:r>
        <w:rPr>
          <w:rFonts w:eastAsia="黑体"/>
          <w:b/>
          <w:bCs/>
          <w:sz w:val="32"/>
          <w:szCs w:val="32"/>
        </w:rPr>
        <w:t>专业学术学位博士研究生培养方案</w:t>
      </w:r>
    </w:p>
    <w:p w14:paraId="66578117">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质量技术监督</w:t>
      </w:r>
      <w:r>
        <w:rPr>
          <w:rFonts w:eastAsia="黑体"/>
          <w:b/>
          <w:bCs/>
          <w:sz w:val="28"/>
          <w:szCs w:val="28"/>
        </w:rPr>
        <w:t>学院)</w:t>
      </w:r>
    </w:p>
    <w:p w14:paraId="2CCDB804">
      <w:pPr>
        <w:spacing w:line="360" w:lineRule="auto"/>
        <w:ind w:firstLine="560"/>
        <w:rPr>
          <w:rFonts w:eastAsia="黑体"/>
          <w:bCs/>
          <w:sz w:val="28"/>
          <w:szCs w:val="28"/>
        </w:rPr>
      </w:pPr>
      <w:r>
        <w:rPr>
          <w:rFonts w:eastAsia="黑体"/>
          <w:bCs/>
          <w:sz w:val="28"/>
          <w:szCs w:val="28"/>
        </w:rPr>
        <w:t>一、专业名称、代码</w:t>
      </w:r>
    </w:p>
    <w:p w14:paraId="6EFA50D4">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仪器科学与技术</w:t>
      </w:r>
    </w:p>
    <w:p w14:paraId="49E6DE1D">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080400</w:t>
      </w:r>
    </w:p>
    <w:p w14:paraId="7BF0119D">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2A3F4540">
      <w:pPr>
        <w:spacing w:line="360" w:lineRule="auto"/>
        <w:ind w:firstLine="480" w:firstLineChars="200"/>
        <w:rPr>
          <w:rFonts w:eastAsiaTheme="minorEastAsia"/>
          <w:sz w:val="24"/>
        </w:rPr>
      </w:pPr>
      <w:r>
        <w:rPr>
          <w:rFonts w:hint="eastAsia" w:eastAsiaTheme="minorEastAsia"/>
          <w:sz w:val="24"/>
        </w:rPr>
        <w:t>仪器科学与技术学科是为人类认识自然现象，发现自然规律提供科学手段，为人类健康、环境安全以及生产和社会活动法制化提供物质技术保障的一个跨学科、知识密集和技术密集的综合性学科。</w:t>
      </w:r>
    </w:p>
    <w:p w14:paraId="76AC4943">
      <w:pPr>
        <w:spacing w:line="360" w:lineRule="auto"/>
        <w:ind w:firstLine="480" w:firstLineChars="200"/>
        <w:rPr>
          <w:rFonts w:eastAsiaTheme="minorEastAsia"/>
          <w:sz w:val="24"/>
        </w:rPr>
      </w:pPr>
      <w:r>
        <w:rPr>
          <w:rFonts w:hint="eastAsia" w:eastAsiaTheme="minorEastAsia"/>
          <w:sz w:val="24"/>
        </w:rPr>
        <w:t>本学科始建于1984年，2006年获测试计量技术及仪器二级硕士学位点，2010年获仪器科学与技术一级硕士学位点、仪器仪表工程专业硕士学位点，2018年获仪器科学与技术一级博士学位点，2019年获批博士后科研流动站。</w:t>
      </w:r>
    </w:p>
    <w:p w14:paraId="3616FCC2">
      <w:pPr>
        <w:spacing w:line="360" w:lineRule="auto"/>
        <w:ind w:firstLine="480" w:firstLineChars="200"/>
        <w:rPr>
          <w:rFonts w:eastAsiaTheme="minorEastAsia"/>
          <w:sz w:val="24"/>
        </w:rPr>
      </w:pPr>
      <w:r>
        <w:rPr>
          <w:rFonts w:hint="eastAsia" w:eastAsiaTheme="minorEastAsia"/>
          <w:sz w:val="24"/>
        </w:rPr>
        <w:t>本学科是面向国家质量基础领域高端人才培养的仪器科学领域的国内最具特色学科之一。围绕国家质量基础（计量、检验检测、标准、认证认可）需求及学科内涵，重点开设测试计量理论及传感器、无损检测技术及仪器、食品药品计量检测及标准化、精密仪器与智能机械装备</w:t>
      </w:r>
      <w:r>
        <w:rPr>
          <w:rFonts w:eastAsiaTheme="minorEastAsia"/>
          <w:sz w:val="24"/>
        </w:rPr>
        <w:t>4</w:t>
      </w:r>
      <w:r>
        <w:rPr>
          <w:rFonts w:hint="eastAsia" w:eastAsiaTheme="minorEastAsia"/>
          <w:sz w:val="24"/>
        </w:rPr>
        <w:t>个研究方向，形成了计量、质量控制、标准、智能制造协调发展的学科体系；围绕现代计量测试理论及传感器技术开展前沿技术研究；围绕计量科学仪器及检验检测方法的创新开展应用研究，具有鲜明的质检行业特色。</w:t>
      </w:r>
    </w:p>
    <w:p w14:paraId="7E645B46">
      <w:pPr>
        <w:spacing w:line="360" w:lineRule="auto"/>
        <w:ind w:firstLine="560" w:firstLineChars="200"/>
        <w:rPr>
          <w:rFonts w:eastAsia="黑体"/>
          <w:bCs/>
          <w:sz w:val="28"/>
          <w:szCs w:val="28"/>
        </w:rPr>
      </w:pPr>
      <w:r>
        <w:rPr>
          <w:rFonts w:eastAsia="黑体"/>
          <w:bCs/>
          <w:sz w:val="28"/>
          <w:szCs w:val="28"/>
        </w:rPr>
        <w:t>三、研究方向</w:t>
      </w:r>
    </w:p>
    <w:p w14:paraId="20C5F627">
      <w:pPr>
        <w:spacing w:line="360" w:lineRule="auto"/>
        <w:ind w:firstLine="480" w:firstLineChars="200"/>
        <w:rPr>
          <w:rFonts w:eastAsiaTheme="minorEastAsia"/>
          <w:sz w:val="24"/>
        </w:rPr>
      </w:pPr>
      <w:r>
        <w:rPr>
          <w:rFonts w:hint="eastAsia" w:eastAsiaTheme="minorEastAsia"/>
          <w:sz w:val="24"/>
        </w:rPr>
        <w:t>1.测试计量理论及传感器</w:t>
      </w:r>
    </w:p>
    <w:p w14:paraId="3288A636">
      <w:pPr>
        <w:spacing w:line="360" w:lineRule="auto"/>
        <w:ind w:firstLine="480" w:firstLineChars="200"/>
        <w:rPr>
          <w:rFonts w:eastAsiaTheme="minorEastAsia"/>
          <w:sz w:val="24"/>
        </w:rPr>
      </w:pPr>
      <w:r>
        <w:rPr>
          <w:rFonts w:hint="eastAsia" w:eastAsiaTheme="minorEastAsia"/>
          <w:sz w:val="24"/>
        </w:rPr>
        <w:t>本方向围绕国家计量发展规划提出的重要方向，结合最新产业及技术发展需求，重点开展物理参数的准确计量及仪器设计理论和实际工程问题研究，包括测量不确定度理论、新型智能传感器、智能计量仪器、量值传递与溯源，以及结合工业互联网与人工智能的智慧计量系统研究等内容。针对工业及民生领域的复杂计量测试问题，研究新型传感器及计量方法。以计量学、静态与动态测量不确定度理论为基础，运用传感器、微处理器及仪器设计等技术研究高准确度传感器，构建基于计量物联网的现代计量测试系统以及检定与校准系统，本方向培养理论基础扎实、具有计量思维，能够独立解决热工领域、远程计量、碳计量等复杂工程问题的高层次工程技术人才。</w:t>
      </w:r>
    </w:p>
    <w:p w14:paraId="4361E2DD">
      <w:pPr>
        <w:spacing w:line="360" w:lineRule="auto"/>
        <w:ind w:firstLine="480" w:firstLineChars="200"/>
        <w:rPr>
          <w:rFonts w:eastAsiaTheme="minorEastAsia"/>
          <w:sz w:val="24"/>
        </w:rPr>
      </w:pPr>
      <w:r>
        <w:rPr>
          <w:rFonts w:hint="eastAsia" w:eastAsiaTheme="minorEastAsia"/>
          <w:sz w:val="24"/>
        </w:rPr>
        <w:t>2.无损检测技术及仪器</w:t>
      </w:r>
    </w:p>
    <w:p w14:paraId="198EAC0B">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本方向</w:t>
      </w:r>
      <w:r>
        <w:rPr>
          <w:rFonts w:hint="eastAsia" w:eastAsiaTheme="minorEastAsia"/>
          <w:sz w:val="24"/>
        </w:rPr>
        <w:t>立足国家质量基础（NQI）需求，</w:t>
      </w:r>
      <w:r>
        <w:rPr>
          <w:rFonts w:hint="eastAsia" w:asciiTheme="minorEastAsia" w:hAnsiTheme="minorEastAsia" w:eastAsiaTheme="minorEastAsia"/>
          <w:sz w:val="24"/>
        </w:rPr>
        <w:t>围绕国家特种设备及</w:t>
      </w:r>
      <w:r>
        <w:rPr>
          <w:rFonts w:hint="eastAsia" w:eastAsiaTheme="minorEastAsia"/>
          <w:sz w:val="24"/>
        </w:rPr>
        <w:t>航天、核电等重大工程装备的</w:t>
      </w:r>
      <w:r>
        <w:rPr>
          <w:rFonts w:hint="eastAsia" w:asciiTheme="minorEastAsia" w:hAnsiTheme="minorEastAsia" w:eastAsiaTheme="minorEastAsia"/>
          <w:sz w:val="24"/>
        </w:rPr>
        <w:t>安全性能检验检测需求，对复合材料及其结构、特种设备结构及无损检测技术等方面进行深入、系统的研究与探讨。在系统掌握超声成像检测、声发射检测、红外热成像检测、太赫兹检测、电磁层析成像等先进无损检测技术手段的基础上，利用小波分析、聚类分析、人工神经网络、深度学习等信号处理方法，实现典型缺陷的精确定位和类型识别；结合断裂力学理论和失效分析技术，对特种设备、复合材料结构体系进行完整性和安全性评价。本方向致力于培养具有无损检测专业基础扎实、理论功底深厚、实践能力强</w:t>
      </w:r>
      <w:r>
        <w:rPr>
          <w:rFonts w:hint="eastAsia" w:eastAsiaTheme="minorEastAsia"/>
          <w:sz w:val="24"/>
        </w:rPr>
        <w:t>且具有“科技报国、精益求精”工匠精神的</w:t>
      </w:r>
      <w:r>
        <w:rPr>
          <w:rFonts w:hint="eastAsia" w:asciiTheme="minorEastAsia" w:hAnsiTheme="minorEastAsia" w:eastAsiaTheme="minorEastAsia"/>
          <w:sz w:val="24"/>
        </w:rPr>
        <w:t>高层次工程技术人才。</w:t>
      </w:r>
    </w:p>
    <w:p w14:paraId="432365F8">
      <w:pPr>
        <w:spacing w:line="360" w:lineRule="auto"/>
        <w:ind w:firstLine="480" w:firstLineChars="200"/>
        <w:rPr>
          <w:rFonts w:eastAsiaTheme="minorEastAsia"/>
          <w:sz w:val="24"/>
        </w:rPr>
      </w:pPr>
      <w:r>
        <w:rPr>
          <w:rFonts w:hint="eastAsia" w:eastAsiaTheme="minorEastAsia"/>
          <w:sz w:val="24"/>
        </w:rPr>
        <w:t>3.食品药品检测技术及标准化</w:t>
      </w:r>
    </w:p>
    <w:p w14:paraId="0DCF8D42">
      <w:pPr>
        <w:spacing w:line="360" w:lineRule="auto"/>
        <w:ind w:firstLine="480" w:firstLineChars="200"/>
        <w:rPr>
          <w:rFonts w:eastAsiaTheme="minorEastAsia"/>
          <w:sz w:val="24"/>
        </w:rPr>
      </w:pPr>
      <w:r>
        <w:rPr>
          <w:rFonts w:hint="eastAsia" w:eastAsiaTheme="minorEastAsia"/>
          <w:sz w:val="24"/>
        </w:rPr>
        <w:t>本方向围绕国家食品药品质量与安全领域中计量检测、数智化检测及标准化体系建设的需求，重点在食品药品质量标准化检测方法及仪器、食品药品生产及质量管理、食品药品原产地鉴别方法等领域展开研究，具有鲜明的质量管控特色。以分析化学和质量管理学为基础，融合统计学、计量学、计算机科学、电子信息学、人工智能、传感器技术等学科知识，在食品药品违禁成分痕量分析及仪器开发、食药质量控制关键技术、地理标志产品原产地溯源方法等特色研究课题中展开实训，培养一批基础扎实、视野开阔的食品药品质量管控领域专业人才。</w:t>
      </w:r>
    </w:p>
    <w:p w14:paraId="30A42D0F">
      <w:pPr>
        <w:spacing w:line="360" w:lineRule="auto"/>
        <w:ind w:firstLine="480" w:firstLineChars="200"/>
        <w:rPr>
          <w:rFonts w:eastAsiaTheme="minorEastAsia"/>
          <w:sz w:val="24"/>
        </w:rPr>
      </w:pPr>
      <w:r>
        <w:rPr>
          <w:rFonts w:eastAsiaTheme="minorEastAsia"/>
          <w:sz w:val="24"/>
        </w:rPr>
        <w:t>4.</w:t>
      </w:r>
      <w:r>
        <w:rPr>
          <w:rFonts w:hint="eastAsia" w:eastAsiaTheme="minorEastAsia"/>
          <w:sz w:val="24"/>
        </w:rPr>
        <w:t>精密仪器与智能机械装备</w:t>
      </w:r>
    </w:p>
    <w:p w14:paraId="4BC7A148">
      <w:pPr>
        <w:spacing w:line="360" w:lineRule="auto"/>
        <w:ind w:firstLine="480" w:firstLineChars="200"/>
        <w:rPr>
          <w:rFonts w:eastAsiaTheme="minorEastAsia"/>
          <w:i/>
          <w:color w:val="FF0000"/>
          <w:sz w:val="24"/>
        </w:rPr>
      </w:pPr>
      <w:r>
        <w:rPr>
          <w:rFonts w:hint="eastAsia" w:eastAsiaTheme="minorEastAsia"/>
          <w:sz w:val="24"/>
        </w:rPr>
        <w:t>本方向围绕国家对于精密仪器和智能机械装备的需求，以现代精密机械产品设计和人工智能理论为基础。在系统掌握智能感知理论、成像原理、最优化原理、智能结构设计、机器视觉等理论和技术的基础上，重点研究人工智能先进理论在智能机械装备中的应用，研究车辆系统动力学及汽车安全检测与控制理论和方法，研究大容量电池材料及其检测设备，探究其容量衰减机理与检测技术，研究智能辅助医疗诊断的理论和方法，研究机械构件的力学性能及其可靠性理论和检测技术。致力于培养机械与产品设计理论基础扎实，科研能力强，且掌握精密机械及其检测领域的前沿技术的研究应用型人才。</w:t>
      </w:r>
    </w:p>
    <w:p w14:paraId="7779E2EF">
      <w:pPr>
        <w:spacing w:line="360" w:lineRule="auto"/>
        <w:ind w:firstLine="560" w:firstLineChars="200"/>
        <w:rPr>
          <w:rFonts w:eastAsia="黑体"/>
          <w:bCs/>
          <w:sz w:val="28"/>
          <w:szCs w:val="28"/>
        </w:rPr>
      </w:pPr>
      <w:r>
        <w:rPr>
          <w:rFonts w:eastAsia="黑体"/>
          <w:bCs/>
          <w:sz w:val="28"/>
          <w:szCs w:val="28"/>
        </w:rPr>
        <w:t>四、学制及学习年限</w:t>
      </w:r>
    </w:p>
    <w:p w14:paraId="5A694EBF">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30D7CF3F">
      <w:pPr>
        <w:spacing w:line="360" w:lineRule="auto"/>
        <w:ind w:firstLine="560" w:firstLineChars="200"/>
        <w:rPr>
          <w:rFonts w:eastAsia="黑体"/>
          <w:bCs/>
          <w:sz w:val="28"/>
          <w:szCs w:val="28"/>
        </w:rPr>
      </w:pPr>
      <w:r>
        <w:rPr>
          <w:rFonts w:eastAsia="黑体"/>
          <w:bCs/>
          <w:sz w:val="28"/>
          <w:szCs w:val="28"/>
        </w:rPr>
        <w:t>五、培养目标</w:t>
      </w:r>
    </w:p>
    <w:p w14:paraId="6350505A">
      <w:pPr>
        <w:spacing w:line="360" w:lineRule="auto"/>
        <w:ind w:firstLine="480"/>
        <w:rPr>
          <w:rFonts w:eastAsiaTheme="minorEastAsia"/>
          <w:iCs/>
          <w:sz w:val="24"/>
        </w:rPr>
      </w:pPr>
      <w:r>
        <w:rPr>
          <w:rFonts w:eastAsiaTheme="minorEastAsia"/>
          <w:iCs/>
          <w:sz w:val="24"/>
        </w:rPr>
        <w:t>1.树立正确的中国特色社会主义核心价值观，具有坚定的理想信念，高尚的道德情操，优良的学术作风，高度的社会责任感</w:t>
      </w:r>
      <w:r>
        <w:rPr>
          <w:rFonts w:hint="eastAsia" w:eastAsiaTheme="minorEastAsia"/>
          <w:sz w:val="24"/>
        </w:rPr>
        <w:t>，努力借助于本学科知识服务于科技进步和社会发展</w:t>
      </w:r>
      <w:r>
        <w:rPr>
          <w:rFonts w:eastAsiaTheme="minorEastAsia"/>
          <w:iCs/>
          <w:sz w:val="24"/>
        </w:rPr>
        <w:t>。</w:t>
      </w:r>
    </w:p>
    <w:p w14:paraId="32B0B3D5">
      <w:pPr>
        <w:spacing w:line="360" w:lineRule="auto"/>
        <w:ind w:firstLine="480"/>
        <w:rPr>
          <w:rFonts w:eastAsiaTheme="minorEastAsia"/>
          <w:iCs/>
          <w:sz w:val="24"/>
        </w:rPr>
      </w:pPr>
      <w:r>
        <w:rPr>
          <w:rFonts w:eastAsiaTheme="minorEastAsia"/>
          <w:iCs/>
          <w:sz w:val="24"/>
        </w:rPr>
        <w:t>2.在本学科或者专业领域掌握坚实全面的基础理论和系统深入的专门知识</w:t>
      </w:r>
      <w:r>
        <w:rPr>
          <w:rFonts w:hint="eastAsia" w:eastAsiaTheme="minorEastAsia"/>
          <w:sz w:val="24"/>
        </w:rPr>
        <w:t>（包括测量方法学的概念、基本原理及运用，传感器理论与技术，仪器工程学与测控系统工程学，信号、图像和信息处理理论与技术，测量误差理论与数据处理技术，计量学的概念、基本原理及应用，人工智能技术原理及应用、机电装备健康管理与预测等）</w:t>
      </w:r>
      <w:bookmarkStart w:id="0" w:name="OLE_LINK4"/>
      <w:bookmarkStart w:id="1" w:name="OLE_LINK3"/>
      <w:r>
        <w:rPr>
          <w:rFonts w:hint="eastAsia" w:eastAsiaTheme="minorEastAsia"/>
          <w:iCs/>
          <w:sz w:val="24"/>
        </w:rPr>
        <w:t>，</w:t>
      </w:r>
      <w:r>
        <w:rPr>
          <w:rFonts w:eastAsiaTheme="minorEastAsia"/>
          <w:iCs/>
          <w:sz w:val="24"/>
        </w:rPr>
        <w:t>具有独立从事学术研究工作的能力，</w:t>
      </w:r>
      <w:r>
        <w:rPr>
          <w:rFonts w:hint="eastAsia" w:eastAsiaTheme="minorEastAsia"/>
          <w:sz w:val="24"/>
        </w:rPr>
        <w:t>以追求科学真理，崇尚科学精神为己任，坚持自主创新和实验验证的科研理念，掌握科学的研究方法，熟悉学科前沿研究领域，具备独立从事高水平科研和解决实际工程问题的能力，</w:t>
      </w:r>
      <w:r>
        <w:rPr>
          <w:rFonts w:eastAsiaTheme="minorEastAsia"/>
          <w:iCs/>
          <w:sz w:val="24"/>
        </w:rPr>
        <w:t>在学术研究领域做出创新性成果。</w:t>
      </w:r>
      <w:bookmarkEnd w:id="0"/>
      <w:bookmarkEnd w:id="1"/>
    </w:p>
    <w:p w14:paraId="3A739E38">
      <w:pPr>
        <w:spacing w:line="360" w:lineRule="auto"/>
        <w:ind w:firstLine="480"/>
        <w:rPr>
          <w:rFonts w:eastAsiaTheme="minorEastAsia"/>
          <w:iCs/>
          <w:sz w:val="24"/>
        </w:rPr>
      </w:pPr>
      <w:r>
        <w:rPr>
          <w:rFonts w:eastAsiaTheme="minorEastAsia"/>
          <w:iCs/>
          <w:sz w:val="24"/>
        </w:rPr>
        <w:t>3.至少掌握一门外国语，能熟练阅读本专业的外文资料，具有撰写学术论文和进行国际学术交流的能力。</w:t>
      </w:r>
    </w:p>
    <w:p w14:paraId="74E45857">
      <w:pPr>
        <w:spacing w:line="360" w:lineRule="auto"/>
        <w:ind w:firstLine="480"/>
        <w:rPr>
          <w:rFonts w:eastAsiaTheme="minorEastAsia"/>
          <w:iCs/>
          <w:sz w:val="24"/>
        </w:rPr>
      </w:pPr>
      <w:r>
        <w:rPr>
          <w:rFonts w:eastAsiaTheme="minorEastAsia"/>
          <w:iCs/>
          <w:sz w:val="24"/>
        </w:rPr>
        <w:t>4.具有良好的团队意识和团队合作精神。</w:t>
      </w:r>
    </w:p>
    <w:p w14:paraId="0690E630">
      <w:pPr>
        <w:spacing w:line="360" w:lineRule="auto"/>
        <w:ind w:firstLine="480"/>
        <w:rPr>
          <w:rFonts w:eastAsiaTheme="minorEastAsia"/>
          <w:iCs/>
          <w:sz w:val="24"/>
        </w:rPr>
      </w:pPr>
      <w:r>
        <w:rPr>
          <w:rFonts w:eastAsiaTheme="minorEastAsia"/>
          <w:iCs/>
          <w:sz w:val="24"/>
        </w:rPr>
        <w:t>5.具有良好的心理素养。</w:t>
      </w:r>
    </w:p>
    <w:p w14:paraId="50CC4372">
      <w:pPr>
        <w:spacing w:line="360" w:lineRule="auto"/>
        <w:ind w:firstLine="480"/>
        <w:rPr>
          <w:rFonts w:eastAsiaTheme="minorEastAsia"/>
          <w:iCs/>
          <w:sz w:val="24"/>
        </w:rPr>
      </w:pPr>
      <w:r>
        <w:rPr>
          <w:rFonts w:eastAsiaTheme="minorEastAsia"/>
          <w:iCs/>
          <w:sz w:val="24"/>
        </w:rPr>
        <w:t>6.培养德智体美劳全面发展的社会主义事业接班人。</w:t>
      </w:r>
    </w:p>
    <w:p w14:paraId="5A4C20BF">
      <w:pPr>
        <w:spacing w:line="360" w:lineRule="auto"/>
        <w:ind w:firstLine="560" w:firstLineChars="200"/>
        <w:rPr>
          <w:rFonts w:eastAsia="黑体"/>
          <w:bCs/>
          <w:sz w:val="28"/>
          <w:szCs w:val="28"/>
        </w:rPr>
      </w:pPr>
      <w:r>
        <w:rPr>
          <w:rFonts w:hint="eastAsia" w:eastAsia="黑体"/>
          <w:bCs/>
          <w:sz w:val="28"/>
          <w:szCs w:val="28"/>
        </w:rPr>
        <w:t>六、培养方式</w:t>
      </w:r>
    </w:p>
    <w:p w14:paraId="0D890980">
      <w:pPr>
        <w:spacing w:line="360" w:lineRule="auto"/>
        <w:ind w:firstLine="480" w:firstLineChars="200"/>
        <w:rPr>
          <w:rFonts w:asciiTheme="minorEastAsia" w:hAnsiTheme="minorEastAsia" w:eastAsiaTheme="minorEastAsia"/>
          <w:bCs/>
          <w:iCs/>
          <w:sz w:val="24"/>
        </w:rPr>
      </w:pPr>
      <w:r>
        <w:rPr>
          <w:rFonts w:hint="eastAsia" w:asciiTheme="minorEastAsia" w:hAnsiTheme="minorEastAsia" w:eastAsiaTheme="minorEastAsia"/>
          <w:bCs/>
          <w:iCs/>
          <w:sz w:val="24"/>
        </w:rPr>
        <w:t>本学科博士研究生培养实行导师负责下的博士生指导小组制，导师指导与集体培养相结合，体现学科的综合优势和学术群体作用。充分发挥中国计量科学研究院、中国特种设备检测研究院、河北省计量监督检测研究院等科研院所培养基地的强势作用，提高研究生联系实际、解决实际问题的能力。</w:t>
      </w:r>
    </w:p>
    <w:p w14:paraId="50EB5A67">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博士研究生采取全脱产培养方式，深度对接国家质量基础（计量、检验检测、标准、认证认可）需求，具体内容如下：</w:t>
      </w:r>
    </w:p>
    <w:p w14:paraId="025B4BED">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特色导向的导师协同机制：博士研究生培养以导师负责制为核心，导师作为第一责任人，全面把控培养质量。组建由计量、检验检测、标准等领域权威专家及行业骨干构成的指导小组，提供精准化指导。导师结合国家质量基础领域重大需求，指导研究生制定课程学习计划，夯实仪器科学与技术学科专业基础，并在学位论文选题、开题、撰写等环节，融入仪器行业实践与学科前沿动态，将严谨求实的治学态度与精益求精的工匠精神贯穿培养全程。</w:t>
      </w:r>
    </w:p>
    <w:p w14:paraId="28E5E6E1">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多维融合的培养体系：构建“国家质量基础理论+仪器行业实践+学科前沿创新”三位一体的培养体系。在理论教学层面，围绕学科内涵，要求研究生系统掌握现代计量测试理论等核心知识，形成计量检测、仪器设计研发、智能制造协调发展的知识架构；在科研实践环节，依托质检行业重点实验室与产学研合作平台，针对不同研究方向，开展高精度传感器研发、无损检测新技术应用、食品药品检测标准制定、智能机械装备质量优化等项目实践，熟练运用各类计量科学仪器与检验检测方法，提升专业技术能力；通过理论与实践的深度融合，培养研究生独立开展面向国家质量基础领域的科学研究能力，以及解决仪器行业复杂工程问题的专业素养。</w:t>
      </w:r>
    </w:p>
    <w:p w14:paraId="2992F79E">
      <w:pPr>
        <w:spacing w:line="360" w:lineRule="auto"/>
        <w:ind w:firstLine="480" w:firstLineChars="200"/>
        <w:rPr>
          <w:rFonts w:hint="eastAsia" w:asciiTheme="minorEastAsia" w:hAnsiTheme="minorEastAsia" w:eastAsiaTheme="minorEastAsia"/>
          <w:bCs/>
          <w:i/>
          <w:color w:val="FF0000"/>
          <w:sz w:val="24"/>
        </w:rPr>
      </w:pPr>
      <w:r>
        <w:rPr>
          <w:rFonts w:hint="eastAsia" w:asciiTheme="minorEastAsia" w:hAnsiTheme="minorEastAsia" w:eastAsiaTheme="minorEastAsia"/>
          <w:bCs/>
          <w:iCs/>
          <w:sz w:val="24"/>
        </w:rPr>
        <w:t>双轨驱动的创新能力培育：以国家质量基础需求为导向，从前沿技术与应用研究双轨并行培养研究生创新能力。在前沿技术研究方面，聚焦现代计量测试理论及传感器技术，鼓励研究生探索新型传感原理、高精度测量仪器研发等前沿课题；在应用研究领域，围绕计量科学仪器及检验检测方法创新，开展仪器智能化升级、快速检测技术开发等实践。同时，在科研与实践中践行工匠精神，助力其成长为适应仪器行业发展需求的高端专业人才。</w:t>
      </w:r>
    </w:p>
    <w:p w14:paraId="2EF8F259">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D36FB68">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0965A965">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DC8A89C">
      <w:pPr>
        <w:widowControl/>
        <w:spacing w:line="360" w:lineRule="auto"/>
        <w:ind w:firstLine="480"/>
        <w:jc w:val="left"/>
        <w:rPr>
          <w:i/>
          <w:color w:val="FF0000"/>
          <w:kern w:val="0"/>
          <w:sz w:val="18"/>
          <w:szCs w:val="18"/>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〔2025〕9号</w:t>
      </w:r>
      <w:r>
        <w:rPr>
          <w:color w:val="000000" w:themeColor="text1"/>
          <w:kern w:val="0"/>
          <w:sz w:val="24"/>
          <w14:textFill>
            <w14:solidFill>
              <w14:schemeClr w14:val="tx1"/>
            </w14:solidFill>
          </w14:textFill>
        </w:rPr>
        <w:t>）规定，博士研究生论文开题与答辩时间间隔原则上不少于18个月。</w:t>
      </w:r>
      <w:r>
        <w:rPr>
          <w:iCs/>
          <w:kern w:val="0"/>
          <w:sz w:val="24"/>
        </w:rPr>
        <w:t>学位（毕业）论文应当表明作者</w:t>
      </w:r>
      <w:r>
        <w:rPr>
          <w:rFonts w:eastAsiaTheme="minorEastAsia"/>
          <w:iCs/>
          <w:sz w:val="24"/>
        </w:rPr>
        <w:t>具有独立从事学术研究工作的能力</w:t>
      </w:r>
      <w:r>
        <w:rPr>
          <w:rFonts w:hint="eastAsia" w:eastAsiaTheme="minorEastAsia"/>
          <w:iCs/>
          <w:sz w:val="24"/>
        </w:rPr>
        <w:t>，</w:t>
      </w:r>
      <w:r>
        <w:rPr>
          <w:rFonts w:eastAsiaTheme="minorEastAsia"/>
          <w:iCs/>
          <w:sz w:val="24"/>
        </w:rPr>
        <w:t>在学术研究领域做出创新性成果。</w:t>
      </w:r>
      <w:r>
        <w:rPr>
          <w:rFonts w:hint="eastAsia" w:eastAsiaTheme="minorEastAsia"/>
          <w:iCs/>
          <w:sz w:val="24"/>
        </w:rPr>
        <w:t>学位论文选题应从学科特点出发，选择在测量与仪器学科领域有重要学术价值，对科技水平提升、国民经济建设和社会发展以及国家安全等方面有重要应用价值的题目进行研究。选题既可侧重学术研究型或应用研究型，也可兼顾学术研究和应用研究并重型，应体现学科领域的前沿性和先进性。</w:t>
      </w:r>
    </w:p>
    <w:p w14:paraId="2888EB78">
      <w:pPr>
        <w:widowControl/>
        <w:spacing w:line="360" w:lineRule="auto"/>
        <w:ind w:firstLine="480"/>
        <w:jc w:val="left"/>
        <w:rPr>
          <w:iCs/>
          <w:kern w:val="0"/>
          <w:sz w:val="24"/>
        </w:rPr>
      </w:pPr>
      <w:r>
        <w:rPr>
          <w:bCs/>
          <w:color w:val="222222"/>
          <w:kern w:val="0"/>
          <w:sz w:val="24"/>
        </w:rPr>
        <w:t>2.开题：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r>
        <w:rPr>
          <w:rFonts w:hint="eastAsia"/>
          <w:iCs/>
          <w:kern w:val="0"/>
          <w:sz w:val="24"/>
        </w:rPr>
        <w:t>具体参照</w:t>
      </w:r>
      <w:r>
        <w:rPr>
          <w:iCs/>
          <w:kern w:val="0"/>
          <w:sz w:val="24"/>
        </w:rPr>
        <w:t>河北大学</w:t>
      </w:r>
      <w:r>
        <w:rPr>
          <w:rFonts w:hint="eastAsia"/>
          <w:iCs/>
          <w:kern w:val="0"/>
          <w:sz w:val="24"/>
        </w:rPr>
        <w:t>博士</w:t>
      </w:r>
      <w:r>
        <w:rPr>
          <w:iCs/>
          <w:kern w:val="0"/>
          <w:sz w:val="24"/>
        </w:rPr>
        <w:t>研究生开题报告相关要求</w:t>
      </w:r>
      <w:r>
        <w:rPr>
          <w:rFonts w:hint="eastAsia"/>
          <w:iCs/>
          <w:kern w:val="0"/>
          <w:sz w:val="24"/>
        </w:rPr>
        <w:t>执行。</w:t>
      </w:r>
    </w:p>
    <w:p w14:paraId="56F78DDB">
      <w:pPr>
        <w:widowControl/>
        <w:spacing w:line="360" w:lineRule="auto"/>
        <w:ind w:firstLine="480"/>
        <w:jc w:val="left"/>
        <w:rPr>
          <w:iCs/>
          <w:kern w:val="0"/>
          <w:sz w:val="18"/>
          <w:szCs w:val="18"/>
        </w:rPr>
      </w:pPr>
      <w:r>
        <w:rPr>
          <w:iCs/>
          <w:kern w:val="0"/>
          <w:sz w:val="24"/>
        </w:rPr>
        <w:t>原则上在入学后第</w:t>
      </w:r>
      <w:r>
        <w:rPr>
          <w:rFonts w:hint="eastAsia"/>
          <w:iCs/>
          <w:kern w:val="0"/>
          <w:sz w:val="24"/>
          <w:lang w:val="en-US" w:eastAsia="zh-CN"/>
        </w:rPr>
        <w:t>3</w:t>
      </w:r>
      <w:r>
        <w:rPr>
          <w:iCs/>
          <w:kern w:val="0"/>
          <w:sz w:val="24"/>
        </w:rPr>
        <w:t>学期（最迟不超过第</w:t>
      </w:r>
      <w:r>
        <w:rPr>
          <w:rFonts w:hint="eastAsia"/>
          <w:iCs/>
          <w:kern w:val="0"/>
          <w:sz w:val="24"/>
          <w:lang w:val="en-US" w:eastAsia="zh-CN"/>
        </w:rPr>
        <w:t>4</w:t>
      </w:r>
      <w:r>
        <w:rPr>
          <w:iCs/>
          <w:kern w:val="0"/>
          <w:sz w:val="24"/>
        </w:rPr>
        <w:t>学期）完成开题。开题由3-5名具有正高级专业技术职务人员参加，以学术报告的方式进行。</w:t>
      </w:r>
    </w:p>
    <w:p w14:paraId="68B4E019">
      <w:pPr>
        <w:widowControl/>
        <w:spacing w:line="360" w:lineRule="auto"/>
        <w:ind w:firstLine="480"/>
        <w:jc w:val="left"/>
        <w:rPr>
          <w:iCs/>
          <w:kern w:val="0"/>
          <w:sz w:val="24"/>
        </w:rPr>
      </w:pPr>
      <w:r>
        <w:rPr>
          <w:bCs/>
          <w:color w:val="222222"/>
          <w:kern w:val="0"/>
          <w:sz w:val="24"/>
        </w:rPr>
        <w:t>3.中期进展报告：</w:t>
      </w:r>
      <w:r>
        <w:rPr>
          <w:iCs/>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8C63F2B">
      <w:pPr>
        <w:widowControl/>
        <w:spacing w:line="360" w:lineRule="auto"/>
        <w:ind w:firstLine="480" w:firstLineChars="200"/>
        <w:jc w:val="left"/>
        <w:rPr>
          <w:iCs/>
          <w:kern w:val="0"/>
          <w:sz w:val="24"/>
        </w:rPr>
      </w:pPr>
      <w:r>
        <w:rPr>
          <w:bCs/>
          <w:color w:val="222222"/>
          <w:kern w:val="0"/>
          <w:sz w:val="24"/>
        </w:rPr>
        <w:t>4.学位申请：</w:t>
      </w:r>
      <w:r>
        <w:rPr>
          <w:rFonts w:hint="eastAsia"/>
          <w:bCs/>
          <w:color w:val="222222"/>
          <w:kern w:val="0"/>
          <w:sz w:val="24"/>
        </w:rPr>
        <w:t>博士学位论文是博士研究生申请博士学位的论文，是研究生培养的组成部分，是对研究生进行科学研究或承担专门技术工作的全面训练，是培养研究生创新能力，综合运用所学知识发现问题、分析问题和解决问题的主要环节。</w:t>
      </w:r>
      <w:r>
        <w:rPr>
          <w:iCs/>
          <w:kern w:val="0"/>
          <w:sz w:val="24"/>
        </w:rPr>
        <w:t>达到学位授予条件的申请人，经导师同意后，应于答辩前三个月，向所属学位评定分委员会提出学位申请，提交学位申请材料。</w:t>
      </w:r>
      <w:r>
        <w:rPr>
          <w:rFonts w:hint="eastAsia"/>
          <w:iCs/>
          <w:kern w:val="0"/>
          <w:sz w:val="24"/>
        </w:rPr>
        <w:t>经学院审查通过后，可进入学位申请流程。学位申请未通过者，须至少半年后才能再次提交学位申请。</w:t>
      </w:r>
    </w:p>
    <w:p w14:paraId="76650878">
      <w:pPr>
        <w:widowControl/>
        <w:spacing w:line="360" w:lineRule="auto"/>
        <w:ind w:firstLine="480"/>
        <w:jc w:val="left"/>
        <w:rPr>
          <w:iCs/>
          <w:kern w:val="0"/>
          <w:sz w:val="24"/>
        </w:rPr>
      </w:pPr>
      <w:r>
        <w:rPr>
          <w:iCs/>
          <w:kern w:val="0"/>
          <w:sz w:val="24"/>
        </w:rPr>
        <w:t>5.预答辩：学位申请人须进行学位论文预答辩。预答辩通过者，方可进入学位论文评阅、学位论文答辩等环节。学位（毕业）论文预答辩在正式答辩前3个月进行。</w:t>
      </w:r>
      <w:r>
        <w:rPr>
          <w:rFonts w:hint="eastAsia"/>
          <w:iCs/>
          <w:kern w:val="0"/>
          <w:sz w:val="24"/>
        </w:rPr>
        <w:t>具体实施按照《关于进一步加强研究生学位申请及学位论文预答辩工作的通知》执行。</w:t>
      </w:r>
    </w:p>
    <w:p w14:paraId="7682D207">
      <w:pPr>
        <w:widowControl/>
        <w:spacing w:line="360" w:lineRule="auto"/>
        <w:ind w:firstLine="480"/>
        <w:jc w:val="left"/>
        <w:rPr>
          <w:color w:val="222222"/>
          <w:kern w:val="0"/>
          <w:sz w:val="24"/>
        </w:rPr>
      </w:pPr>
      <w:r>
        <w:rPr>
          <w:bCs/>
          <w:color w:val="222222"/>
          <w:kern w:val="0"/>
          <w:sz w:val="24"/>
        </w:rPr>
        <w:t>6.论文评阅：</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42BF2D89">
      <w:pPr>
        <w:widowControl/>
        <w:spacing w:line="360" w:lineRule="auto"/>
        <w:ind w:firstLine="48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2594B8C5">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079A382C">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5B963E2">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sz w:val="24"/>
        </w:rPr>
        <w:t>于15</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2次</w:t>
      </w:r>
      <w:r>
        <w:rPr>
          <w:rFonts w:eastAsiaTheme="minorEastAsia"/>
          <w:color w:val="000000"/>
          <w:sz w:val="24"/>
        </w:rPr>
        <w:t>。</w:t>
      </w:r>
    </w:p>
    <w:p w14:paraId="235B0B40">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1989C18A">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7769BDE7">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6FE309C6">
      <w:pPr>
        <w:spacing w:line="360" w:lineRule="auto"/>
        <w:ind w:firstLine="480" w:firstLineChars="200"/>
        <w:rPr>
          <w:rFonts w:eastAsiaTheme="minorEastAsia"/>
          <w:bCs/>
          <w:sz w:val="24"/>
        </w:rPr>
      </w:pPr>
      <w:r>
        <w:rPr>
          <w:rFonts w:hint="eastAsia" w:eastAsiaTheme="minorEastAsia"/>
          <w:bCs/>
          <w:sz w:val="24"/>
        </w:rPr>
        <w:t>博士学位论文的成果应具有创新性。理论性成果的创新性或新颖性应有能与之相参照或相对比的国际上的重要文献作为佐证，其创新性理论或方法应能在国内外有影响力的刊物上发表。技术性成果的创新性或新颖性应有能与之相参照或相对比的国际或中国发明专利作为佐证，其创新性方法与装置可申请中外发明专利。创新性研究成果应能产生新颖性、新效应和新效果。理论性创新成果应具有重要的学术价值，可解决测量科学或仪器科学中的重要问题；技术性创新成果应具有重要的实用价值，可解决工程中的重要测量问题或仪器研制与生产中的重要问题。创新性研究成果应通过实验加以验证。创新性成果按照《河北大学质量技术监督学院关于研究生申请学位取得创新性成果的规定》执行。</w:t>
      </w:r>
    </w:p>
    <w:p w14:paraId="28375F72">
      <w:pPr>
        <w:spacing w:line="360" w:lineRule="auto"/>
        <w:ind w:firstLine="560" w:firstLineChars="200"/>
        <w:rPr>
          <w:rFonts w:eastAsia="黑体"/>
          <w:bCs/>
          <w:sz w:val="28"/>
          <w:szCs w:val="28"/>
        </w:rPr>
      </w:pPr>
      <w:r>
        <w:rPr>
          <w:rFonts w:eastAsia="黑体"/>
          <w:bCs/>
          <w:sz w:val="28"/>
          <w:szCs w:val="28"/>
        </w:rPr>
        <w:t>十一、学位授予</w:t>
      </w:r>
    </w:p>
    <w:p w14:paraId="4C37D3A1">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color w:val="222222"/>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77576FD5">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32324D45">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18</w:t>
      </w:r>
      <w:r>
        <w:rPr>
          <w:rFonts w:eastAsiaTheme="minorEastAsia"/>
          <w:sz w:val="24"/>
        </w:rPr>
        <w:t>分，其中学位课</w:t>
      </w:r>
      <w:r>
        <w:rPr>
          <w:rFonts w:hint="eastAsia" w:eastAsiaTheme="minorEastAsia"/>
          <w:sz w:val="24"/>
        </w:rPr>
        <w:t>13</w:t>
      </w:r>
      <w:r>
        <w:rPr>
          <w:rFonts w:eastAsiaTheme="minorEastAsia"/>
          <w:sz w:val="24"/>
        </w:rPr>
        <w:t>学分，非学位课</w:t>
      </w:r>
      <w:r>
        <w:rPr>
          <w:rFonts w:hint="eastAsia" w:eastAsiaTheme="minorEastAsia"/>
          <w:sz w:val="24"/>
        </w:rPr>
        <w:t>4</w:t>
      </w:r>
      <w:r>
        <w:rPr>
          <w:rFonts w:eastAsiaTheme="minorEastAsia"/>
          <w:sz w:val="24"/>
        </w:rPr>
        <w:t>学分，必修环节</w:t>
      </w:r>
      <w:r>
        <w:rPr>
          <w:rFonts w:hint="eastAsia" w:eastAsiaTheme="minorEastAsia"/>
          <w:sz w:val="24"/>
        </w:rPr>
        <w:t>1</w:t>
      </w:r>
      <w:r>
        <w:rPr>
          <w:rFonts w:eastAsiaTheme="minorEastAsia"/>
          <w:sz w:val="24"/>
        </w:rPr>
        <w:t>分。</w:t>
      </w:r>
    </w:p>
    <w:p w14:paraId="3DA0E73B">
      <w:pPr>
        <w:spacing w:line="360" w:lineRule="auto"/>
        <w:rPr>
          <w:color w:val="FF0000"/>
          <w:sz w:val="24"/>
        </w:rPr>
      </w:pPr>
      <w:r>
        <w:rPr>
          <w:rFonts w:eastAsiaTheme="minorEastAsia"/>
          <w:color w:val="000000"/>
          <w:sz w:val="24"/>
        </w:rPr>
        <w:t xml:space="preserve">    课程考试不设补考环节，</w:t>
      </w:r>
      <w:r>
        <w:rPr>
          <w:color w:val="000000"/>
          <w:sz w:val="24"/>
        </w:rPr>
        <w:t>考试成绩低于60分的需重修。</w:t>
      </w:r>
    </w:p>
    <w:p w14:paraId="17DA4537">
      <w:pPr>
        <w:spacing w:line="360" w:lineRule="auto"/>
        <w:ind w:firstLine="480"/>
        <w:rPr>
          <w:rFonts w:eastAsiaTheme="minorEastAsia"/>
          <w:b/>
          <w:bCs/>
          <w:sz w:val="24"/>
        </w:rPr>
      </w:pPr>
      <w:r>
        <w:rPr>
          <w:rFonts w:hint="eastAsia" w:eastAsiaTheme="minorEastAsia"/>
          <w:color w:val="000000"/>
          <w:sz w:val="24"/>
        </w:rPr>
        <w:t>课程考核方式包括考试和考查，</w:t>
      </w:r>
      <w:r>
        <w:rPr>
          <w:rFonts w:eastAsiaTheme="minorEastAsia"/>
          <w:color w:val="000000"/>
          <w:sz w:val="24"/>
        </w:rPr>
        <w:t>可以采用口试、笔试或写读书报告、论文的形式。无论采取何种</w:t>
      </w:r>
      <w:r>
        <w:rPr>
          <w:rFonts w:hint="eastAsia" w:eastAsiaTheme="minorEastAsia"/>
          <w:color w:val="000000"/>
          <w:sz w:val="24"/>
        </w:rPr>
        <w:t>考核</w:t>
      </w:r>
      <w:r>
        <w:rPr>
          <w:rFonts w:eastAsiaTheme="minorEastAsia"/>
          <w:color w:val="000000"/>
          <w:sz w:val="24"/>
        </w:rPr>
        <w:t>方式，均应能真实反映学生对所学</w:t>
      </w:r>
      <w:r>
        <w:rPr>
          <w:rFonts w:hint="eastAsia" w:eastAsiaTheme="minorEastAsia"/>
          <w:color w:val="000000"/>
          <w:sz w:val="24"/>
        </w:rPr>
        <w:t>知识</w:t>
      </w:r>
      <w:r>
        <w:rPr>
          <w:rFonts w:eastAsiaTheme="minorEastAsia"/>
          <w:color w:val="000000"/>
          <w:sz w:val="24"/>
        </w:rPr>
        <w:t>掌握的程度及运用知识的能力，成绩均按百分制成绩评定。</w:t>
      </w:r>
    </w:p>
    <w:p w14:paraId="6919088F">
      <w:pPr>
        <w:spacing w:after="156" w:afterLines="50" w:line="440" w:lineRule="exact"/>
        <w:ind w:firstLine="482" w:firstLineChars="200"/>
        <w:jc w:val="center"/>
        <w:rPr>
          <w:rFonts w:eastAsiaTheme="minorEastAsia"/>
          <w:b/>
          <w:bCs/>
          <w:sz w:val="24"/>
        </w:rPr>
      </w:pPr>
      <w:r>
        <w:rPr>
          <w:rFonts w:hint="eastAsia" w:eastAsiaTheme="minorEastAsia"/>
          <w:b/>
          <w:bCs/>
          <w:sz w:val="24"/>
        </w:rPr>
        <w:t>仪器科学与技术</w:t>
      </w:r>
      <w:r>
        <w:rPr>
          <w:rFonts w:eastAsiaTheme="minorEastAsia"/>
          <w:b/>
          <w:bCs/>
          <w:sz w:val="24"/>
        </w:rPr>
        <w:t>专业学术学位博士研究生课程及培养环节设置一览表</w:t>
      </w:r>
    </w:p>
    <w:tbl>
      <w:tblPr>
        <w:tblStyle w:val="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54"/>
        <w:gridCol w:w="636"/>
        <w:gridCol w:w="709"/>
        <w:gridCol w:w="1045"/>
      </w:tblGrid>
      <w:tr w14:paraId="18786C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1115CC5D">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E15B7E7">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154" w:type="dxa"/>
            <w:vAlign w:val="center"/>
          </w:tcPr>
          <w:p w14:paraId="32C4169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636" w:type="dxa"/>
            <w:vAlign w:val="center"/>
          </w:tcPr>
          <w:p w14:paraId="163EC8E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4E4D2120">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3D2B6573">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2B2B87D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31342468">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p w14:paraId="1B34AD30">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13学分</w:t>
            </w:r>
          </w:p>
        </w:tc>
        <w:tc>
          <w:tcPr>
            <w:tcW w:w="1226" w:type="dxa"/>
            <w:vMerge w:val="restart"/>
            <w:vAlign w:val="center"/>
          </w:tcPr>
          <w:p w14:paraId="61F5E9E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1C5FB3E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41E1D814">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154" w:type="dxa"/>
            <w:vAlign w:val="center"/>
          </w:tcPr>
          <w:p w14:paraId="02B8B5C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636" w:type="dxa"/>
            <w:vAlign w:val="center"/>
          </w:tcPr>
          <w:p w14:paraId="193B3FA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2AA2D53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A2D1A4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723DC5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0DD7388">
            <w:pPr>
              <w:jc w:val="center"/>
              <w:rPr>
                <w:b/>
                <w:color w:val="000000" w:themeColor="text1"/>
                <w:sz w:val="18"/>
                <w:szCs w:val="18"/>
                <w14:textFill>
                  <w14:solidFill>
                    <w14:schemeClr w14:val="tx1"/>
                  </w14:solidFill>
                </w14:textFill>
              </w:rPr>
            </w:pPr>
          </w:p>
        </w:tc>
        <w:tc>
          <w:tcPr>
            <w:tcW w:w="1226" w:type="dxa"/>
            <w:vMerge w:val="continue"/>
            <w:vAlign w:val="center"/>
          </w:tcPr>
          <w:p w14:paraId="20191BAE">
            <w:pPr>
              <w:jc w:val="center"/>
              <w:rPr>
                <w:b/>
                <w:color w:val="000000" w:themeColor="text1"/>
                <w:sz w:val="18"/>
                <w:szCs w:val="18"/>
                <w14:textFill>
                  <w14:solidFill>
                    <w14:schemeClr w14:val="tx1"/>
                  </w14:solidFill>
                </w14:textFill>
              </w:rPr>
            </w:pPr>
          </w:p>
        </w:tc>
        <w:tc>
          <w:tcPr>
            <w:tcW w:w="3516" w:type="dxa"/>
            <w:vAlign w:val="center"/>
          </w:tcPr>
          <w:p w14:paraId="5D7A199C">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154" w:type="dxa"/>
            <w:vAlign w:val="center"/>
          </w:tcPr>
          <w:p w14:paraId="7C93C6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636" w:type="dxa"/>
            <w:vAlign w:val="center"/>
          </w:tcPr>
          <w:p w14:paraId="3A7ADBB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6EE61C3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7C2BDA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513F4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FDAE355">
            <w:pPr>
              <w:jc w:val="center"/>
              <w:rPr>
                <w:b/>
                <w:color w:val="000000" w:themeColor="text1"/>
                <w:sz w:val="18"/>
                <w:szCs w:val="18"/>
                <w14:textFill>
                  <w14:solidFill>
                    <w14:schemeClr w14:val="tx1"/>
                  </w14:solidFill>
                </w14:textFill>
              </w:rPr>
            </w:pPr>
          </w:p>
        </w:tc>
        <w:tc>
          <w:tcPr>
            <w:tcW w:w="1226" w:type="dxa"/>
            <w:vMerge w:val="restart"/>
            <w:vAlign w:val="center"/>
          </w:tcPr>
          <w:p w14:paraId="745F304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30A5250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516" w:type="dxa"/>
            <w:vAlign w:val="center"/>
          </w:tcPr>
          <w:p w14:paraId="0B224E2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154" w:type="dxa"/>
            <w:vAlign w:val="center"/>
          </w:tcPr>
          <w:p w14:paraId="1739A723">
            <w:pPr>
              <w:jc w:val="center"/>
              <w:rPr>
                <w:rFonts w:hint="default" w:eastAsia="宋体"/>
                <w:i/>
                <w:color w:val="FF0000"/>
                <w:sz w:val="18"/>
                <w:szCs w:val="18"/>
                <w:lang w:val="en-US" w:eastAsia="zh-CN"/>
              </w:rPr>
            </w:pPr>
            <w:r>
              <w:rPr>
                <w:rFonts w:hint="eastAsia"/>
                <w:color w:val="000000" w:themeColor="text1"/>
                <w:sz w:val="18"/>
                <w:szCs w:val="18"/>
                <w14:textFill>
                  <w14:solidFill>
                    <w14:schemeClr w14:val="tx1"/>
                  </w14:solidFill>
                </w14:textFill>
              </w:rPr>
              <w:t>XB15050</w:t>
            </w:r>
            <w:r>
              <w:rPr>
                <w:rFonts w:hint="eastAsia"/>
                <w:color w:val="000000" w:themeColor="text1"/>
                <w:sz w:val="18"/>
                <w:szCs w:val="18"/>
                <w:lang w:val="en-US" w:eastAsia="zh-CN"/>
                <w14:textFill>
                  <w14:solidFill>
                    <w14:schemeClr w14:val="tx1"/>
                  </w14:solidFill>
                </w14:textFill>
              </w:rPr>
              <w:t>06</w:t>
            </w:r>
          </w:p>
        </w:tc>
        <w:tc>
          <w:tcPr>
            <w:tcW w:w="636" w:type="dxa"/>
            <w:vAlign w:val="center"/>
          </w:tcPr>
          <w:p w14:paraId="32B85002">
            <w:pPr>
              <w:jc w:val="center"/>
              <w:rPr>
                <w:color w:val="FF0000"/>
              </w:rPr>
            </w:pPr>
            <w:r>
              <w:rPr>
                <w:rFonts w:hint="eastAsia"/>
                <w:color w:val="000000" w:themeColor="text1"/>
                <w:sz w:val="18"/>
                <w:szCs w:val="18"/>
                <w14:textFill>
                  <w14:solidFill>
                    <w14:schemeClr w14:val="tx1"/>
                  </w14:solidFill>
                </w14:textFill>
              </w:rPr>
              <w:t>1</w:t>
            </w:r>
          </w:p>
        </w:tc>
        <w:tc>
          <w:tcPr>
            <w:tcW w:w="709" w:type="dxa"/>
            <w:vAlign w:val="center"/>
          </w:tcPr>
          <w:p w14:paraId="26C8A89A">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5BB24B87">
            <w:pPr>
              <w:jc w:val="center"/>
              <w:rPr>
                <w:i/>
                <w:color w:val="FF0000"/>
                <w:sz w:val="18"/>
                <w:szCs w:val="18"/>
              </w:rPr>
            </w:pPr>
            <w:r>
              <w:rPr>
                <w:rFonts w:hint="eastAsia"/>
                <w:color w:val="000000" w:themeColor="text1"/>
                <w:sz w:val="18"/>
                <w:szCs w:val="18"/>
                <w14:textFill>
                  <w14:solidFill>
                    <w14:schemeClr w14:val="tx1"/>
                  </w14:solidFill>
                </w14:textFill>
              </w:rPr>
              <w:t>考查</w:t>
            </w:r>
          </w:p>
        </w:tc>
      </w:tr>
      <w:tr w14:paraId="7F0D5D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358ED45">
            <w:pPr>
              <w:jc w:val="center"/>
              <w:rPr>
                <w:b/>
                <w:color w:val="000000" w:themeColor="text1"/>
                <w:sz w:val="18"/>
                <w:szCs w:val="18"/>
                <w14:textFill>
                  <w14:solidFill>
                    <w14:schemeClr w14:val="tx1"/>
                  </w14:solidFill>
                </w14:textFill>
              </w:rPr>
            </w:pPr>
          </w:p>
        </w:tc>
        <w:tc>
          <w:tcPr>
            <w:tcW w:w="1226" w:type="dxa"/>
            <w:vMerge w:val="continue"/>
            <w:vAlign w:val="center"/>
          </w:tcPr>
          <w:p w14:paraId="47F5476E">
            <w:pPr>
              <w:jc w:val="center"/>
              <w:rPr>
                <w:b/>
                <w:color w:val="000000" w:themeColor="text1"/>
                <w:sz w:val="18"/>
                <w:szCs w:val="18"/>
                <w14:textFill>
                  <w14:solidFill>
                    <w14:schemeClr w14:val="tx1"/>
                  </w14:solidFill>
                </w14:textFill>
              </w:rPr>
            </w:pPr>
          </w:p>
        </w:tc>
        <w:tc>
          <w:tcPr>
            <w:tcW w:w="3516" w:type="dxa"/>
            <w:vAlign w:val="center"/>
          </w:tcPr>
          <w:p w14:paraId="31EADB3D">
            <w:pPr>
              <w:rPr>
                <w:color w:val="FF0000"/>
                <w:sz w:val="18"/>
                <w:szCs w:val="18"/>
              </w:rPr>
            </w:pPr>
            <w:r>
              <w:rPr>
                <w:rFonts w:hint="eastAsia"/>
                <w:color w:val="000000" w:themeColor="text1"/>
                <w:sz w:val="18"/>
                <w:szCs w:val="18"/>
                <w14:textFill>
                  <w14:solidFill>
                    <w14:schemeClr w14:val="tx1"/>
                  </w14:solidFill>
                </w14:textFill>
              </w:rPr>
              <w:t>微纳器件与系统</w:t>
            </w:r>
          </w:p>
        </w:tc>
        <w:tc>
          <w:tcPr>
            <w:tcW w:w="1154" w:type="dxa"/>
            <w:vAlign w:val="center"/>
          </w:tcPr>
          <w:p w14:paraId="3E7AD7E9">
            <w:pPr>
              <w:jc w:val="center"/>
              <w:rPr>
                <w:color w:val="FF0000"/>
                <w:sz w:val="18"/>
                <w:szCs w:val="18"/>
              </w:rPr>
            </w:pPr>
            <w:r>
              <w:rPr>
                <w:rFonts w:hint="eastAsia"/>
                <w:color w:val="000000" w:themeColor="text1"/>
                <w:sz w:val="18"/>
                <w:szCs w:val="18"/>
                <w14:textFill>
                  <w14:solidFill>
                    <w14:schemeClr w14:val="tx1"/>
                  </w14:solidFill>
                </w14:textFill>
              </w:rPr>
              <w:t>XB1505002</w:t>
            </w:r>
          </w:p>
        </w:tc>
        <w:tc>
          <w:tcPr>
            <w:tcW w:w="636" w:type="dxa"/>
            <w:vAlign w:val="center"/>
          </w:tcPr>
          <w:p w14:paraId="0D64A49C">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23DD4361">
            <w:pPr>
              <w:jc w:val="center"/>
              <w:rPr>
                <w:color w:val="FF0000"/>
              </w:rPr>
            </w:pPr>
            <w:r>
              <w:rPr>
                <w:rFonts w:hint="eastAsia"/>
                <w:color w:val="000000" w:themeColor="text1"/>
                <w:sz w:val="18"/>
                <w:szCs w:val="18"/>
                <w14:textFill>
                  <w14:solidFill>
                    <w14:schemeClr w14:val="tx1"/>
                  </w14:solidFill>
                </w14:textFill>
              </w:rPr>
              <w:t>1</w:t>
            </w:r>
          </w:p>
        </w:tc>
        <w:tc>
          <w:tcPr>
            <w:tcW w:w="1045" w:type="dxa"/>
            <w:vAlign w:val="center"/>
          </w:tcPr>
          <w:p w14:paraId="600E74AC">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5B3EA2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60C0EB3">
            <w:pPr>
              <w:jc w:val="center"/>
              <w:rPr>
                <w:b/>
                <w:color w:val="000000" w:themeColor="text1"/>
                <w:sz w:val="18"/>
                <w:szCs w:val="18"/>
                <w14:textFill>
                  <w14:solidFill>
                    <w14:schemeClr w14:val="tx1"/>
                  </w14:solidFill>
                </w14:textFill>
              </w:rPr>
            </w:pPr>
          </w:p>
        </w:tc>
        <w:tc>
          <w:tcPr>
            <w:tcW w:w="1226" w:type="dxa"/>
            <w:vMerge w:val="continue"/>
            <w:vAlign w:val="center"/>
          </w:tcPr>
          <w:p w14:paraId="2022174C">
            <w:pPr>
              <w:jc w:val="center"/>
              <w:rPr>
                <w:b/>
                <w:color w:val="000000" w:themeColor="text1"/>
                <w:sz w:val="18"/>
                <w:szCs w:val="18"/>
                <w14:textFill>
                  <w14:solidFill>
                    <w14:schemeClr w14:val="tx1"/>
                  </w14:solidFill>
                </w14:textFill>
              </w:rPr>
            </w:pPr>
          </w:p>
        </w:tc>
        <w:tc>
          <w:tcPr>
            <w:tcW w:w="3516" w:type="dxa"/>
            <w:vAlign w:val="center"/>
          </w:tcPr>
          <w:p w14:paraId="749C6EC0">
            <w:r>
              <w:rPr>
                <w:rFonts w:hint="eastAsia"/>
                <w:color w:val="000000" w:themeColor="text1"/>
                <w:sz w:val="18"/>
                <w:szCs w:val="18"/>
                <w14:textFill>
                  <w14:solidFill>
                    <w14:schemeClr w14:val="tx1"/>
                  </w14:solidFill>
                </w14:textFill>
              </w:rPr>
              <w:t>成像技术</w:t>
            </w:r>
          </w:p>
        </w:tc>
        <w:tc>
          <w:tcPr>
            <w:tcW w:w="1154" w:type="dxa"/>
            <w:vAlign w:val="center"/>
          </w:tcPr>
          <w:p w14:paraId="41A8F947">
            <w:pPr>
              <w:jc w:val="center"/>
              <w:rPr>
                <w:color w:val="FF0000"/>
                <w:sz w:val="18"/>
                <w:szCs w:val="18"/>
              </w:rPr>
            </w:pPr>
            <w:r>
              <w:rPr>
                <w:rFonts w:hint="eastAsia"/>
                <w:color w:val="000000" w:themeColor="text1"/>
                <w:sz w:val="18"/>
                <w:szCs w:val="18"/>
                <w14:textFill>
                  <w14:solidFill>
                    <w14:schemeClr w14:val="tx1"/>
                  </w14:solidFill>
                </w14:textFill>
              </w:rPr>
              <w:t>XB1505003</w:t>
            </w:r>
          </w:p>
        </w:tc>
        <w:tc>
          <w:tcPr>
            <w:tcW w:w="636" w:type="dxa"/>
            <w:vAlign w:val="center"/>
          </w:tcPr>
          <w:p w14:paraId="5C9BC67D">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632D8FFE">
            <w:pPr>
              <w:jc w:val="center"/>
              <w:rPr>
                <w:color w:val="FF0000"/>
              </w:rPr>
            </w:pPr>
            <w:r>
              <w:rPr>
                <w:rFonts w:hint="eastAsia"/>
                <w:color w:val="000000" w:themeColor="text1"/>
                <w:sz w:val="18"/>
                <w:szCs w:val="18"/>
                <w14:textFill>
                  <w14:solidFill>
                    <w14:schemeClr w14:val="tx1"/>
                  </w14:solidFill>
                </w14:textFill>
              </w:rPr>
              <w:t>1</w:t>
            </w:r>
          </w:p>
        </w:tc>
        <w:tc>
          <w:tcPr>
            <w:tcW w:w="1045" w:type="dxa"/>
          </w:tcPr>
          <w:p w14:paraId="3BA59A6A">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6369CE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02D4086">
            <w:pPr>
              <w:jc w:val="center"/>
              <w:rPr>
                <w:b/>
                <w:color w:val="000000" w:themeColor="text1"/>
                <w:sz w:val="18"/>
                <w:szCs w:val="18"/>
                <w14:textFill>
                  <w14:solidFill>
                    <w14:schemeClr w14:val="tx1"/>
                  </w14:solidFill>
                </w14:textFill>
              </w:rPr>
            </w:pPr>
          </w:p>
        </w:tc>
        <w:tc>
          <w:tcPr>
            <w:tcW w:w="1226" w:type="dxa"/>
            <w:vMerge w:val="restart"/>
            <w:vAlign w:val="center"/>
          </w:tcPr>
          <w:p w14:paraId="2A4B35E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F02553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05E08E0F">
            <w:r>
              <w:rPr>
                <w:rFonts w:hint="eastAsia"/>
                <w:color w:val="000000" w:themeColor="text1"/>
                <w:sz w:val="18"/>
                <w:szCs w:val="18"/>
                <w14:textFill>
                  <w14:solidFill>
                    <w14:schemeClr w14:val="tx1"/>
                  </w14:solidFill>
                </w14:textFill>
              </w:rPr>
              <w:t>智能感知与自主系统</w:t>
            </w:r>
          </w:p>
        </w:tc>
        <w:tc>
          <w:tcPr>
            <w:tcW w:w="1154" w:type="dxa"/>
            <w:vAlign w:val="center"/>
          </w:tcPr>
          <w:p w14:paraId="7CB5468A">
            <w:pPr>
              <w:jc w:val="center"/>
              <w:rPr>
                <w:color w:val="FF0000"/>
                <w:sz w:val="18"/>
                <w:szCs w:val="18"/>
              </w:rPr>
            </w:pPr>
            <w:r>
              <w:rPr>
                <w:rFonts w:hint="eastAsia"/>
                <w:color w:val="000000" w:themeColor="text1"/>
                <w:sz w:val="18"/>
                <w:szCs w:val="18"/>
                <w14:textFill>
                  <w14:solidFill>
                    <w14:schemeClr w14:val="tx1"/>
                  </w14:solidFill>
                </w14:textFill>
              </w:rPr>
              <w:t>XB1505004</w:t>
            </w:r>
          </w:p>
        </w:tc>
        <w:tc>
          <w:tcPr>
            <w:tcW w:w="636" w:type="dxa"/>
            <w:vAlign w:val="center"/>
          </w:tcPr>
          <w:p w14:paraId="3E95897D">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05032B67">
            <w:pPr>
              <w:jc w:val="center"/>
              <w:rPr>
                <w:color w:val="FF0000"/>
              </w:rPr>
            </w:pPr>
            <w:r>
              <w:rPr>
                <w:rFonts w:hint="eastAsia"/>
                <w:color w:val="000000" w:themeColor="text1"/>
                <w:sz w:val="18"/>
                <w:szCs w:val="18"/>
                <w14:textFill>
                  <w14:solidFill>
                    <w14:schemeClr w14:val="tx1"/>
                  </w14:solidFill>
                </w14:textFill>
              </w:rPr>
              <w:t>1</w:t>
            </w:r>
          </w:p>
        </w:tc>
        <w:tc>
          <w:tcPr>
            <w:tcW w:w="1045" w:type="dxa"/>
          </w:tcPr>
          <w:p w14:paraId="06F3849F">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045C44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1B8AC21">
            <w:pPr>
              <w:jc w:val="center"/>
              <w:rPr>
                <w:b/>
                <w:color w:val="000000" w:themeColor="text1"/>
                <w:sz w:val="18"/>
                <w:szCs w:val="18"/>
                <w14:textFill>
                  <w14:solidFill>
                    <w14:schemeClr w14:val="tx1"/>
                  </w14:solidFill>
                </w14:textFill>
              </w:rPr>
            </w:pPr>
          </w:p>
        </w:tc>
        <w:tc>
          <w:tcPr>
            <w:tcW w:w="1226" w:type="dxa"/>
            <w:vMerge w:val="continue"/>
            <w:vAlign w:val="center"/>
          </w:tcPr>
          <w:p w14:paraId="78532BA6">
            <w:pPr>
              <w:jc w:val="center"/>
              <w:rPr>
                <w:b/>
                <w:color w:val="000000" w:themeColor="text1"/>
                <w:sz w:val="18"/>
                <w:szCs w:val="18"/>
                <w14:textFill>
                  <w14:solidFill>
                    <w14:schemeClr w14:val="tx1"/>
                  </w14:solidFill>
                </w14:textFill>
              </w:rPr>
            </w:pPr>
          </w:p>
        </w:tc>
        <w:tc>
          <w:tcPr>
            <w:tcW w:w="3516" w:type="dxa"/>
            <w:vAlign w:val="center"/>
          </w:tcPr>
          <w:p w14:paraId="04B887DD">
            <w:pPr>
              <w:adjustRightInd w:val="0"/>
              <w:snapToGrid w:val="0"/>
            </w:pPr>
            <w:r>
              <w:rPr>
                <w:rFonts w:hint="eastAsia"/>
                <w:color w:val="000000" w:themeColor="text1"/>
                <w:sz w:val="18"/>
                <w:szCs w:val="18"/>
                <w14:textFill>
                  <w14:solidFill>
                    <w14:schemeClr w14:val="tx1"/>
                  </w14:solidFill>
                </w14:textFill>
              </w:rPr>
              <w:t>微弱信号检测与处理</w:t>
            </w:r>
          </w:p>
        </w:tc>
        <w:tc>
          <w:tcPr>
            <w:tcW w:w="1154" w:type="dxa"/>
            <w:vAlign w:val="center"/>
          </w:tcPr>
          <w:p w14:paraId="36746D35">
            <w:pPr>
              <w:jc w:val="center"/>
              <w:rPr>
                <w:color w:val="FF0000"/>
                <w:sz w:val="18"/>
                <w:szCs w:val="18"/>
              </w:rPr>
            </w:pPr>
            <w:r>
              <w:rPr>
                <w:rFonts w:hint="eastAsia"/>
                <w:color w:val="000000" w:themeColor="text1"/>
                <w:sz w:val="18"/>
                <w:szCs w:val="18"/>
                <w14:textFill>
                  <w14:solidFill>
                    <w14:schemeClr w14:val="tx1"/>
                  </w14:solidFill>
                </w14:textFill>
              </w:rPr>
              <w:t>XB1505005</w:t>
            </w:r>
          </w:p>
        </w:tc>
        <w:tc>
          <w:tcPr>
            <w:tcW w:w="636" w:type="dxa"/>
            <w:vAlign w:val="center"/>
          </w:tcPr>
          <w:p w14:paraId="05329645">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020D4906">
            <w:pPr>
              <w:jc w:val="center"/>
              <w:rPr>
                <w:color w:val="FF0000"/>
              </w:rPr>
            </w:pPr>
            <w:r>
              <w:rPr>
                <w:color w:val="000000" w:themeColor="text1"/>
                <w:sz w:val="18"/>
                <w:szCs w:val="18"/>
                <w14:textFill>
                  <w14:solidFill>
                    <w14:schemeClr w14:val="tx1"/>
                  </w14:solidFill>
                </w14:textFill>
              </w:rPr>
              <w:t>1</w:t>
            </w:r>
          </w:p>
        </w:tc>
        <w:tc>
          <w:tcPr>
            <w:tcW w:w="1045" w:type="dxa"/>
            <w:vAlign w:val="center"/>
          </w:tcPr>
          <w:p w14:paraId="5CEC25FB">
            <w:pPr>
              <w:jc w:val="center"/>
              <w:rPr>
                <w:color w:val="FF0000"/>
                <w:sz w:val="18"/>
                <w:szCs w:val="18"/>
              </w:rPr>
            </w:pPr>
            <w:r>
              <w:rPr>
                <w:rFonts w:hint="eastAsia"/>
                <w:color w:val="000000" w:themeColor="text1"/>
                <w:sz w:val="18"/>
                <w:szCs w:val="18"/>
                <w14:textFill>
                  <w14:solidFill>
                    <w14:schemeClr w14:val="tx1"/>
                  </w14:solidFill>
                </w14:textFill>
              </w:rPr>
              <w:t>考试</w:t>
            </w:r>
          </w:p>
        </w:tc>
      </w:tr>
      <w:tr w14:paraId="76ABEB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CBA8B3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p w14:paraId="7AA309C4">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4</w:t>
            </w:r>
          </w:p>
          <w:p w14:paraId="156C6514">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学分</w:t>
            </w:r>
          </w:p>
        </w:tc>
        <w:tc>
          <w:tcPr>
            <w:tcW w:w="1226" w:type="dxa"/>
            <w:vMerge w:val="restart"/>
            <w:vAlign w:val="center"/>
          </w:tcPr>
          <w:p w14:paraId="19A8F0C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7A2D7AC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75BD57EB">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154" w:type="dxa"/>
            <w:vAlign w:val="center"/>
          </w:tcPr>
          <w:p w14:paraId="4C89D0B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636" w:type="dxa"/>
            <w:vAlign w:val="center"/>
          </w:tcPr>
          <w:p w14:paraId="597B5E2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8242A9B">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B99068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49FAA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1B517363">
            <w:pPr>
              <w:jc w:val="center"/>
              <w:rPr>
                <w:b/>
                <w:color w:val="000000" w:themeColor="text1"/>
                <w:sz w:val="18"/>
                <w:szCs w:val="18"/>
                <w14:textFill>
                  <w14:solidFill>
                    <w14:schemeClr w14:val="tx1"/>
                  </w14:solidFill>
                </w14:textFill>
              </w:rPr>
            </w:pPr>
          </w:p>
        </w:tc>
        <w:tc>
          <w:tcPr>
            <w:tcW w:w="1226" w:type="dxa"/>
            <w:vMerge w:val="continue"/>
            <w:vAlign w:val="center"/>
          </w:tcPr>
          <w:p w14:paraId="77031ADD">
            <w:pPr>
              <w:jc w:val="center"/>
              <w:rPr>
                <w:b/>
                <w:color w:val="000000" w:themeColor="text1"/>
                <w:sz w:val="18"/>
                <w:szCs w:val="18"/>
                <w14:textFill>
                  <w14:solidFill>
                    <w14:schemeClr w14:val="tx1"/>
                  </w14:solidFill>
                </w14:textFill>
              </w:rPr>
            </w:pPr>
          </w:p>
        </w:tc>
        <w:tc>
          <w:tcPr>
            <w:tcW w:w="3516" w:type="dxa"/>
            <w:vAlign w:val="center"/>
          </w:tcPr>
          <w:p w14:paraId="4CD35E92">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154" w:type="dxa"/>
            <w:vAlign w:val="center"/>
          </w:tcPr>
          <w:p w14:paraId="1CE82DC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636" w:type="dxa"/>
            <w:vAlign w:val="center"/>
          </w:tcPr>
          <w:p w14:paraId="7A67C8A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12445BC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03379B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E84E22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7" w:hRule="atLeast"/>
          <w:jc w:val="center"/>
        </w:trPr>
        <w:tc>
          <w:tcPr>
            <w:tcW w:w="571" w:type="dxa"/>
            <w:vMerge w:val="continue"/>
          </w:tcPr>
          <w:p w14:paraId="0F8096F2">
            <w:pPr>
              <w:rPr>
                <w:b/>
                <w:color w:val="000000" w:themeColor="text1"/>
                <w:sz w:val="18"/>
                <w:szCs w:val="18"/>
                <w14:textFill>
                  <w14:solidFill>
                    <w14:schemeClr w14:val="tx1"/>
                  </w14:solidFill>
                </w14:textFill>
              </w:rPr>
            </w:pPr>
          </w:p>
        </w:tc>
        <w:tc>
          <w:tcPr>
            <w:tcW w:w="1226" w:type="dxa"/>
            <w:vMerge w:val="restart"/>
            <w:vAlign w:val="center"/>
          </w:tcPr>
          <w:p w14:paraId="05C3F514">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测试计量理论及传感器方向</w:t>
            </w:r>
          </w:p>
          <w:p w14:paraId="2610751E">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62F7474B">
            <w:pPr>
              <w:adjustRightInd w:val="0"/>
              <w:snapToGrid w:val="0"/>
              <w:rPr>
                <w:i/>
                <w:color w:val="FF0000"/>
                <w:sz w:val="18"/>
                <w:szCs w:val="18"/>
              </w:rPr>
            </w:pPr>
            <w:r>
              <w:rPr>
                <w:rFonts w:hint="eastAsia"/>
                <w:color w:val="000000" w:themeColor="text1"/>
                <w:sz w:val="18"/>
                <w:szCs w:val="18"/>
                <w14:textFill>
                  <w14:solidFill>
                    <w14:schemeClr w14:val="tx1"/>
                  </w14:solidFill>
                </w14:textFill>
              </w:rPr>
              <w:t>测试计量理论及传感器</w:t>
            </w:r>
          </w:p>
        </w:tc>
        <w:tc>
          <w:tcPr>
            <w:tcW w:w="1154" w:type="dxa"/>
            <w:vAlign w:val="center"/>
          </w:tcPr>
          <w:p w14:paraId="1961D7CF">
            <w:pPr>
              <w:jc w:val="center"/>
              <w:rPr>
                <w:color w:val="FF0000"/>
                <w:sz w:val="18"/>
                <w:szCs w:val="18"/>
              </w:rPr>
            </w:pPr>
            <w:r>
              <w:rPr>
                <w:rFonts w:hint="eastAsia"/>
                <w:color w:val="000000" w:themeColor="text1"/>
                <w:sz w:val="18"/>
                <w:szCs w:val="18"/>
                <w14:textFill>
                  <w14:solidFill>
                    <w14:schemeClr w14:val="tx1"/>
                  </w14:solidFill>
                </w14:textFill>
              </w:rPr>
              <w:t>XB1505201</w:t>
            </w:r>
          </w:p>
        </w:tc>
        <w:tc>
          <w:tcPr>
            <w:tcW w:w="636" w:type="dxa"/>
            <w:vAlign w:val="center"/>
          </w:tcPr>
          <w:p w14:paraId="434D2356">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3B63E3FA">
            <w:pPr>
              <w:jc w:val="center"/>
              <w:rPr>
                <w:color w:val="FF0000"/>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5019E532">
            <w:pPr>
              <w:adjustRightInd w:val="0"/>
              <w:snapToGrid w:val="0"/>
              <w:jc w:val="center"/>
              <w:rPr>
                <w:sz w:val="18"/>
                <w:szCs w:val="18"/>
              </w:rPr>
            </w:pPr>
            <w:r>
              <w:rPr>
                <w:sz w:val="18"/>
                <w:szCs w:val="18"/>
              </w:rPr>
              <w:t>本方向研究生至少选修</w:t>
            </w:r>
          </w:p>
          <w:p w14:paraId="4FA6050C">
            <w:pPr>
              <w:adjustRightInd w:val="0"/>
              <w:snapToGrid w:val="0"/>
              <w:jc w:val="center"/>
              <w:rPr>
                <w:sz w:val="18"/>
                <w:szCs w:val="18"/>
              </w:rPr>
            </w:pPr>
            <w:r>
              <w:rPr>
                <w:rFonts w:hint="eastAsia"/>
                <w:sz w:val="18"/>
                <w:szCs w:val="18"/>
              </w:rPr>
              <w:t>2</w:t>
            </w:r>
            <w:r>
              <w:rPr>
                <w:sz w:val="18"/>
                <w:szCs w:val="18"/>
              </w:rPr>
              <w:t>学分</w:t>
            </w:r>
          </w:p>
        </w:tc>
      </w:tr>
      <w:tr w14:paraId="2A3F74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0F87A4">
            <w:pPr>
              <w:rPr>
                <w:b/>
                <w:color w:val="000000" w:themeColor="text1"/>
                <w:sz w:val="18"/>
                <w:szCs w:val="18"/>
                <w14:textFill>
                  <w14:solidFill>
                    <w14:schemeClr w14:val="tx1"/>
                  </w14:solidFill>
                </w14:textFill>
              </w:rPr>
            </w:pPr>
          </w:p>
        </w:tc>
        <w:tc>
          <w:tcPr>
            <w:tcW w:w="1226" w:type="dxa"/>
            <w:vMerge w:val="continue"/>
            <w:vAlign w:val="center"/>
          </w:tcPr>
          <w:p w14:paraId="0AF27085">
            <w:pPr>
              <w:adjustRightInd w:val="0"/>
              <w:snapToGrid w:val="0"/>
              <w:jc w:val="center"/>
              <w:rPr>
                <w:b/>
                <w:color w:val="FF0000"/>
                <w:sz w:val="18"/>
                <w:szCs w:val="18"/>
              </w:rPr>
            </w:pPr>
          </w:p>
        </w:tc>
        <w:tc>
          <w:tcPr>
            <w:tcW w:w="3516" w:type="dxa"/>
            <w:vAlign w:val="center"/>
          </w:tcPr>
          <w:p w14:paraId="2AC304A4">
            <w:pPr>
              <w:adjustRightInd w:val="0"/>
              <w:snapToGrid w:val="0"/>
              <w:rPr>
                <w:i/>
                <w:color w:val="FF0000"/>
                <w:sz w:val="18"/>
                <w:szCs w:val="18"/>
              </w:rPr>
            </w:pPr>
            <w:r>
              <w:rPr>
                <w:rFonts w:hint="eastAsia"/>
                <w:color w:val="000000" w:themeColor="text1"/>
                <w:sz w:val="18"/>
                <w:szCs w:val="18"/>
                <w14:textFill>
                  <w14:solidFill>
                    <w14:schemeClr w14:val="tx1"/>
                  </w14:solidFill>
                </w14:textFill>
              </w:rPr>
              <w:t>新型传感技术及应用</w:t>
            </w:r>
          </w:p>
        </w:tc>
        <w:tc>
          <w:tcPr>
            <w:tcW w:w="1154" w:type="dxa"/>
            <w:vAlign w:val="center"/>
          </w:tcPr>
          <w:p w14:paraId="4AEB0CF2">
            <w:pPr>
              <w:jc w:val="center"/>
              <w:rPr>
                <w:color w:val="FF0000"/>
                <w:sz w:val="18"/>
                <w:szCs w:val="18"/>
              </w:rPr>
            </w:pPr>
            <w:r>
              <w:rPr>
                <w:rFonts w:hint="eastAsia"/>
                <w:color w:val="000000" w:themeColor="text1"/>
                <w:sz w:val="18"/>
                <w:szCs w:val="18"/>
                <w14:textFill>
                  <w14:solidFill>
                    <w14:schemeClr w14:val="tx1"/>
                  </w14:solidFill>
                </w14:textFill>
              </w:rPr>
              <w:t>XB1505202</w:t>
            </w:r>
          </w:p>
        </w:tc>
        <w:tc>
          <w:tcPr>
            <w:tcW w:w="636" w:type="dxa"/>
            <w:vAlign w:val="center"/>
          </w:tcPr>
          <w:p w14:paraId="44178C54">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424BE4D9">
            <w:pPr>
              <w:jc w:val="center"/>
              <w:rPr>
                <w:color w:val="FF0000"/>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532F0BB1">
            <w:pPr>
              <w:adjustRightInd w:val="0"/>
              <w:snapToGrid w:val="0"/>
              <w:jc w:val="center"/>
              <w:rPr>
                <w:sz w:val="18"/>
                <w:szCs w:val="18"/>
              </w:rPr>
            </w:pPr>
          </w:p>
        </w:tc>
      </w:tr>
      <w:tr w14:paraId="52D67E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98" w:hRule="atLeast"/>
          <w:jc w:val="center"/>
        </w:trPr>
        <w:tc>
          <w:tcPr>
            <w:tcW w:w="571" w:type="dxa"/>
            <w:vMerge w:val="continue"/>
          </w:tcPr>
          <w:p w14:paraId="13D87B4C">
            <w:pPr>
              <w:rPr>
                <w:b/>
                <w:color w:val="000000" w:themeColor="text1"/>
                <w:sz w:val="18"/>
                <w:szCs w:val="18"/>
                <w14:textFill>
                  <w14:solidFill>
                    <w14:schemeClr w14:val="tx1"/>
                  </w14:solidFill>
                </w14:textFill>
              </w:rPr>
            </w:pPr>
          </w:p>
        </w:tc>
        <w:tc>
          <w:tcPr>
            <w:tcW w:w="1226" w:type="dxa"/>
            <w:vMerge w:val="restart"/>
            <w:vAlign w:val="center"/>
          </w:tcPr>
          <w:p w14:paraId="680304C9">
            <w:pPr>
              <w:adjustRightInd w:val="0"/>
              <w:snapToGrid w:val="0"/>
              <w:jc w:val="center"/>
              <w:rPr>
                <w:b/>
                <w:color w:val="FF0000"/>
                <w:sz w:val="18"/>
                <w:szCs w:val="18"/>
              </w:rPr>
            </w:pPr>
            <w:r>
              <w:rPr>
                <w:rFonts w:hint="eastAsia"/>
                <w:b/>
                <w:color w:val="000000" w:themeColor="text1"/>
                <w:sz w:val="18"/>
                <w:szCs w:val="18"/>
                <w14:textFill>
                  <w14:solidFill>
                    <w14:schemeClr w14:val="tx1"/>
                  </w14:solidFill>
                </w14:textFill>
              </w:rPr>
              <w:t>无损检测技术及仪器</w:t>
            </w:r>
            <w:r>
              <w:rPr>
                <w:b/>
                <w:color w:val="000000" w:themeColor="text1"/>
                <w:sz w:val="18"/>
                <w:szCs w:val="18"/>
                <w14:textFill>
                  <w14:solidFill>
                    <w14:schemeClr w14:val="tx1"/>
                  </w14:solidFill>
                </w14:textFill>
              </w:rPr>
              <w:t>方向选修课</w:t>
            </w:r>
          </w:p>
        </w:tc>
        <w:tc>
          <w:tcPr>
            <w:tcW w:w="3516" w:type="dxa"/>
            <w:vAlign w:val="center"/>
          </w:tcPr>
          <w:p w14:paraId="62D6D841">
            <w:pPr>
              <w:adjustRightInd w:val="0"/>
              <w:snapToGrid w:val="0"/>
              <w:rPr>
                <w:i/>
                <w:color w:val="FF0000"/>
                <w:sz w:val="18"/>
                <w:szCs w:val="18"/>
              </w:rPr>
            </w:pPr>
            <w:r>
              <w:rPr>
                <w:rFonts w:hint="eastAsia"/>
                <w:color w:val="000000" w:themeColor="text1"/>
                <w:sz w:val="18"/>
                <w:szCs w:val="18"/>
                <w14:textFill>
                  <w14:solidFill>
                    <w14:schemeClr w14:val="tx1"/>
                  </w14:solidFill>
                </w14:textFill>
              </w:rPr>
              <w:t>健康监测技术及仪器</w:t>
            </w:r>
          </w:p>
        </w:tc>
        <w:tc>
          <w:tcPr>
            <w:tcW w:w="1154" w:type="dxa"/>
            <w:vAlign w:val="center"/>
          </w:tcPr>
          <w:p w14:paraId="3CC3A109">
            <w:pPr>
              <w:jc w:val="center"/>
              <w:rPr>
                <w:color w:val="FF0000"/>
                <w:sz w:val="18"/>
                <w:szCs w:val="18"/>
              </w:rPr>
            </w:pPr>
            <w:r>
              <w:rPr>
                <w:rFonts w:hint="eastAsia"/>
                <w:color w:val="000000" w:themeColor="text1"/>
                <w:sz w:val="18"/>
                <w:szCs w:val="18"/>
                <w14:textFill>
                  <w14:solidFill>
                    <w14:schemeClr w14:val="tx1"/>
                  </w14:solidFill>
                </w14:textFill>
              </w:rPr>
              <w:t>XB1505203</w:t>
            </w:r>
          </w:p>
        </w:tc>
        <w:tc>
          <w:tcPr>
            <w:tcW w:w="636" w:type="dxa"/>
            <w:vAlign w:val="center"/>
          </w:tcPr>
          <w:p w14:paraId="366B6B43">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52B0FC48">
            <w:pPr>
              <w:jc w:val="center"/>
              <w:rPr>
                <w:color w:val="FF0000"/>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6AD18F55">
            <w:pPr>
              <w:adjustRightInd w:val="0"/>
              <w:snapToGrid w:val="0"/>
              <w:jc w:val="center"/>
              <w:rPr>
                <w:sz w:val="18"/>
                <w:szCs w:val="18"/>
              </w:rPr>
            </w:pPr>
            <w:r>
              <w:rPr>
                <w:sz w:val="18"/>
                <w:szCs w:val="18"/>
              </w:rPr>
              <w:t>本方向研究生至少选修</w:t>
            </w:r>
          </w:p>
          <w:p w14:paraId="5EC6BEEF">
            <w:pPr>
              <w:adjustRightInd w:val="0"/>
              <w:snapToGrid w:val="0"/>
              <w:jc w:val="center"/>
              <w:rPr>
                <w:sz w:val="18"/>
                <w:szCs w:val="18"/>
              </w:rPr>
            </w:pPr>
            <w:r>
              <w:rPr>
                <w:rFonts w:hint="eastAsia"/>
                <w:sz w:val="18"/>
                <w:szCs w:val="18"/>
              </w:rPr>
              <w:t>2</w:t>
            </w:r>
            <w:r>
              <w:rPr>
                <w:sz w:val="18"/>
                <w:szCs w:val="18"/>
              </w:rPr>
              <w:t>学分</w:t>
            </w:r>
          </w:p>
        </w:tc>
      </w:tr>
      <w:tr w14:paraId="5CFEF5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B7C65B">
            <w:pPr>
              <w:rPr>
                <w:b/>
                <w:color w:val="000000" w:themeColor="text1"/>
                <w:sz w:val="18"/>
                <w:szCs w:val="18"/>
                <w14:textFill>
                  <w14:solidFill>
                    <w14:schemeClr w14:val="tx1"/>
                  </w14:solidFill>
                </w14:textFill>
              </w:rPr>
            </w:pPr>
          </w:p>
        </w:tc>
        <w:tc>
          <w:tcPr>
            <w:tcW w:w="1226" w:type="dxa"/>
            <w:vMerge w:val="continue"/>
            <w:vAlign w:val="center"/>
          </w:tcPr>
          <w:p w14:paraId="07836DA0">
            <w:pPr>
              <w:adjustRightInd w:val="0"/>
              <w:snapToGrid w:val="0"/>
              <w:jc w:val="center"/>
              <w:rPr>
                <w:b/>
                <w:color w:val="FF0000"/>
                <w:sz w:val="18"/>
                <w:szCs w:val="18"/>
              </w:rPr>
            </w:pPr>
          </w:p>
        </w:tc>
        <w:tc>
          <w:tcPr>
            <w:tcW w:w="3516" w:type="dxa"/>
            <w:vAlign w:val="center"/>
          </w:tcPr>
          <w:p w14:paraId="573399BA">
            <w:pPr>
              <w:adjustRightInd w:val="0"/>
              <w:snapToGrid w:val="0"/>
              <w:rPr>
                <w:i/>
                <w:color w:val="FF0000"/>
                <w:sz w:val="18"/>
                <w:szCs w:val="18"/>
              </w:rPr>
            </w:pPr>
            <w:r>
              <w:rPr>
                <w:rFonts w:hint="eastAsia"/>
                <w:color w:val="000000" w:themeColor="text1"/>
                <w:sz w:val="18"/>
                <w:szCs w:val="18"/>
                <w14:textFill>
                  <w14:solidFill>
                    <w14:schemeClr w14:val="tx1"/>
                  </w14:solidFill>
                </w14:textFill>
              </w:rPr>
              <w:t>机器视觉</w:t>
            </w:r>
          </w:p>
        </w:tc>
        <w:tc>
          <w:tcPr>
            <w:tcW w:w="1154" w:type="dxa"/>
            <w:vAlign w:val="center"/>
          </w:tcPr>
          <w:p w14:paraId="6BC09768">
            <w:pPr>
              <w:jc w:val="center"/>
              <w:rPr>
                <w:color w:val="FF0000"/>
                <w:sz w:val="18"/>
                <w:szCs w:val="18"/>
              </w:rPr>
            </w:pPr>
            <w:r>
              <w:rPr>
                <w:rFonts w:hint="eastAsia"/>
                <w:color w:val="000000" w:themeColor="text1"/>
                <w:sz w:val="18"/>
                <w:szCs w:val="18"/>
                <w14:textFill>
                  <w14:solidFill>
                    <w14:schemeClr w14:val="tx1"/>
                  </w14:solidFill>
                </w14:textFill>
              </w:rPr>
              <w:t>XB1505204</w:t>
            </w:r>
          </w:p>
        </w:tc>
        <w:tc>
          <w:tcPr>
            <w:tcW w:w="636" w:type="dxa"/>
            <w:vAlign w:val="center"/>
          </w:tcPr>
          <w:p w14:paraId="2E381112">
            <w:pPr>
              <w:jc w:val="center"/>
              <w:rPr>
                <w:color w:val="FF0000"/>
              </w:rPr>
            </w:pPr>
            <w:r>
              <w:rPr>
                <w:rFonts w:hint="eastAsia"/>
                <w:color w:val="000000" w:themeColor="text1"/>
                <w:sz w:val="18"/>
                <w:szCs w:val="18"/>
                <w14:textFill>
                  <w14:solidFill>
                    <w14:schemeClr w14:val="tx1"/>
                  </w14:solidFill>
                </w14:textFill>
              </w:rPr>
              <w:t>2</w:t>
            </w:r>
          </w:p>
        </w:tc>
        <w:tc>
          <w:tcPr>
            <w:tcW w:w="709" w:type="dxa"/>
            <w:vAlign w:val="center"/>
          </w:tcPr>
          <w:p w14:paraId="16E421ED">
            <w:pPr>
              <w:jc w:val="center"/>
              <w:rPr>
                <w:color w:val="FF0000"/>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080D0B70">
            <w:pPr>
              <w:adjustRightInd w:val="0"/>
              <w:snapToGrid w:val="0"/>
              <w:jc w:val="center"/>
              <w:rPr>
                <w:color w:val="000000" w:themeColor="text1"/>
                <w:sz w:val="18"/>
                <w:szCs w:val="18"/>
                <w14:textFill>
                  <w14:solidFill>
                    <w14:schemeClr w14:val="tx1"/>
                  </w14:solidFill>
                </w14:textFill>
              </w:rPr>
            </w:pPr>
          </w:p>
        </w:tc>
      </w:tr>
      <w:tr w14:paraId="229380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7" w:hRule="atLeast"/>
          <w:jc w:val="center"/>
        </w:trPr>
        <w:tc>
          <w:tcPr>
            <w:tcW w:w="571" w:type="dxa"/>
            <w:vMerge w:val="continue"/>
          </w:tcPr>
          <w:p w14:paraId="7753499C">
            <w:pPr>
              <w:rPr>
                <w:b/>
                <w:color w:val="000000" w:themeColor="text1"/>
                <w:sz w:val="18"/>
                <w:szCs w:val="18"/>
                <w14:textFill>
                  <w14:solidFill>
                    <w14:schemeClr w14:val="tx1"/>
                  </w14:solidFill>
                </w14:textFill>
              </w:rPr>
            </w:pPr>
          </w:p>
        </w:tc>
        <w:tc>
          <w:tcPr>
            <w:tcW w:w="1226" w:type="dxa"/>
            <w:vMerge w:val="restart"/>
            <w:vAlign w:val="center"/>
          </w:tcPr>
          <w:p w14:paraId="3314FEA0">
            <w:pPr>
              <w:adjustRightInd w:val="0"/>
              <w:snapToGrid w:val="0"/>
              <w:jc w:val="center"/>
              <w:rPr>
                <w:b/>
                <w:color w:val="FF0000"/>
                <w:sz w:val="18"/>
                <w:szCs w:val="18"/>
              </w:rPr>
            </w:pPr>
            <w:r>
              <w:rPr>
                <w:rFonts w:hint="eastAsia"/>
                <w:b/>
                <w:color w:val="000000" w:themeColor="text1"/>
                <w:sz w:val="18"/>
                <w:szCs w:val="18"/>
                <w14:textFill>
                  <w14:solidFill>
                    <w14:schemeClr w14:val="tx1"/>
                  </w14:solidFill>
                </w14:textFill>
              </w:rPr>
              <w:t>食品药品检测技术及标准化</w:t>
            </w:r>
            <w:r>
              <w:rPr>
                <w:b/>
                <w:color w:val="000000" w:themeColor="text1"/>
                <w:sz w:val="18"/>
                <w:szCs w:val="18"/>
                <w14:textFill>
                  <w14:solidFill>
                    <w14:schemeClr w14:val="tx1"/>
                  </w14:solidFill>
                </w14:textFill>
              </w:rPr>
              <w:t>方向选修课</w:t>
            </w:r>
          </w:p>
        </w:tc>
        <w:tc>
          <w:tcPr>
            <w:tcW w:w="3516" w:type="dxa"/>
            <w:vAlign w:val="center"/>
          </w:tcPr>
          <w:p w14:paraId="0EC7F3E6">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现代食品药品检测技术及仪器</w:t>
            </w:r>
          </w:p>
        </w:tc>
        <w:tc>
          <w:tcPr>
            <w:tcW w:w="1154" w:type="dxa"/>
            <w:vAlign w:val="center"/>
          </w:tcPr>
          <w:p w14:paraId="1067325D">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XB1505205</w:t>
            </w:r>
          </w:p>
        </w:tc>
        <w:tc>
          <w:tcPr>
            <w:tcW w:w="636" w:type="dxa"/>
            <w:vAlign w:val="center"/>
          </w:tcPr>
          <w:p w14:paraId="1DA33B1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DFB8B2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09ECAB47">
            <w:pPr>
              <w:adjustRightInd w:val="0"/>
              <w:snapToGrid w:val="0"/>
              <w:jc w:val="center"/>
              <w:rPr>
                <w:sz w:val="18"/>
                <w:szCs w:val="18"/>
              </w:rPr>
            </w:pPr>
            <w:r>
              <w:rPr>
                <w:sz w:val="18"/>
                <w:szCs w:val="18"/>
              </w:rPr>
              <w:t>本方向研究生至少选修</w:t>
            </w:r>
          </w:p>
          <w:p w14:paraId="1CF5EAB4">
            <w:pPr>
              <w:adjustRightInd w:val="0"/>
              <w:snapToGrid w:val="0"/>
              <w:jc w:val="center"/>
              <w:rPr>
                <w:sz w:val="18"/>
                <w:szCs w:val="18"/>
              </w:rPr>
            </w:pPr>
            <w:r>
              <w:rPr>
                <w:rFonts w:hint="eastAsia"/>
                <w:sz w:val="18"/>
                <w:szCs w:val="18"/>
              </w:rPr>
              <w:t>2</w:t>
            </w:r>
            <w:r>
              <w:rPr>
                <w:sz w:val="18"/>
                <w:szCs w:val="18"/>
              </w:rPr>
              <w:t>学分</w:t>
            </w:r>
          </w:p>
        </w:tc>
      </w:tr>
      <w:tr w14:paraId="3B4F15C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1" w:hRule="atLeast"/>
          <w:jc w:val="center"/>
        </w:trPr>
        <w:tc>
          <w:tcPr>
            <w:tcW w:w="571" w:type="dxa"/>
            <w:vMerge w:val="continue"/>
          </w:tcPr>
          <w:p w14:paraId="2B7FCBE7">
            <w:pPr>
              <w:rPr>
                <w:b/>
                <w:color w:val="000000" w:themeColor="text1"/>
                <w:sz w:val="18"/>
                <w:szCs w:val="18"/>
                <w14:textFill>
                  <w14:solidFill>
                    <w14:schemeClr w14:val="tx1"/>
                  </w14:solidFill>
                </w14:textFill>
              </w:rPr>
            </w:pPr>
          </w:p>
        </w:tc>
        <w:tc>
          <w:tcPr>
            <w:tcW w:w="1226" w:type="dxa"/>
            <w:vMerge w:val="continue"/>
            <w:vAlign w:val="center"/>
          </w:tcPr>
          <w:p w14:paraId="53812530">
            <w:pPr>
              <w:adjustRightInd w:val="0"/>
              <w:snapToGrid w:val="0"/>
              <w:jc w:val="center"/>
              <w:rPr>
                <w:b/>
                <w:color w:val="FF0000"/>
                <w:sz w:val="18"/>
                <w:szCs w:val="18"/>
              </w:rPr>
            </w:pPr>
          </w:p>
        </w:tc>
        <w:tc>
          <w:tcPr>
            <w:tcW w:w="3516" w:type="dxa"/>
            <w:vAlign w:val="center"/>
          </w:tcPr>
          <w:p w14:paraId="38CCFD8F">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现代光学测试技术</w:t>
            </w:r>
          </w:p>
        </w:tc>
        <w:tc>
          <w:tcPr>
            <w:tcW w:w="1154" w:type="dxa"/>
            <w:vAlign w:val="center"/>
          </w:tcPr>
          <w:p w14:paraId="78B6A59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XB1505206</w:t>
            </w:r>
          </w:p>
        </w:tc>
        <w:tc>
          <w:tcPr>
            <w:tcW w:w="636" w:type="dxa"/>
            <w:vAlign w:val="center"/>
          </w:tcPr>
          <w:p w14:paraId="38CB0A7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4D46DED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039EE52C">
            <w:pPr>
              <w:adjustRightInd w:val="0"/>
              <w:snapToGrid w:val="0"/>
              <w:jc w:val="center"/>
              <w:rPr>
                <w:sz w:val="18"/>
                <w:szCs w:val="18"/>
              </w:rPr>
            </w:pPr>
          </w:p>
        </w:tc>
      </w:tr>
      <w:tr w14:paraId="54583B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9" w:hRule="atLeast"/>
          <w:jc w:val="center"/>
        </w:trPr>
        <w:tc>
          <w:tcPr>
            <w:tcW w:w="571" w:type="dxa"/>
            <w:vMerge w:val="continue"/>
          </w:tcPr>
          <w:p w14:paraId="627DDB75">
            <w:pPr>
              <w:rPr>
                <w:b/>
                <w:color w:val="000000" w:themeColor="text1"/>
                <w:sz w:val="18"/>
                <w:szCs w:val="18"/>
                <w14:textFill>
                  <w14:solidFill>
                    <w14:schemeClr w14:val="tx1"/>
                  </w14:solidFill>
                </w14:textFill>
              </w:rPr>
            </w:pPr>
          </w:p>
        </w:tc>
        <w:tc>
          <w:tcPr>
            <w:tcW w:w="1226" w:type="dxa"/>
            <w:vMerge w:val="restart"/>
            <w:vAlign w:val="center"/>
          </w:tcPr>
          <w:p w14:paraId="0006FB74">
            <w:pPr>
              <w:adjustRightInd w:val="0"/>
              <w:snapToGrid w:val="0"/>
              <w:jc w:val="center"/>
              <w:rPr>
                <w:b/>
                <w:color w:val="FF0000"/>
                <w:sz w:val="18"/>
                <w:szCs w:val="18"/>
              </w:rPr>
            </w:pPr>
            <w:r>
              <w:rPr>
                <w:rFonts w:hint="eastAsia"/>
                <w:b/>
                <w:color w:val="000000" w:themeColor="text1"/>
                <w:sz w:val="18"/>
                <w:szCs w:val="18"/>
                <w14:textFill>
                  <w14:solidFill>
                    <w14:schemeClr w14:val="tx1"/>
                  </w14:solidFill>
                </w14:textFill>
              </w:rPr>
              <w:t>精密仪器与智能机械装备</w:t>
            </w:r>
            <w:r>
              <w:rPr>
                <w:b/>
                <w:color w:val="000000" w:themeColor="text1"/>
                <w:sz w:val="18"/>
                <w:szCs w:val="18"/>
                <w14:textFill>
                  <w14:solidFill>
                    <w14:schemeClr w14:val="tx1"/>
                  </w14:solidFill>
                </w14:textFill>
              </w:rPr>
              <w:t>方向选修课</w:t>
            </w:r>
          </w:p>
        </w:tc>
        <w:tc>
          <w:tcPr>
            <w:tcW w:w="3516" w:type="dxa"/>
            <w:shd w:val="clear" w:color="auto" w:fill="auto"/>
            <w:vAlign w:val="center"/>
          </w:tcPr>
          <w:p w14:paraId="113AE156">
            <w:pPr>
              <w:adjustRightInd w:val="0"/>
              <w:snapToGrid w:val="0"/>
              <w:rPr>
                <w:sz w:val="18"/>
                <w:szCs w:val="18"/>
              </w:rPr>
            </w:pPr>
            <w:r>
              <w:rPr>
                <w:rFonts w:hint="eastAsia"/>
                <w:sz w:val="18"/>
                <w:szCs w:val="18"/>
              </w:rPr>
              <w:t>最优化理论</w:t>
            </w:r>
          </w:p>
        </w:tc>
        <w:tc>
          <w:tcPr>
            <w:tcW w:w="1154" w:type="dxa"/>
            <w:shd w:val="clear" w:color="auto" w:fill="auto"/>
            <w:vAlign w:val="center"/>
          </w:tcPr>
          <w:p w14:paraId="3B6F026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XB1505207</w:t>
            </w:r>
          </w:p>
        </w:tc>
        <w:tc>
          <w:tcPr>
            <w:tcW w:w="636" w:type="dxa"/>
            <w:shd w:val="clear" w:color="auto" w:fill="auto"/>
            <w:vAlign w:val="center"/>
          </w:tcPr>
          <w:p w14:paraId="12B4518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6BB53AF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07296516">
            <w:pPr>
              <w:adjustRightInd w:val="0"/>
              <w:snapToGrid w:val="0"/>
              <w:jc w:val="center"/>
              <w:rPr>
                <w:sz w:val="18"/>
                <w:szCs w:val="18"/>
              </w:rPr>
            </w:pPr>
            <w:r>
              <w:rPr>
                <w:sz w:val="18"/>
                <w:szCs w:val="18"/>
              </w:rPr>
              <w:t>本方向研究生至少选修</w:t>
            </w:r>
          </w:p>
          <w:p w14:paraId="74FCC71C">
            <w:pPr>
              <w:adjustRightInd w:val="0"/>
              <w:snapToGrid w:val="0"/>
              <w:jc w:val="center"/>
              <w:rPr>
                <w:sz w:val="18"/>
                <w:szCs w:val="18"/>
              </w:rPr>
            </w:pPr>
            <w:r>
              <w:rPr>
                <w:rFonts w:hint="eastAsia"/>
                <w:sz w:val="18"/>
                <w:szCs w:val="18"/>
              </w:rPr>
              <w:t>2</w:t>
            </w:r>
            <w:r>
              <w:rPr>
                <w:sz w:val="18"/>
                <w:szCs w:val="18"/>
              </w:rPr>
              <w:t>学分</w:t>
            </w:r>
          </w:p>
        </w:tc>
      </w:tr>
      <w:tr w14:paraId="270EBD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989D61A">
            <w:pPr>
              <w:rPr>
                <w:b/>
                <w:color w:val="000000" w:themeColor="text1"/>
                <w:sz w:val="18"/>
                <w:szCs w:val="18"/>
                <w14:textFill>
                  <w14:solidFill>
                    <w14:schemeClr w14:val="tx1"/>
                  </w14:solidFill>
                </w14:textFill>
              </w:rPr>
            </w:pPr>
          </w:p>
        </w:tc>
        <w:tc>
          <w:tcPr>
            <w:tcW w:w="1226" w:type="dxa"/>
            <w:vMerge w:val="continue"/>
            <w:vAlign w:val="center"/>
          </w:tcPr>
          <w:p w14:paraId="0681846D">
            <w:pPr>
              <w:adjustRightInd w:val="0"/>
              <w:snapToGrid w:val="0"/>
              <w:jc w:val="center"/>
              <w:rPr>
                <w:b/>
                <w:color w:val="FF0000"/>
                <w:sz w:val="18"/>
                <w:szCs w:val="18"/>
              </w:rPr>
            </w:pPr>
          </w:p>
        </w:tc>
        <w:tc>
          <w:tcPr>
            <w:tcW w:w="3516" w:type="dxa"/>
            <w:shd w:val="clear" w:color="auto" w:fill="auto"/>
            <w:vAlign w:val="center"/>
          </w:tcPr>
          <w:p w14:paraId="6461F8FA">
            <w:pPr>
              <w:adjustRightInd w:val="0"/>
              <w:snapToGrid w:val="0"/>
              <w:rPr>
                <w:sz w:val="18"/>
                <w:szCs w:val="18"/>
              </w:rPr>
            </w:pPr>
            <w:r>
              <w:rPr>
                <w:rFonts w:hint="eastAsia"/>
                <w:sz w:val="18"/>
                <w:szCs w:val="18"/>
              </w:rPr>
              <w:t>人工智能</w:t>
            </w:r>
          </w:p>
        </w:tc>
        <w:tc>
          <w:tcPr>
            <w:tcW w:w="1154" w:type="dxa"/>
            <w:shd w:val="clear" w:color="auto" w:fill="auto"/>
            <w:vAlign w:val="center"/>
          </w:tcPr>
          <w:p w14:paraId="513B294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XB1505208</w:t>
            </w:r>
          </w:p>
        </w:tc>
        <w:tc>
          <w:tcPr>
            <w:tcW w:w="636" w:type="dxa"/>
            <w:shd w:val="clear" w:color="auto" w:fill="auto"/>
            <w:vAlign w:val="center"/>
          </w:tcPr>
          <w:p w14:paraId="54490113">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shd w:val="clear" w:color="auto" w:fill="auto"/>
            <w:vAlign w:val="center"/>
          </w:tcPr>
          <w:p w14:paraId="6B72AD6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14EF76A0">
            <w:pPr>
              <w:adjustRightInd w:val="0"/>
              <w:snapToGrid w:val="0"/>
              <w:jc w:val="center"/>
              <w:rPr>
                <w:color w:val="000000" w:themeColor="text1"/>
                <w:sz w:val="18"/>
                <w:szCs w:val="18"/>
                <w14:textFill>
                  <w14:solidFill>
                    <w14:schemeClr w14:val="tx1"/>
                  </w14:solidFill>
                </w14:textFill>
              </w:rPr>
            </w:pPr>
          </w:p>
        </w:tc>
      </w:tr>
      <w:tr w14:paraId="68C34A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79F2DA8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59BEB9AF">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1</w:t>
            </w:r>
          </w:p>
          <w:p w14:paraId="2333C23F">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w:t>
            </w:r>
          </w:p>
          <w:p w14:paraId="146ED777">
            <w:pPr>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分</w:t>
            </w:r>
          </w:p>
          <w:p w14:paraId="276C649D">
            <w:pPr>
              <w:jc w:val="center"/>
              <w:rPr>
                <w:b/>
                <w:color w:val="000000" w:themeColor="text1"/>
                <w:sz w:val="18"/>
                <w:szCs w:val="18"/>
                <w14:textFill>
                  <w14:solidFill>
                    <w14:schemeClr w14:val="tx1"/>
                  </w14:solidFill>
                </w14:textFill>
              </w:rPr>
            </w:pPr>
          </w:p>
        </w:tc>
        <w:tc>
          <w:tcPr>
            <w:tcW w:w="1226" w:type="dxa"/>
            <w:vMerge w:val="restart"/>
            <w:vAlign w:val="center"/>
          </w:tcPr>
          <w:p w14:paraId="341CCD1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0D3B9BF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154" w:type="dxa"/>
            <w:vAlign w:val="center"/>
          </w:tcPr>
          <w:p w14:paraId="2B91E5ED">
            <w:pPr>
              <w:jc w:val="center"/>
              <w:rPr>
                <w:color w:val="000000" w:themeColor="text1"/>
                <w:sz w:val="18"/>
                <w:szCs w:val="18"/>
                <w14:textFill>
                  <w14:solidFill>
                    <w14:schemeClr w14:val="tx1"/>
                  </w14:solidFill>
                </w14:textFill>
              </w:rPr>
            </w:pPr>
          </w:p>
        </w:tc>
        <w:tc>
          <w:tcPr>
            <w:tcW w:w="636" w:type="dxa"/>
            <w:vAlign w:val="center"/>
          </w:tcPr>
          <w:p w14:paraId="3AD066EC">
            <w:pPr>
              <w:jc w:val="center"/>
              <w:rPr>
                <w:color w:val="000000" w:themeColor="text1"/>
                <w:sz w:val="18"/>
                <w:szCs w:val="18"/>
                <w14:textFill>
                  <w14:solidFill>
                    <w14:schemeClr w14:val="tx1"/>
                  </w14:solidFill>
                </w14:textFill>
              </w:rPr>
            </w:pPr>
          </w:p>
        </w:tc>
        <w:tc>
          <w:tcPr>
            <w:tcW w:w="709" w:type="dxa"/>
            <w:vAlign w:val="center"/>
          </w:tcPr>
          <w:p w14:paraId="24D5F91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7D082650">
            <w:pPr>
              <w:jc w:val="center"/>
              <w:rPr>
                <w:i/>
                <w:color w:val="FF0000"/>
                <w:sz w:val="18"/>
                <w:szCs w:val="18"/>
              </w:rPr>
            </w:pPr>
          </w:p>
        </w:tc>
      </w:tr>
      <w:tr w14:paraId="28DF09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7A2AA69">
            <w:pPr>
              <w:jc w:val="center"/>
              <w:rPr>
                <w:b/>
                <w:color w:val="000000" w:themeColor="text1"/>
                <w:sz w:val="18"/>
                <w:szCs w:val="18"/>
                <w14:textFill>
                  <w14:solidFill>
                    <w14:schemeClr w14:val="tx1"/>
                  </w14:solidFill>
                </w14:textFill>
              </w:rPr>
            </w:pPr>
          </w:p>
        </w:tc>
        <w:tc>
          <w:tcPr>
            <w:tcW w:w="1226" w:type="dxa"/>
            <w:vMerge w:val="continue"/>
            <w:vAlign w:val="center"/>
          </w:tcPr>
          <w:p w14:paraId="668B45C1">
            <w:pPr>
              <w:jc w:val="center"/>
              <w:rPr>
                <w:b/>
                <w:color w:val="000000" w:themeColor="text1"/>
                <w:sz w:val="18"/>
                <w:szCs w:val="18"/>
                <w14:textFill>
                  <w14:solidFill>
                    <w14:schemeClr w14:val="tx1"/>
                  </w14:solidFill>
                </w14:textFill>
              </w:rPr>
            </w:pPr>
          </w:p>
        </w:tc>
        <w:tc>
          <w:tcPr>
            <w:tcW w:w="3516" w:type="dxa"/>
            <w:vAlign w:val="center"/>
          </w:tcPr>
          <w:p w14:paraId="7A02B434">
            <w:pPr>
              <w:rPr>
                <w:color w:val="000000" w:themeColor="text1"/>
                <w:sz w:val="18"/>
                <w:szCs w:val="18"/>
                <w14:textFill>
                  <w14:solidFill>
                    <w14:schemeClr w14:val="tx1"/>
                  </w14:solidFill>
                </w14:textFill>
              </w:rPr>
            </w:pPr>
            <w:r>
              <w:rPr>
                <w:rFonts w:hint="eastAsia"/>
                <w:color w:val="000000" w:themeColor="text1"/>
                <w:sz w:val="18"/>
                <w:szCs w:val="18"/>
                <w:lang w:eastAsia="zh-CN"/>
                <w14:textFill>
                  <w14:solidFill>
                    <w14:schemeClr w14:val="tx1"/>
                  </w14:solidFill>
                </w14:textFill>
              </w:rPr>
              <w:t>科教融合</w:t>
            </w:r>
            <w:r>
              <w:rPr>
                <w:color w:val="000000" w:themeColor="text1"/>
                <w:sz w:val="18"/>
                <w:szCs w:val="18"/>
                <w14:textFill>
                  <w14:solidFill>
                    <w14:schemeClr w14:val="tx1"/>
                  </w14:solidFill>
                </w14:textFill>
              </w:rPr>
              <w:t>学术活动</w:t>
            </w:r>
          </w:p>
        </w:tc>
        <w:tc>
          <w:tcPr>
            <w:tcW w:w="1154" w:type="dxa"/>
            <w:vAlign w:val="center"/>
          </w:tcPr>
          <w:p w14:paraId="65E2DED6">
            <w:pPr>
              <w:jc w:val="center"/>
              <w:rPr>
                <w:color w:val="000000" w:themeColor="text1"/>
                <w:sz w:val="18"/>
                <w:szCs w:val="18"/>
                <w14:textFill>
                  <w14:solidFill>
                    <w14:schemeClr w14:val="tx1"/>
                  </w14:solidFill>
                </w14:textFill>
              </w:rPr>
            </w:pPr>
          </w:p>
        </w:tc>
        <w:tc>
          <w:tcPr>
            <w:tcW w:w="636" w:type="dxa"/>
            <w:vAlign w:val="center"/>
          </w:tcPr>
          <w:p w14:paraId="29E3F27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068B3CF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1-6</w:t>
            </w:r>
          </w:p>
        </w:tc>
        <w:tc>
          <w:tcPr>
            <w:tcW w:w="1045" w:type="dxa"/>
            <w:vMerge w:val="continue"/>
            <w:vAlign w:val="center"/>
          </w:tcPr>
          <w:p w14:paraId="7F98FC6B">
            <w:pPr>
              <w:jc w:val="center"/>
              <w:rPr>
                <w:color w:val="000000" w:themeColor="text1"/>
                <w:sz w:val="18"/>
                <w:szCs w:val="18"/>
                <w14:textFill>
                  <w14:solidFill>
                    <w14:schemeClr w14:val="tx1"/>
                  </w14:solidFill>
                </w14:textFill>
              </w:rPr>
            </w:pPr>
          </w:p>
        </w:tc>
      </w:tr>
      <w:tr w14:paraId="3BA37ED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2E7811">
            <w:pPr>
              <w:rPr>
                <w:b/>
                <w:color w:val="000000" w:themeColor="text1"/>
                <w:sz w:val="18"/>
                <w:szCs w:val="18"/>
                <w14:textFill>
                  <w14:solidFill>
                    <w14:schemeClr w14:val="tx1"/>
                  </w14:solidFill>
                </w14:textFill>
              </w:rPr>
            </w:pPr>
          </w:p>
        </w:tc>
        <w:tc>
          <w:tcPr>
            <w:tcW w:w="1226" w:type="dxa"/>
            <w:vMerge w:val="restart"/>
            <w:vAlign w:val="center"/>
          </w:tcPr>
          <w:p w14:paraId="1633407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5978A36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154" w:type="dxa"/>
            <w:vAlign w:val="center"/>
          </w:tcPr>
          <w:p w14:paraId="21DC5A77">
            <w:pPr>
              <w:jc w:val="center"/>
              <w:rPr>
                <w:color w:val="000000" w:themeColor="text1"/>
                <w:sz w:val="18"/>
                <w:szCs w:val="18"/>
                <w14:textFill>
                  <w14:solidFill>
                    <w14:schemeClr w14:val="tx1"/>
                  </w14:solidFill>
                </w14:textFill>
              </w:rPr>
            </w:pPr>
          </w:p>
        </w:tc>
        <w:tc>
          <w:tcPr>
            <w:tcW w:w="636" w:type="dxa"/>
            <w:vAlign w:val="center"/>
          </w:tcPr>
          <w:p w14:paraId="56680E19">
            <w:pPr>
              <w:jc w:val="center"/>
              <w:rPr>
                <w:color w:val="000000" w:themeColor="text1"/>
                <w:sz w:val="18"/>
                <w:szCs w:val="18"/>
                <w14:textFill>
                  <w14:solidFill>
                    <w14:schemeClr w14:val="tx1"/>
                  </w14:solidFill>
                </w14:textFill>
              </w:rPr>
            </w:pPr>
          </w:p>
        </w:tc>
        <w:tc>
          <w:tcPr>
            <w:tcW w:w="709" w:type="dxa"/>
            <w:vAlign w:val="center"/>
          </w:tcPr>
          <w:p w14:paraId="6FC21774">
            <w:pPr>
              <w:jc w:val="center"/>
              <w:rPr>
                <w:rFonts w:hint="default" w:eastAsia="宋体"/>
                <w:iCs/>
                <w:sz w:val="18"/>
                <w:szCs w:val="18"/>
                <w:lang w:val="en-US" w:eastAsia="zh-CN"/>
              </w:rPr>
            </w:pPr>
            <w:r>
              <w:rPr>
                <w:rFonts w:hint="eastAsia"/>
                <w:iCs/>
                <w:sz w:val="18"/>
                <w:szCs w:val="18"/>
                <w:lang w:val="en-US" w:eastAsia="zh-CN"/>
              </w:rPr>
              <w:t>3-4</w:t>
            </w:r>
          </w:p>
        </w:tc>
        <w:tc>
          <w:tcPr>
            <w:tcW w:w="1045" w:type="dxa"/>
            <w:vMerge w:val="restart"/>
            <w:vAlign w:val="center"/>
          </w:tcPr>
          <w:p w14:paraId="2D2B11D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677328F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CBC4B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93873A1">
            <w:pPr>
              <w:rPr>
                <w:b/>
                <w:color w:val="000000" w:themeColor="text1"/>
                <w:sz w:val="18"/>
                <w:szCs w:val="18"/>
                <w14:textFill>
                  <w14:solidFill>
                    <w14:schemeClr w14:val="tx1"/>
                  </w14:solidFill>
                </w14:textFill>
              </w:rPr>
            </w:pPr>
          </w:p>
        </w:tc>
        <w:tc>
          <w:tcPr>
            <w:tcW w:w="1226" w:type="dxa"/>
            <w:vMerge w:val="continue"/>
            <w:vAlign w:val="center"/>
          </w:tcPr>
          <w:p w14:paraId="7534A9A9">
            <w:pPr>
              <w:jc w:val="center"/>
              <w:rPr>
                <w:b/>
                <w:color w:val="000000" w:themeColor="text1"/>
                <w:sz w:val="18"/>
                <w:szCs w:val="18"/>
                <w14:textFill>
                  <w14:solidFill>
                    <w14:schemeClr w14:val="tx1"/>
                  </w14:solidFill>
                </w14:textFill>
              </w:rPr>
            </w:pPr>
          </w:p>
        </w:tc>
        <w:tc>
          <w:tcPr>
            <w:tcW w:w="3516" w:type="dxa"/>
            <w:vAlign w:val="center"/>
          </w:tcPr>
          <w:p w14:paraId="5B71588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154" w:type="dxa"/>
            <w:vAlign w:val="center"/>
          </w:tcPr>
          <w:p w14:paraId="7E53020F">
            <w:pPr>
              <w:jc w:val="center"/>
              <w:rPr>
                <w:color w:val="000000" w:themeColor="text1"/>
                <w:sz w:val="18"/>
                <w:szCs w:val="18"/>
                <w14:textFill>
                  <w14:solidFill>
                    <w14:schemeClr w14:val="tx1"/>
                  </w14:solidFill>
                </w14:textFill>
              </w:rPr>
            </w:pPr>
          </w:p>
        </w:tc>
        <w:tc>
          <w:tcPr>
            <w:tcW w:w="636" w:type="dxa"/>
            <w:vAlign w:val="center"/>
          </w:tcPr>
          <w:p w14:paraId="0834D4F1">
            <w:pPr>
              <w:jc w:val="center"/>
              <w:rPr>
                <w:color w:val="000000" w:themeColor="text1"/>
                <w:sz w:val="18"/>
                <w:szCs w:val="18"/>
                <w14:textFill>
                  <w14:solidFill>
                    <w14:schemeClr w14:val="tx1"/>
                  </w14:solidFill>
                </w14:textFill>
              </w:rPr>
            </w:pPr>
          </w:p>
        </w:tc>
        <w:tc>
          <w:tcPr>
            <w:tcW w:w="709" w:type="dxa"/>
            <w:vAlign w:val="center"/>
          </w:tcPr>
          <w:p w14:paraId="1C284F91">
            <w:pPr>
              <w:jc w:val="center"/>
              <w:rPr>
                <w:rFonts w:hint="default" w:eastAsia="宋体"/>
                <w:iCs/>
                <w:sz w:val="18"/>
                <w:szCs w:val="18"/>
                <w:lang w:val="en-US" w:eastAsia="zh-CN"/>
              </w:rPr>
            </w:pPr>
            <w:r>
              <w:rPr>
                <w:rFonts w:hint="eastAsia"/>
                <w:iCs/>
                <w:sz w:val="18"/>
                <w:szCs w:val="18"/>
                <w:lang w:val="en-US" w:eastAsia="zh-CN"/>
              </w:rPr>
              <w:t>3-4</w:t>
            </w:r>
          </w:p>
        </w:tc>
        <w:tc>
          <w:tcPr>
            <w:tcW w:w="1045" w:type="dxa"/>
            <w:vMerge w:val="continue"/>
            <w:vAlign w:val="center"/>
          </w:tcPr>
          <w:p w14:paraId="265FA0E9">
            <w:pPr>
              <w:jc w:val="center"/>
              <w:rPr>
                <w:color w:val="000000" w:themeColor="text1"/>
                <w:sz w:val="18"/>
                <w:szCs w:val="18"/>
                <w14:textFill>
                  <w14:solidFill>
                    <w14:schemeClr w14:val="tx1"/>
                  </w14:solidFill>
                </w14:textFill>
              </w:rPr>
            </w:pPr>
          </w:p>
        </w:tc>
      </w:tr>
      <w:tr w14:paraId="4BBCC9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FA3221">
            <w:pPr>
              <w:rPr>
                <w:b/>
                <w:color w:val="000000" w:themeColor="text1"/>
                <w:sz w:val="18"/>
                <w:szCs w:val="18"/>
                <w14:textFill>
                  <w14:solidFill>
                    <w14:schemeClr w14:val="tx1"/>
                  </w14:solidFill>
                </w14:textFill>
              </w:rPr>
            </w:pPr>
          </w:p>
        </w:tc>
        <w:tc>
          <w:tcPr>
            <w:tcW w:w="1226" w:type="dxa"/>
            <w:vMerge w:val="continue"/>
            <w:vAlign w:val="center"/>
          </w:tcPr>
          <w:p w14:paraId="7081A0F0">
            <w:pPr>
              <w:jc w:val="center"/>
              <w:rPr>
                <w:b/>
                <w:color w:val="000000" w:themeColor="text1"/>
                <w:sz w:val="18"/>
                <w:szCs w:val="18"/>
                <w14:textFill>
                  <w14:solidFill>
                    <w14:schemeClr w14:val="tx1"/>
                  </w14:solidFill>
                </w14:textFill>
              </w:rPr>
            </w:pPr>
          </w:p>
        </w:tc>
        <w:tc>
          <w:tcPr>
            <w:tcW w:w="3516" w:type="dxa"/>
            <w:vAlign w:val="center"/>
          </w:tcPr>
          <w:p w14:paraId="6350D9DC">
            <w:pPr>
              <w:rPr>
                <w:sz w:val="18"/>
                <w:szCs w:val="18"/>
              </w:rPr>
            </w:pPr>
            <w:r>
              <w:rPr>
                <w:sz w:val="18"/>
                <w:szCs w:val="18"/>
              </w:rPr>
              <w:t>论文中期进展报告</w:t>
            </w:r>
          </w:p>
        </w:tc>
        <w:tc>
          <w:tcPr>
            <w:tcW w:w="1154" w:type="dxa"/>
            <w:vAlign w:val="center"/>
          </w:tcPr>
          <w:p w14:paraId="2665E927">
            <w:pPr>
              <w:jc w:val="center"/>
              <w:rPr>
                <w:color w:val="000000" w:themeColor="text1"/>
                <w:sz w:val="18"/>
                <w:szCs w:val="18"/>
                <w14:textFill>
                  <w14:solidFill>
                    <w14:schemeClr w14:val="tx1"/>
                  </w14:solidFill>
                </w14:textFill>
              </w:rPr>
            </w:pPr>
          </w:p>
        </w:tc>
        <w:tc>
          <w:tcPr>
            <w:tcW w:w="636" w:type="dxa"/>
            <w:vAlign w:val="center"/>
          </w:tcPr>
          <w:p w14:paraId="1F070F14">
            <w:pPr>
              <w:jc w:val="center"/>
              <w:rPr>
                <w:color w:val="000000" w:themeColor="text1"/>
                <w:sz w:val="18"/>
                <w:szCs w:val="18"/>
                <w14:textFill>
                  <w14:solidFill>
                    <w14:schemeClr w14:val="tx1"/>
                  </w14:solidFill>
                </w14:textFill>
              </w:rPr>
            </w:pPr>
          </w:p>
        </w:tc>
        <w:tc>
          <w:tcPr>
            <w:tcW w:w="709" w:type="dxa"/>
            <w:vAlign w:val="center"/>
          </w:tcPr>
          <w:p w14:paraId="5C880EBD">
            <w:pPr>
              <w:jc w:val="center"/>
              <w:rPr>
                <w:iCs/>
                <w:sz w:val="18"/>
                <w:szCs w:val="18"/>
              </w:rPr>
            </w:pPr>
            <w:r>
              <w:rPr>
                <w:rFonts w:hint="eastAsia"/>
                <w:iCs/>
                <w:sz w:val="18"/>
                <w:szCs w:val="18"/>
              </w:rPr>
              <w:t>5</w:t>
            </w:r>
          </w:p>
        </w:tc>
        <w:tc>
          <w:tcPr>
            <w:tcW w:w="1045" w:type="dxa"/>
            <w:vMerge w:val="continue"/>
          </w:tcPr>
          <w:p w14:paraId="5B7472DC">
            <w:pPr>
              <w:jc w:val="center"/>
              <w:rPr>
                <w:color w:val="000000" w:themeColor="text1"/>
                <w:sz w:val="18"/>
                <w:szCs w:val="18"/>
                <w14:textFill>
                  <w14:solidFill>
                    <w14:schemeClr w14:val="tx1"/>
                  </w14:solidFill>
                </w14:textFill>
              </w:rPr>
            </w:pPr>
          </w:p>
        </w:tc>
      </w:tr>
      <w:tr w14:paraId="3DE4CB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BD7E793">
            <w:pPr>
              <w:rPr>
                <w:b/>
                <w:color w:val="000000" w:themeColor="text1"/>
                <w:sz w:val="18"/>
                <w:szCs w:val="18"/>
                <w14:textFill>
                  <w14:solidFill>
                    <w14:schemeClr w14:val="tx1"/>
                  </w14:solidFill>
                </w14:textFill>
              </w:rPr>
            </w:pPr>
          </w:p>
        </w:tc>
        <w:tc>
          <w:tcPr>
            <w:tcW w:w="1226" w:type="dxa"/>
            <w:vMerge w:val="continue"/>
            <w:vAlign w:val="center"/>
          </w:tcPr>
          <w:p w14:paraId="618D2937">
            <w:pPr>
              <w:jc w:val="center"/>
              <w:rPr>
                <w:b/>
                <w:color w:val="000000" w:themeColor="text1"/>
                <w:sz w:val="18"/>
                <w:szCs w:val="18"/>
                <w14:textFill>
                  <w14:solidFill>
                    <w14:schemeClr w14:val="tx1"/>
                  </w14:solidFill>
                </w14:textFill>
              </w:rPr>
            </w:pPr>
          </w:p>
        </w:tc>
        <w:tc>
          <w:tcPr>
            <w:tcW w:w="3516" w:type="dxa"/>
            <w:vAlign w:val="center"/>
          </w:tcPr>
          <w:p w14:paraId="46475E3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154" w:type="dxa"/>
            <w:vAlign w:val="center"/>
          </w:tcPr>
          <w:p w14:paraId="04684965">
            <w:pPr>
              <w:jc w:val="center"/>
              <w:rPr>
                <w:color w:val="000000" w:themeColor="text1"/>
                <w:sz w:val="18"/>
                <w:szCs w:val="18"/>
                <w14:textFill>
                  <w14:solidFill>
                    <w14:schemeClr w14:val="tx1"/>
                  </w14:solidFill>
                </w14:textFill>
              </w:rPr>
            </w:pPr>
          </w:p>
        </w:tc>
        <w:tc>
          <w:tcPr>
            <w:tcW w:w="636" w:type="dxa"/>
            <w:vAlign w:val="center"/>
          </w:tcPr>
          <w:p w14:paraId="4D703412">
            <w:pPr>
              <w:jc w:val="center"/>
              <w:rPr>
                <w:color w:val="000000" w:themeColor="text1"/>
                <w:sz w:val="18"/>
                <w:szCs w:val="18"/>
                <w14:textFill>
                  <w14:solidFill>
                    <w14:schemeClr w14:val="tx1"/>
                  </w14:solidFill>
                </w14:textFill>
              </w:rPr>
            </w:pPr>
          </w:p>
        </w:tc>
        <w:tc>
          <w:tcPr>
            <w:tcW w:w="709" w:type="dxa"/>
            <w:vAlign w:val="center"/>
          </w:tcPr>
          <w:p w14:paraId="35CA7280">
            <w:pPr>
              <w:jc w:val="center"/>
              <w:rPr>
                <w:iCs/>
                <w:sz w:val="18"/>
                <w:szCs w:val="18"/>
              </w:rPr>
            </w:pPr>
            <w:r>
              <w:rPr>
                <w:rFonts w:hint="eastAsia"/>
                <w:iCs/>
                <w:sz w:val="18"/>
                <w:szCs w:val="18"/>
              </w:rPr>
              <w:t>6-8</w:t>
            </w:r>
          </w:p>
        </w:tc>
        <w:tc>
          <w:tcPr>
            <w:tcW w:w="1045" w:type="dxa"/>
            <w:vMerge w:val="continue"/>
          </w:tcPr>
          <w:p w14:paraId="4AEF4463">
            <w:pPr>
              <w:jc w:val="center"/>
              <w:rPr>
                <w:color w:val="000000" w:themeColor="text1"/>
                <w:sz w:val="18"/>
                <w:szCs w:val="18"/>
                <w14:textFill>
                  <w14:solidFill>
                    <w14:schemeClr w14:val="tx1"/>
                  </w14:solidFill>
                </w14:textFill>
              </w:rPr>
            </w:pPr>
          </w:p>
        </w:tc>
      </w:tr>
      <w:tr w14:paraId="0094BF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25BFABA">
            <w:pPr>
              <w:rPr>
                <w:color w:val="000000" w:themeColor="text1"/>
                <w:sz w:val="18"/>
                <w:szCs w:val="18"/>
                <w14:textFill>
                  <w14:solidFill>
                    <w14:schemeClr w14:val="tx1"/>
                  </w14:solidFill>
                </w14:textFill>
              </w:rPr>
            </w:pPr>
          </w:p>
        </w:tc>
        <w:tc>
          <w:tcPr>
            <w:tcW w:w="1226" w:type="dxa"/>
            <w:vMerge w:val="continue"/>
          </w:tcPr>
          <w:p w14:paraId="138921DB">
            <w:pPr>
              <w:jc w:val="center"/>
              <w:rPr>
                <w:color w:val="000000" w:themeColor="text1"/>
                <w:sz w:val="18"/>
                <w:szCs w:val="18"/>
                <w14:textFill>
                  <w14:solidFill>
                    <w14:schemeClr w14:val="tx1"/>
                  </w14:solidFill>
                </w14:textFill>
              </w:rPr>
            </w:pPr>
          </w:p>
        </w:tc>
        <w:tc>
          <w:tcPr>
            <w:tcW w:w="3516" w:type="dxa"/>
            <w:vAlign w:val="center"/>
          </w:tcPr>
          <w:p w14:paraId="2F88EC0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154" w:type="dxa"/>
            <w:vAlign w:val="center"/>
          </w:tcPr>
          <w:p w14:paraId="5B6E2F13">
            <w:pPr>
              <w:jc w:val="center"/>
              <w:rPr>
                <w:color w:val="000000" w:themeColor="text1"/>
                <w:sz w:val="18"/>
                <w:szCs w:val="18"/>
                <w14:textFill>
                  <w14:solidFill>
                    <w14:schemeClr w14:val="tx1"/>
                  </w14:solidFill>
                </w14:textFill>
              </w:rPr>
            </w:pPr>
          </w:p>
        </w:tc>
        <w:tc>
          <w:tcPr>
            <w:tcW w:w="636" w:type="dxa"/>
            <w:vAlign w:val="center"/>
          </w:tcPr>
          <w:p w14:paraId="344C209C">
            <w:pPr>
              <w:jc w:val="center"/>
              <w:rPr>
                <w:color w:val="000000" w:themeColor="text1"/>
                <w:sz w:val="18"/>
                <w:szCs w:val="18"/>
                <w14:textFill>
                  <w14:solidFill>
                    <w14:schemeClr w14:val="tx1"/>
                  </w14:solidFill>
                </w14:textFill>
              </w:rPr>
            </w:pPr>
          </w:p>
        </w:tc>
        <w:tc>
          <w:tcPr>
            <w:tcW w:w="709" w:type="dxa"/>
            <w:vAlign w:val="center"/>
          </w:tcPr>
          <w:p w14:paraId="19C43C2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67B44353">
            <w:pPr>
              <w:jc w:val="center"/>
              <w:rPr>
                <w:color w:val="000000" w:themeColor="text1"/>
                <w:sz w:val="18"/>
                <w:szCs w:val="18"/>
                <w14:textFill>
                  <w14:solidFill>
                    <w14:schemeClr w14:val="tx1"/>
                  </w14:solidFill>
                </w14:textFill>
              </w:rPr>
            </w:pPr>
          </w:p>
        </w:tc>
      </w:tr>
      <w:tr w14:paraId="03D5EC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F8FD692">
            <w:pPr>
              <w:rPr>
                <w:color w:val="000000" w:themeColor="text1"/>
                <w:sz w:val="18"/>
                <w:szCs w:val="18"/>
                <w14:textFill>
                  <w14:solidFill>
                    <w14:schemeClr w14:val="tx1"/>
                  </w14:solidFill>
                </w14:textFill>
              </w:rPr>
            </w:pPr>
          </w:p>
        </w:tc>
        <w:tc>
          <w:tcPr>
            <w:tcW w:w="1226" w:type="dxa"/>
            <w:vMerge w:val="continue"/>
          </w:tcPr>
          <w:p w14:paraId="38DD7AE3">
            <w:pPr>
              <w:jc w:val="center"/>
              <w:rPr>
                <w:color w:val="000000" w:themeColor="text1"/>
                <w:sz w:val="18"/>
                <w:szCs w:val="18"/>
                <w14:textFill>
                  <w14:solidFill>
                    <w14:schemeClr w14:val="tx1"/>
                  </w14:solidFill>
                </w14:textFill>
              </w:rPr>
            </w:pPr>
          </w:p>
        </w:tc>
        <w:tc>
          <w:tcPr>
            <w:tcW w:w="3516" w:type="dxa"/>
            <w:vAlign w:val="center"/>
          </w:tcPr>
          <w:p w14:paraId="7B38D59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154" w:type="dxa"/>
            <w:vAlign w:val="center"/>
          </w:tcPr>
          <w:p w14:paraId="3205D813">
            <w:pPr>
              <w:jc w:val="center"/>
              <w:rPr>
                <w:color w:val="000000" w:themeColor="text1"/>
                <w:sz w:val="18"/>
                <w:szCs w:val="18"/>
                <w14:textFill>
                  <w14:solidFill>
                    <w14:schemeClr w14:val="tx1"/>
                  </w14:solidFill>
                </w14:textFill>
              </w:rPr>
            </w:pPr>
          </w:p>
        </w:tc>
        <w:tc>
          <w:tcPr>
            <w:tcW w:w="636" w:type="dxa"/>
            <w:vAlign w:val="center"/>
          </w:tcPr>
          <w:p w14:paraId="7F0D24EA">
            <w:pPr>
              <w:jc w:val="center"/>
              <w:rPr>
                <w:color w:val="000000" w:themeColor="text1"/>
                <w:sz w:val="18"/>
                <w:szCs w:val="18"/>
                <w14:textFill>
                  <w14:solidFill>
                    <w14:schemeClr w14:val="tx1"/>
                  </w14:solidFill>
                </w14:textFill>
              </w:rPr>
            </w:pPr>
          </w:p>
        </w:tc>
        <w:tc>
          <w:tcPr>
            <w:tcW w:w="709" w:type="dxa"/>
            <w:vAlign w:val="center"/>
          </w:tcPr>
          <w:p w14:paraId="6E1C129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010A008D">
            <w:pPr>
              <w:jc w:val="center"/>
              <w:rPr>
                <w:color w:val="000000" w:themeColor="text1"/>
                <w:sz w:val="18"/>
                <w:szCs w:val="18"/>
                <w14:textFill>
                  <w14:solidFill>
                    <w14:schemeClr w14:val="tx1"/>
                  </w14:solidFill>
                </w14:textFill>
              </w:rPr>
            </w:pPr>
          </w:p>
        </w:tc>
      </w:tr>
    </w:tbl>
    <w:p w14:paraId="2845E35E">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3C60D4DE">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F00004C">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047B1DDB">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2ACC50AC">
      <w:pPr>
        <w:ind w:left="321" w:leftChars="153" w:right="227"/>
        <w:jc w:val="center"/>
        <w:rPr>
          <w:rFonts w:eastAsia="黑体"/>
          <w:b/>
          <w:bCs/>
          <w:i/>
          <w:color w:val="FF0000"/>
          <w:sz w:val="36"/>
          <w:szCs w:val="36"/>
          <w:u w:val="single"/>
        </w:rPr>
      </w:pPr>
    </w:p>
    <w:p w14:paraId="09B4F55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47F"/>
    <w:rsid w:val="00047753"/>
    <w:rsid w:val="0012047F"/>
    <w:rsid w:val="002B7F3D"/>
    <w:rsid w:val="00350027"/>
    <w:rsid w:val="004739CD"/>
    <w:rsid w:val="005D494D"/>
    <w:rsid w:val="006546F6"/>
    <w:rsid w:val="0077513B"/>
    <w:rsid w:val="0080387C"/>
    <w:rsid w:val="00887CAE"/>
    <w:rsid w:val="008F1679"/>
    <w:rsid w:val="00941C40"/>
    <w:rsid w:val="00B8102B"/>
    <w:rsid w:val="0A18716F"/>
    <w:rsid w:val="0B9E28DE"/>
    <w:rsid w:val="107A686D"/>
    <w:rsid w:val="14681A9C"/>
    <w:rsid w:val="372413FB"/>
    <w:rsid w:val="3EFD187A"/>
    <w:rsid w:val="4DCE7465"/>
    <w:rsid w:val="53560736"/>
    <w:rsid w:val="69DA2B1D"/>
    <w:rsid w:val="6B0D65D4"/>
    <w:rsid w:val="7B511FC8"/>
    <w:rsid w:val="7DDD542C"/>
    <w:rsid w:val="7FB974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5463</Words>
  <Characters>5680</Characters>
  <Lines>277</Lines>
  <Paragraphs>271</Paragraphs>
  <TotalTime>83</TotalTime>
  <ScaleCrop>false</ScaleCrop>
  <LinksUpToDate>false</LinksUpToDate>
  <CharactersWithSpaces>5690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2025-04-25T02:43:00Z</dcterms:created>
  <dc:creator>Administrator</dc:creator>
  <cp:lastModifiedBy>许诺/ty</cp:lastModifiedBy>
  <dcterms:modified xsi:type="dcterms:W3CDTF">2025-06-23T02:32:37Z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eyJoZGlkIjoiMjgwZjczMGExMzViMTFhYzEzZjJjYmUxOTlkOTA2MzQiLCJ1c2VySWQiOiIzNjQ0ODYzMjMifQ==</vt:lpwstr>
  </property>
  <property fmtid="{D5CDD505-2E9C-101B-9397-08002B2CF9AE}" pid="4" name="ICV">
    <vt:lpwstr>E3E6A3B6ECC749618E3AED47E9D0D87B_13</vt:lpwstr>
  </property>
</Properties>
</file>