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FF9600">
      <w:pPr>
        <w:ind w:left="321" w:leftChars="153" w:right="227"/>
        <w:jc w:val="center"/>
        <w:rPr>
          <w:rFonts w:eastAsia="黑体"/>
          <w:b/>
          <w:bCs/>
          <w:color w:val="auto"/>
          <w:sz w:val="36"/>
          <w:szCs w:val="36"/>
        </w:rPr>
      </w:pPr>
      <w:bookmarkStart w:id="0" w:name="OLE_LINK6"/>
      <w:bookmarkStart w:id="1" w:name="OLE_LINK7"/>
      <w:r>
        <w:rPr>
          <w:rFonts w:hint="eastAsia" w:eastAsia="黑体"/>
          <w:b/>
          <w:bCs/>
          <w:i w:val="0"/>
          <w:iCs/>
          <w:color w:val="auto"/>
          <w:sz w:val="32"/>
          <w:szCs w:val="32"/>
          <w:u w:val="single"/>
          <w:lang w:eastAsia="zh-CN"/>
        </w:rPr>
        <w:t>安全工程</w:t>
      </w:r>
      <w:r>
        <w:rPr>
          <w:rFonts w:eastAsia="黑体"/>
          <w:b/>
          <w:bCs/>
          <w:color w:val="auto"/>
          <w:sz w:val="32"/>
          <w:szCs w:val="32"/>
        </w:rPr>
        <w:t>专业全日制专业学位硕士研究生培养方案</w:t>
      </w:r>
    </w:p>
    <w:p w14:paraId="02A1FB2C">
      <w:pPr>
        <w:ind w:left="321" w:leftChars="153" w:right="227"/>
        <w:jc w:val="center"/>
        <w:rPr>
          <w:rFonts w:eastAsia="黑体"/>
          <w:b/>
          <w:bCs/>
          <w:color w:val="auto"/>
          <w:sz w:val="28"/>
          <w:szCs w:val="28"/>
        </w:rPr>
      </w:pPr>
      <w:r>
        <w:rPr>
          <w:rFonts w:eastAsia="黑体"/>
          <w:b/>
          <w:bCs/>
          <w:color w:val="auto"/>
          <w:sz w:val="28"/>
          <w:szCs w:val="28"/>
        </w:rPr>
        <w:t>（</w:t>
      </w:r>
      <w:r>
        <w:rPr>
          <w:rFonts w:hint="eastAsia" w:eastAsia="黑体"/>
          <w:b/>
          <w:bCs/>
          <w:color w:val="auto"/>
          <w:sz w:val="28"/>
          <w:szCs w:val="28"/>
          <w:lang w:eastAsia="zh-CN"/>
        </w:rPr>
        <w:t>质量技术监督</w:t>
      </w:r>
      <w:r>
        <w:rPr>
          <w:rFonts w:eastAsia="黑体"/>
          <w:b/>
          <w:bCs/>
          <w:color w:val="auto"/>
          <w:sz w:val="28"/>
          <w:szCs w:val="28"/>
        </w:rPr>
        <w:t>学院)</w:t>
      </w:r>
    </w:p>
    <w:p w14:paraId="7AD21D42">
      <w:pPr>
        <w:spacing w:line="360" w:lineRule="auto"/>
        <w:ind w:firstLine="560"/>
        <w:rPr>
          <w:rFonts w:eastAsia="黑体"/>
          <w:bCs/>
          <w:sz w:val="28"/>
          <w:szCs w:val="28"/>
        </w:rPr>
      </w:pPr>
      <w:r>
        <w:rPr>
          <w:rFonts w:eastAsia="黑体"/>
          <w:bCs/>
          <w:sz w:val="28"/>
          <w:szCs w:val="28"/>
        </w:rPr>
        <w:t>一、专业名称、代码</w:t>
      </w:r>
    </w:p>
    <w:p w14:paraId="0B39189C">
      <w:pPr>
        <w:widowControl/>
        <w:spacing w:line="360" w:lineRule="auto"/>
        <w:ind w:firstLine="960" w:firstLineChars="400"/>
        <w:jc w:val="left"/>
        <w:rPr>
          <w:rFonts w:hint="eastAsia" w:eastAsia="宋体"/>
          <w:color w:val="222222"/>
          <w:kern w:val="0"/>
          <w:sz w:val="18"/>
          <w:szCs w:val="18"/>
          <w:lang w:eastAsia="zh-CN"/>
        </w:rPr>
      </w:pPr>
      <w:r>
        <w:rPr>
          <w:color w:val="222222"/>
          <w:kern w:val="0"/>
          <w:sz w:val="24"/>
        </w:rPr>
        <w:t>专业名称：</w:t>
      </w:r>
      <w:r>
        <w:rPr>
          <w:rFonts w:hint="eastAsia"/>
          <w:color w:val="222222"/>
          <w:kern w:val="0"/>
          <w:sz w:val="24"/>
          <w:lang w:eastAsia="zh-CN"/>
        </w:rPr>
        <w:t>安全工程</w:t>
      </w:r>
    </w:p>
    <w:p w14:paraId="49C0F88C">
      <w:pPr>
        <w:widowControl/>
        <w:spacing w:line="360" w:lineRule="auto"/>
        <w:ind w:firstLine="960" w:firstLineChars="400"/>
        <w:jc w:val="left"/>
        <w:rPr>
          <w:color w:val="222222"/>
          <w:kern w:val="0"/>
          <w:sz w:val="18"/>
          <w:szCs w:val="18"/>
        </w:rPr>
      </w:pPr>
      <w:r>
        <w:rPr>
          <w:color w:val="222222"/>
          <w:kern w:val="0"/>
          <w:sz w:val="24"/>
        </w:rPr>
        <w:t>专业代码：</w:t>
      </w:r>
      <w:r>
        <w:rPr>
          <w:rFonts w:hint="eastAsia" w:asciiTheme="minorEastAsia" w:hAnsiTheme="minorEastAsia" w:eastAsiaTheme="minorEastAsia"/>
          <w:color w:val="000000" w:themeColor="text1"/>
          <w:sz w:val="24"/>
          <w14:textFill>
            <w14:solidFill>
              <w14:schemeClr w14:val="tx1"/>
            </w14:solidFill>
          </w14:textFill>
        </w:rPr>
        <w:t>085702</w:t>
      </w:r>
    </w:p>
    <w:p w14:paraId="64C77968">
      <w:pPr>
        <w:spacing w:line="360" w:lineRule="auto"/>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56A67FA4">
      <w:pPr>
        <w:spacing w:line="360" w:lineRule="auto"/>
        <w:ind w:firstLine="480" w:firstLineChars="200"/>
        <w:rPr>
          <w:rFonts w:hint="eastAsia" w:eastAsiaTheme="minorEastAsia"/>
          <w:sz w:val="24"/>
        </w:rPr>
      </w:pPr>
      <w:r>
        <w:rPr>
          <w:rFonts w:hint="eastAsia" w:asciiTheme="minorEastAsia" w:hAnsiTheme="minorEastAsia" w:eastAsiaTheme="minorEastAsia"/>
          <w:color w:val="000000" w:themeColor="text1"/>
          <w:sz w:val="24"/>
          <w14:textFill>
            <w14:solidFill>
              <w14:schemeClr w14:val="tx1"/>
            </w14:solidFill>
          </w14:textFill>
        </w:rPr>
        <w:t>安全工程专业学位涵盖特种设备安全等领域，包括特种设备安全与无损检测技术</w:t>
      </w:r>
      <w:r>
        <w:rPr>
          <w:rFonts w:hint="eastAsia" w:eastAsiaTheme="minorEastAsia"/>
          <w:sz w:val="24"/>
        </w:rPr>
        <w:t>、新型传感材料器件与仪器研发、环境安全健康检测与评价三个特色方向，是综合运用自然科学、技术科学和管理科学等方面的有关知识，通过辨识和预测存在的不安全因素，采取有效措施防止事故发生或减轻事故损伤的工程领域。</w:t>
      </w:r>
    </w:p>
    <w:p w14:paraId="174ED68A">
      <w:pPr>
        <w:spacing w:line="360" w:lineRule="auto"/>
        <w:ind w:firstLine="480" w:firstLineChars="200"/>
        <w:rPr>
          <w:rFonts w:eastAsiaTheme="minorEastAsia"/>
          <w:i/>
          <w:color w:val="FF0000"/>
          <w:sz w:val="24"/>
        </w:rPr>
      </w:pPr>
      <w:r>
        <w:rPr>
          <w:rFonts w:hint="eastAsia" w:asciiTheme="minorEastAsia" w:hAnsiTheme="minorEastAsia" w:eastAsiaTheme="minorEastAsia"/>
          <w:color w:val="000000" w:themeColor="text1"/>
          <w:sz w:val="24"/>
          <w14:textFill>
            <w14:solidFill>
              <w14:schemeClr w14:val="tx1"/>
            </w14:solidFill>
          </w14:textFill>
        </w:rPr>
        <w:t>本专业学位结合国家质量基础与安全发展战略需求，以特种设备安全及检验检测为特色，构建以特种设备安全为主，检测、监测、评价、防护为一体的人才培养体系。本专业学位依托零碳能源建筑与计量技术教育部工程研究中心、计量仪器与系统国家地方联合工程研究中心、河北省能源计量与安全检测技术重点实验室、国家市场监管技术创新中心（大型游乐设施健康管控）等省部级以上科研平台</w:t>
      </w:r>
      <w:r>
        <w:rPr>
          <w:rFonts w:hint="eastAsia" w:eastAsiaTheme="minorEastAsia"/>
          <w:sz w:val="24"/>
        </w:rPr>
        <w:t>，</w:t>
      </w:r>
      <w:r>
        <w:rPr>
          <w:rFonts w:hint="eastAsia" w:asciiTheme="minorEastAsia" w:hAnsiTheme="minorEastAsia" w:eastAsiaTheme="minorEastAsia"/>
          <w:color w:val="000000" w:themeColor="text1"/>
          <w:sz w:val="24"/>
          <w14:textFill>
            <w14:solidFill>
              <w14:schemeClr w14:val="tx1"/>
            </w14:solidFill>
          </w14:textFill>
        </w:rPr>
        <w:t>建有特种设备安全实验室、无损检测实验室、安全人机工程实验室等多个专业实验室</w:t>
      </w:r>
      <w:r>
        <w:rPr>
          <w:rFonts w:hint="eastAsia" w:eastAsiaTheme="minorEastAsia"/>
          <w:sz w:val="24"/>
        </w:rPr>
        <w:t>，</w:t>
      </w:r>
      <w:r>
        <w:rPr>
          <w:rFonts w:hint="eastAsia" w:asciiTheme="minorEastAsia" w:hAnsiTheme="minorEastAsia" w:eastAsiaTheme="minorEastAsia"/>
          <w:color w:val="000000" w:themeColor="text1"/>
          <w:sz w:val="24"/>
          <w14:textFill>
            <w14:solidFill>
              <w14:schemeClr w14:val="tx1"/>
            </w14:solidFill>
          </w14:textFill>
        </w:rPr>
        <w:t>围绕国家特种设备及相关领域安全性能检验检测的需求开展应用研究</w:t>
      </w:r>
      <w:r>
        <w:rPr>
          <w:rFonts w:hint="eastAsia" w:asciiTheme="minorEastAsia" w:hAnsiTheme="minorEastAsia" w:eastAsiaTheme="minorEastAsia"/>
          <w:color w:val="000000" w:themeColor="text1"/>
          <w:sz w:val="24"/>
          <w:lang w:eastAsia="zh-CN"/>
          <w14:textFill>
            <w14:solidFill>
              <w14:schemeClr w14:val="tx1"/>
            </w14:solidFill>
          </w14:textFill>
        </w:rPr>
        <w:t>，</w:t>
      </w:r>
      <w:r>
        <w:rPr>
          <w:rFonts w:hint="eastAsia" w:asciiTheme="minorEastAsia" w:hAnsiTheme="minorEastAsia" w:eastAsiaTheme="minorEastAsia"/>
          <w:color w:val="000000" w:themeColor="text1"/>
          <w:sz w:val="24"/>
          <w14:textFill>
            <w14:solidFill>
              <w14:schemeClr w14:val="tx1"/>
            </w14:solidFill>
          </w14:textFill>
        </w:rPr>
        <w:t>具有鲜明的质检行业特色。</w:t>
      </w:r>
    </w:p>
    <w:p w14:paraId="3C7659B2">
      <w:pPr>
        <w:spacing w:line="360" w:lineRule="auto"/>
        <w:ind w:firstLine="560" w:firstLineChars="200"/>
        <w:rPr>
          <w:rFonts w:eastAsia="黑体"/>
          <w:bCs/>
          <w:sz w:val="28"/>
          <w:szCs w:val="28"/>
        </w:rPr>
      </w:pPr>
      <w:r>
        <w:rPr>
          <w:rFonts w:eastAsia="黑体"/>
          <w:bCs/>
          <w:sz w:val="28"/>
          <w:szCs w:val="28"/>
        </w:rPr>
        <w:t>三、研究方向</w:t>
      </w:r>
    </w:p>
    <w:p w14:paraId="3AD3EA86">
      <w:pPr>
        <w:spacing w:line="360" w:lineRule="auto"/>
        <w:ind w:firstLine="482" w:firstLineChars="200"/>
        <w:rPr>
          <w:b/>
          <w:bCs/>
          <w:sz w:val="24"/>
        </w:rPr>
      </w:pPr>
      <w:r>
        <w:rPr>
          <w:rFonts w:hint="eastAsia" w:asciiTheme="minorEastAsia" w:hAnsiTheme="minorEastAsia" w:eastAsiaTheme="minorEastAsia"/>
          <w:b/>
          <w:bCs/>
          <w:color w:val="000000" w:themeColor="text1"/>
          <w:sz w:val="24"/>
          <w14:textFill>
            <w14:solidFill>
              <w14:schemeClr w14:val="tx1"/>
            </w14:solidFill>
          </w14:textFill>
        </w:rPr>
        <w:t>1.特种设备安全与无损检测技术</w:t>
      </w:r>
    </w:p>
    <w:p w14:paraId="62A98394">
      <w:pPr>
        <w:spacing w:line="360" w:lineRule="auto"/>
        <w:ind w:firstLine="480" w:firstLineChars="200"/>
        <w:rPr>
          <w:rFonts w:asciiTheme="minorEastAsia" w:hAnsiTheme="minorEastAsia" w:eastAsiaTheme="minorEastAsia"/>
          <w:color w:val="000000" w:themeColor="text1"/>
          <w:sz w:val="24"/>
          <w14:textFill>
            <w14:solidFill>
              <w14:schemeClr w14:val="tx1"/>
            </w14:solidFill>
          </w14:textFill>
        </w:rPr>
      </w:pPr>
      <w:r>
        <w:rPr>
          <w:rFonts w:hint="eastAsia"/>
          <w:sz w:val="24"/>
        </w:rPr>
        <w:t>本方向围绕国家特种设备及相关领域安全性能检验检测的需求，</w:t>
      </w:r>
      <w:r>
        <w:rPr>
          <w:sz w:val="24"/>
        </w:rPr>
        <w:t>对储氢气瓶、游乐设施等特种设备典型复合材料结构的基体开裂、界面分层和纤维断裂等失效行为开展损伤监测、定位以及模式识别研究。利用机器学习分析声发射信号，建立复合材料结构损伤模式自动分类模型和损伤源区域定位模型。结合红外热成像和数字图像相关方法，建立损伤演化过程中声发射信号、温度场和应变场之间的对应关系，实现声、光、热实时损伤监测和模式识别。以电磁层析成像检测技术检测复合材料结构的损伤，根据层析成像机理和算法重建损伤图像对损伤进行精确定位。结合显微CT技术，验证损伤模式和位置识别的准确性。利用多种互补无损检测技术，实现复合材料结构在复杂服役状态下的可靠性和损伤程度的多角度评估。结合特种设备的功能和用途（特别是容器或管道内危险化学品特征及泄露事故特点），利用多种评估方式综合评估特种设备损伤后所造成的环境污染以及对人体健康及环境质量的影响，构建特种设备泄露的健康风险评估方法和技术。</w:t>
      </w:r>
      <w:r>
        <w:rPr>
          <w:rFonts w:hint="eastAsia"/>
          <w:sz w:val="24"/>
        </w:rPr>
        <w:t>本方向致力于培养具有特种设备安全与无损检测专业基础扎实、理论功底深厚、实践能力强</w:t>
      </w:r>
      <w:r>
        <w:rPr>
          <w:rFonts w:hint="eastAsia"/>
          <w:sz w:val="24"/>
          <w:lang w:val="en-US" w:eastAsia="zh-CN"/>
        </w:rPr>
        <w:t>且具有工程伦理与社会责任</w:t>
      </w:r>
      <w:r>
        <w:rPr>
          <w:rFonts w:hint="eastAsia"/>
          <w:sz w:val="24"/>
        </w:rPr>
        <w:t>的高层次教学科研与工程技术人才。</w:t>
      </w:r>
    </w:p>
    <w:p w14:paraId="2F752FC2">
      <w:pPr>
        <w:spacing w:line="360" w:lineRule="auto"/>
        <w:ind w:left="480"/>
        <w:rPr>
          <w:rFonts w:asciiTheme="minorEastAsia" w:hAnsiTheme="minorEastAsia" w:eastAsiaTheme="minorEastAsia"/>
          <w:b/>
          <w:bCs/>
          <w:color w:val="000000" w:themeColor="text1"/>
          <w:sz w:val="24"/>
          <w14:textFill>
            <w14:solidFill>
              <w14:schemeClr w14:val="tx1"/>
            </w14:solidFill>
          </w14:textFill>
        </w:rPr>
      </w:pPr>
      <w:r>
        <w:rPr>
          <w:rFonts w:asciiTheme="minorEastAsia" w:hAnsiTheme="minorEastAsia" w:eastAsiaTheme="minorEastAsia"/>
          <w:b/>
          <w:bCs/>
          <w:color w:val="000000" w:themeColor="text1"/>
          <w:sz w:val="24"/>
          <w14:textFill>
            <w14:solidFill>
              <w14:schemeClr w14:val="tx1"/>
            </w14:solidFill>
          </w14:textFill>
        </w:rPr>
        <w:t>2</w:t>
      </w:r>
      <w:r>
        <w:rPr>
          <w:rFonts w:hint="eastAsia" w:asciiTheme="minorEastAsia" w:hAnsiTheme="minorEastAsia" w:eastAsiaTheme="minorEastAsia"/>
          <w:b/>
          <w:bCs/>
          <w:color w:val="000000" w:themeColor="text1"/>
          <w:sz w:val="24"/>
          <w14:textFill>
            <w14:solidFill>
              <w14:schemeClr w14:val="tx1"/>
            </w14:solidFill>
          </w14:textFill>
        </w:rPr>
        <w:t>.新型传感材料器件与仪器研发</w:t>
      </w:r>
    </w:p>
    <w:p w14:paraId="633521E0">
      <w:pPr>
        <w:spacing w:line="360" w:lineRule="auto"/>
        <w:ind w:firstLine="480" w:firstLineChars="200"/>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本方向针对传感器应用中灵敏度不足、稳定性差、抗干扰能力弱、极端环境下不稳定的问题，开展复合材料成分挖掘，建立灵敏度、使用频率范围、动态范围、相移等传感指标与复合材料配比、组成、微观组织之间的关联，模拟海洋、大气、太空及土壤环境，研究复合材料在多重环境下的强度、塑性、硬度等关键力学指标及热稳定性，分析高温、高压、高盐、辐照等极端环境下，复合材料的强化变形机制、腐蚀失效机理及压力传感机制，开发性能可调、组分可控的新型传感器。本方向致力于培养理论基础扎实、具有创新思维，能够独立解决传感器领域复杂工程问题的高素质</w:t>
      </w:r>
      <w:r>
        <w:rPr>
          <w:rFonts w:hint="eastAsia" w:asciiTheme="minorEastAsia" w:hAnsiTheme="minorEastAsia" w:eastAsiaTheme="minorEastAsia"/>
          <w:color w:val="000000" w:themeColor="text1"/>
          <w:sz w:val="24"/>
          <w:lang w:val="en-US" w:eastAsia="zh-CN"/>
          <w14:textFill>
            <w14:solidFill>
              <w14:schemeClr w14:val="tx1"/>
            </w14:solidFill>
          </w14:textFill>
        </w:rPr>
        <w:t>工程</w:t>
      </w:r>
      <w:r>
        <w:rPr>
          <w:rFonts w:hint="eastAsia" w:asciiTheme="minorEastAsia" w:hAnsiTheme="minorEastAsia" w:eastAsiaTheme="minorEastAsia"/>
          <w:color w:val="000000" w:themeColor="text1"/>
          <w:sz w:val="24"/>
          <w14:textFill>
            <w14:solidFill>
              <w14:schemeClr w14:val="tx1"/>
            </w14:solidFill>
          </w14:textFill>
        </w:rPr>
        <w:t>技术人才。</w:t>
      </w:r>
    </w:p>
    <w:p w14:paraId="0E27BEDD">
      <w:pPr>
        <w:spacing w:line="360" w:lineRule="auto"/>
        <w:ind w:firstLine="482" w:firstLineChars="200"/>
        <w:rPr>
          <w:rFonts w:asciiTheme="minorEastAsia" w:hAnsiTheme="minorEastAsia" w:eastAsiaTheme="minorEastAsia"/>
          <w:b/>
          <w:bCs/>
          <w:color w:val="000000" w:themeColor="text1"/>
          <w:sz w:val="24"/>
          <w14:textFill>
            <w14:solidFill>
              <w14:schemeClr w14:val="tx1"/>
            </w14:solidFill>
          </w14:textFill>
        </w:rPr>
      </w:pPr>
      <w:r>
        <w:rPr>
          <w:rFonts w:asciiTheme="minorEastAsia" w:hAnsiTheme="minorEastAsia" w:eastAsiaTheme="minorEastAsia"/>
          <w:b/>
          <w:bCs/>
          <w:color w:val="000000" w:themeColor="text1"/>
          <w:sz w:val="24"/>
          <w14:textFill>
            <w14:solidFill>
              <w14:schemeClr w14:val="tx1"/>
            </w14:solidFill>
          </w14:textFill>
        </w:rPr>
        <w:t>3</w:t>
      </w:r>
      <w:r>
        <w:rPr>
          <w:rFonts w:hint="eastAsia" w:asciiTheme="minorEastAsia" w:hAnsiTheme="minorEastAsia" w:eastAsiaTheme="minorEastAsia"/>
          <w:b/>
          <w:bCs/>
          <w:color w:val="000000" w:themeColor="text1"/>
          <w:sz w:val="24"/>
          <w14:textFill>
            <w14:solidFill>
              <w14:schemeClr w14:val="tx1"/>
            </w14:solidFill>
          </w14:textFill>
        </w:rPr>
        <w:t>.环境安全健康检测与评价</w:t>
      </w:r>
    </w:p>
    <w:p w14:paraId="6CB7B517">
      <w:pPr>
        <w:spacing w:line="360" w:lineRule="auto"/>
        <w:ind w:firstLine="480" w:firstLineChars="200"/>
        <w:rPr>
          <w:rFonts w:eastAsiaTheme="minorEastAsia"/>
          <w:i/>
          <w:color w:val="FF0000"/>
          <w:sz w:val="24"/>
        </w:rPr>
      </w:pPr>
      <w:r>
        <w:rPr>
          <w:rFonts w:hint="eastAsia" w:asciiTheme="minorEastAsia" w:hAnsiTheme="minorEastAsia" w:eastAsiaTheme="minorEastAsia"/>
          <w:color w:val="000000" w:themeColor="text1"/>
          <w:sz w:val="24"/>
          <w14:textFill>
            <w14:solidFill>
              <w14:schemeClr w14:val="tx1"/>
            </w14:solidFill>
          </w14:textFill>
        </w:rPr>
        <w:t>本方向针对典型工业场所不同职业工作过程中与环境中产生和（或）存在的粉尘颗粒、重金属等污染物以及噪声振动等因素，通过实验和模拟手段发展多</w:t>
      </w:r>
      <w:r>
        <w:rPr>
          <w:rFonts w:hint="eastAsia" w:asciiTheme="minorEastAsia" w:hAnsiTheme="minorEastAsia" w:eastAsiaTheme="minorEastAsia"/>
          <w:color w:val="000000" w:themeColor="text1"/>
          <w:sz w:val="24"/>
          <w:lang w:val="en-US" w:eastAsia="zh-CN"/>
          <w14:textFill>
            <w14:solidFill>
              <w14:schemeClr w14:val="tx1"/>
            </w14:solidFill>
          </w14:textFill>
        </w:rPr>
        <w:t>源</w:t>
      </w:r>
      <w:r>
        <w:rPr>
          <w:rFonts w:hint="eastAsia" w:asciiTheme="minorEastAsia" w:hAnsiTheme="minorEastAsia" w:eastAsiaTheme="minorEastAsia"/>
          <w:color w:val="000000" w:themeColor="text1"/>
          <w:sz w:val="24"/>
          <w14:textFill>
            <w14:solidFill>
              <w14:schemeClr w14:val="tx1"/>
            </w14:solidFill>
          </w14:textFill>
        </w:rPr>
        <w:t>危害因素的表征方法和技术，对危害因素进行监测、溯源，发展防治方法和技术装备。研究污染物对细胞、生物的毒性效应和作用机制，探究污染物的人体暴露途径，构建健康风险评价指标体系，研究污染物对环境安全的影响机理，对污染物的健康风险和环境效应进行定性和定量评估。</w:t>
      </w:r>
      <w:r>
        <w:rPr>
          <w:rFonts w:hint="eastAsia" w:asciiTheme="minorEastAsia" w:hAnsiTheme="minorEastAsia" w:eastAsiaTheme="minorEastAsia"/>
          <w:color w:val="000000" w:themeColor="text1"/>
          <w:sz w:val="24"/>
          <w:lang w:val="en-US" w:eastAsia="zh-CN"/>
          <w14:textFill>
            <w14:solidFill>
              <w14:schemeClr w14:val="tx1"/>
            </w14:solidFill>
          </w14:textFill>
        </w:rPr>
        <w:t>本方向致力于</w:t>
      </w:r>
      <w:r>
        <w:rPr>
          <w:rFonts w:hint="eastAsia" w:asciiTheme="minorEastAsia" w:hAnsiTheme="minorEastAsia" w:eastAsiaTheme="minorEastAsia"/>
          <w:color w:val="000000" w:themeColor="text1"/>
          <w:sz w:val="24"/>
          <w14:textFill>
            <w14:solidFill>
              <w14:schemeClr w14:val="tx1"/>
            </w14:solidFill>
          </w14:textFill>
        </w:rPr>
        <w:t>培养一批基础</w:t>
      </w:r>
      <w:r>
        <w:rPr>
          <w:rFonts w:hint="eastAsia" w:asciiTheme="minorEastAsia" w:hAnsiTheme="minorEastAsia" w:eastAsiaTheme="minorEastAsia"/>
          <w:color w:val="000000" w:themeColor="text1"/>
          <w:sz w:val="24"/>
          <w:lang w:val="en-US" w:eastAsia="zh-CN"/>
          <w14:textFill>
            <w14:solidFill>
              <w14:schemeClr w14:val="tx1"/>
            </w14:solidFill>
          </w14:textFill>
        </w:rPr>
        <w:t>扎实</w:t>
      </w:r>
      <w:r>
        <w:rPr>
          <w:rFonts w:hint="eastAsia" w:asciiTheme="minorEastAsia" w:hAnsiTheme="minorEastAsia" w:eastAsiaTheme="minorEastAsia"/>
          <w:color w:val="000000" w:themeColor="text1"/>
          <w:sz w:val="24"/>
          <w14:textFill>
            <w14:solidFill>
              <w14:schemeClr w14:val="tx1"/>
            </w14:solidFill>
          </w14:textFill>
        </w:rPr>
        <w:t>、</w:t>
      </w:r>
      <w:r>
        <w:rPr>
          <w:rFonts w:hint="eastAsia" w:asciiTheme="minorEastAsia" w:hAnsiTheme="minorEastAsia" w:eastAsiaTheme="minorEastAsia"/>
          <w:color w:val="000000" w:themeColor="text1"/>
          <w:sz w:val="24"/>
          <w:lang w:val="en-US" w:eastAsia="zh-CN"/>
          <w14:textFill>
            <w14:solidFill>
              <w14:schemeClr w14:val="tx1"/>
            </w14:solidFill>
          </w14:textFill>
        </w:rPr>
        <w:t>视野开阔、实践</w:t>
      </w:r>
      <w:r>
        <w:rPr>
          <w:rFonts w:hint="eastAsia" w:asciiTheme="minorEastAsia" w:hAnsiTheme="minorEastAsia" w:eastAsiaTheme="minorEastAsia"/>
          <w:color w:val="000000" w:themeColor="text1"/>
          <w:sz w:val="24"/>
          <w14:textFill>
            <w14:solidFill>
              <w14:schemeClr w14:val="tx1"/>
            </w14:solidFill>
          </w14:textFill>
        </w:rPr>
        <w:t>能力</w:t>
      </w:r>
      <w:r>
        <w:rPr>
          <w:rFonts w:hint="eastAsia" w:asciiTheme="minorEastAsia" w:hAnsiTheme="minorEastAsia" w:eastAsiaTheme="minorEastAsia"/>
          <w:color w:val="000000" w:themeColor="text1"/>
          <w:sz w:val="24"/>
          <w:lang w:val="en-US" w:eastAsia="zh-CN"/>
          <w14:textFill>
            <w14:solidFill>
              <w14:schemeClr w14:val="tx1"/>
            </w14:solidFill>
          </w14:textFill>
        </w:rPr>
        <w:t>强且可持续发展理念的环境安全健康领域高</w:t>
      </w:r>
      <w:r>
        <w:rPr>
          <w:rFonts w:hint="eastAsia" w:asciiTheme="minorEastAsia" w:hAnsiTheme="minorEastAsia" w:eastAsiaTheme="minorEastAsia"/>
          <w:color w:val="000000" w:themeColor="text1"/>
          <w:sz w:val="24"/>
          <w14:textFill>
            <w14:solidFill>
              <w14:schemeClr w14:val="tx1"/>
            </w14:solidFill>
          </w14:textFill>
        </w:rPr>
        <w:t>层次专业人才。</w:t>
      </w:r>
    </w:p>
    <w:p w14:paraId="78EF2E27">
      <w:pPr>
        <w:spacing w:line="360" w:lineRule="auto"/>
        <w:ind w:firstLine="560" w:firstLineChars="200"/>
        <w:rPr>
          <w:rFonts w:eastAsia="黑体"/>
          <w:bCs/>
          <w:sz w:val="28"/>
          <w:szCs w:val="28"/>
        </w:rPr>
      </w:pPr>
      <w:r>
        <w:rPr>
          <w:rFonts w:eastAsia="黑体"/>
          <w:bCs/>
          <w:sz w:val="28"/>
          <w:szCs w:val="28"/>
        </w:rPr>
        <w:t>四、学制及学习年限</w:t>
      </w:r>
    </w:p>
    <w:p w14:paraId="6DCBA6D4">
      <w:pPr>
        <w:spacing w:line="360" w:lineRule="auto"/>
        <w:ind w:firstLine="480" w:firstLineChars="200"/>
        <w:rPr>
          <w:rFonts w:eastAsiaTheme="minorEastAsia"/>
          <w:i/>
          <w:color w:val="FF0000"/>
          <w:sz w:val="24"/>
        </w:rPr>
      </w:pPr>
      <w:r>
        <w:rPr>
          <w:rFonts w:eastAsiaTheme="minorEastAsia"/>
          <w:color w:val="000000"/>
          <w:sz w:val="24"/>
        </w:rPr>
        <w:t>本专业学制为3年，在校最长学习年限（含休学）不超过6年。</w:t>
      </w:r>
    </w:p>
    <w:p w14:paraId="6E676E5B">
      <w:pPr>
        <w:spacing w:line="360" w:lineRule="auto"/>
        <w:ind w:firstLine="560" w:firstLineChars="200"/>
        <w:rPr>
          <w:rFonts w:eastAsia="黑体"/>
          <w:bCs/>
          <w:sz w:val="28"/>
          <w:szCs w:val="28"/>
        </w:rPr>
      </w:pPr>
      <w:r>
        <w:rPr>
          <w:rFonts w:eastAsia="黑体"/>
          <w:bCs/>
          <w:sz w:val="28"/>
          <w:szCs w:val="28"/>
        </w:rPr>
        <w:t>五、培养目标</w:t>
      </w:r>
    </w:p>
    <w:p w14:paraId="4F34597D">
      <w:pPr>
        <w:spacing w:line="360" w:lineRule="auto"/>
        <w:ind w:firstLine="480" w:firstLineChars="200"/>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1.树立正确的中国特色社会主义核心价值观，拥护中国共产党的领导，具有坚定的理想信念，高尚的道德情操，优良的学术作风，高度的社会责任感，努力借助于本专业知识服务于科技进步和社会发展。</w:t>
      </w:r>
    </w:p>
    <w:p w14:paraId="182CCFD9">
      <w:pPr>
        <w:spacing w:line="360" w:lineRule="auto"/>
        <w:ind w:firstLine="480" w:firstLineChars="200"/>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2.应在安全工程方向领域中具有坚实宽广的理论基础和系统深入的专门知识，有严谨求实的科学作风。了解学科领域的发展方向及国际的学术研究前沿，能够从事理论和实验研究，具有发现问题、分析问题和解决问题的能力，具有独立从事科学研究和技术开发的能力，并做成具有相对独立的研究成果。培养具有良好的基础理论、扎实的专业技能、突出的实践能力和优秀的综合素质的高层次专业技能型人才。</w:t>
      </w:r>
    </w:p>
    <w:p w14:paraId="5897F7F9">
      <w:pPr>
        <w:spacing w:line="360" w:lineRule="auto"/>
        <w:ind w:firstLine="480"/>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3.至少掌握一门外国语，能熟练阅读本专业的外文资料，具有撰写学术论文和进行国际学术交流的能力。</w:t>
      </w:r>
    </w:p>
    <w:p w14:paraId="2184A553">
      <w:pPr>
        <w:spacing w:line="360" w:lineRule="auto"/>
        <w:ind w:firstLine="480"/>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4.具有良好的团队意识和团队合作精神</w:t>
      </w:r>
      <w:r>
        <w:rPr>
          <w:rFonts w:ascii="Tahoma" w:hAnsi="Tahoma" w:cs="Tahoma" w:eastAsiaTheme="minorEastAsia"/>
          <w:color w:val="000000" w:themeColor="text1"/>
          <w:sz w:val="24"/>
          <w14:textFill>
            <w14:solidFill>
              <w14:schemeClr w14:val="tx1"/>
            </w14:solidFill>
          </w14:textFill>
        </w:rPr>
        <w:t>﻿</w:t>
      </w:r>
      <w:r>
        <w:rPr>
          <w:rFonts w:hint="eastAsia" w:asciiTheme="minorEastAsia" w:hAnsiTheme="minorEastAsia" w:eastAsiaTheme="minorEastAsia"/>
          <w:color w:val="000000" w:themeColor="text1"/>
          <w:sz w:val="24"/>
          <w14:textFill>
            <w14:solidFill>
              <w14:schemeClr w14:val="tx1"/>
            </w14:solidFill>
          </w14:textFill>
        </w:rPr>
        <w:t>，恪守学术道德规范。</w:t>
      </w:r>
    </w:p>
    <w:p w14:paraId="3D377080">
      <w:pPr>
        <w:spacing w:line="360" w:lineRule="auto"/>
        <w:ind w:firstLine="480"/>
        <w:rPr>
          <w:rFonts w:asciiTheme="minorEastAsia" w:hAnsiTheme="minorEastAsia" w:eastAsiaTheme="minorEastAsia"/>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5.具有良好的心理素质。</w:t>
      </w:r>
    </w:p>
    <w:p w14:paraId="7426A4E5">
      <w:pPr>
        <w:spacing w:line="360" w:lineRule="auto"/>
        <w:ind w:firstLine="480"/>
        <w:rPr>
          <w:rFonts w:eastAsiaTheme="minorEastAsia"/>
          <w:i/>
          <w:color w:val="FF0000"/>
          <w:sz w:val="24"/>
        </w:rPr>
      </w:pPr>
      <w:r>
        <w:rPr>
          <w:rFonts w:hint="eastAsia" w:asciiTheme="minorEastAsia" w:hAnsiTheme="minorEastAsia" w:eastAsiaTheme="minorEastAsia"/>
          <w:color w:val="000000" w:themeColor="text1"/>
          <w:sz w:val="24"/>
          <w14:textFill>
            <w14:solidFill>
              <w14:schemeClr w14:val="tx1"/>
            </w14:solidFill>
          </w14:textFill>
        </w:rPr>
        <w:t>6. 培养德智体美劳全面发展的社会主义事业接班人。</w:t>
      </w:r>
    </w:p>
    <w:p w14:paraId="737A079A">
      <w:pPr>
        <w:spacing w:line="360" w:lineRule="auto"/>
        <w:ind w:firstLine="560" w:firstLineChars="200"/>
        <w:rPr>
          <w:rFonts w:eastAsia="黑体"/>
          <w:bCs/>
          <w:sz w:val="28"/>
          <w:szCs w:val="28"/>
        </w:rPr>
      </w:pPr>
      <w:r>
        <w:rPr>
          <w:rFonts w:eastAsia="黑体"/>
          <w:bCs/>
          <w:sz w:val="28"/>
          <w:szCs w:val="28"/>
        </w:rPr>
        <w:t>六、培养方式</w:t>
      </w:r>
    </w:p>
    <w:p w14:paraId="2B122091">
      <w:pPr>
        <w:spacing w:line="360" w:lineRule="auto"/>
        <w:ind w:firstLine="480" w:firstLineChars="200"/>
        <w:rPr>
          <w:rFonts w:hint="eastAsia" w:eastAsiaTheme="minorEastAsia"/>
          <w:bCs/>
          <w:sz w:val="24"/>
          <w:lang w:eastAsia="zh-CN"/>
        </w:rPr>
      </w:pPr>
      <w:r>
        <w:rPr>
          <w:rFonts w:hint="eastAsia" w:eastAsiaTheme="minorEastAsia"/>
          <w:bCs/>
          <w:sz w:val="24"/>
          <w:lang w:eastAsia="zh-CN"/>
        </w:rPr>
        <w:t>本专业学位硕士研究生培养实行导师负责制，秉承“厚基础、强实践、重创新、促融合”的培养理念，采用多学科交叉融合的培养模式，注重理论与实践相结合、科研与工程应用相衔接，重点强化工程实践能力与创新能力的系统化训练。具体培养方式如下：</w:t>
      </w:r>
    </w:p>
    <w:p w14:paraId="2B5F9862">
      <w:pPr>
        <w:spacing w:line="360" w:lineRule="auto"/>
        <w:ind w:firstLine="480" w:firstLineChars="200"/>
        <w:rPr>
          <w:rFonts w:hint="eastAsia" w:eastAsiaTheme="minorEastAsia"/>
          <w:bCs/>
          <w:sz w:val="24"/>
          <w:lang w:eastAsia="zh-CN"/>
        </w:rPr>
      </w:pPr>
      <w:r>
        <w:rPr>
          <w:rFonts w:hint="eastAsia" w:eastAsiaTheme="minorEastAsia"/>
          <w:bCs/>
          <w:sz w:val="24"/>
          <w:lang w:eastAsia="zh-CN"/>
        </w:rPr>
        <w:t>课程学习与科研实践并重：课程教学采用理论讲授、案例研讨、项目驱动相结合的方式，注重将特种设备安全检测、传感技术创新等学科前沿融入课堂教学。研究生须在导师指导下，依托国家市场监管技术创新中心、河北省重点实验室等平台，参与省部级以上科研项目或企业横向课题研究，强化解决复杂工程问题的能力。</w:t>
      </w:r>
    </w:p>
    <w:p w14:paraId="2AE7F5AE">
      <w:pPr>
        <w:spacing w:line="360" w:lineRule="auto"/>
        <w:ind w:firstLine="480" w:firstLineChars="200"/>
        <w:rPr>
          <w:rFonts w:hint="eastAsia" w:eastAsiaTheme="minorEastAsia"/>
          <w:bCs/>
          <w:sz w:val="24"/>
          <w:lang w:eastAsia="zh-CN"/>
        </w:rPr>
      </w:pPr>
      <w:r>
        <w:rPr>
          <w:rFonts w:hint="eastAsia" w:eastAsiaTheme="minorEastAsia"/>
          <w:bCs/>
          <w:sz w:val="24"/>
          <w:lang w:eastAsia="zh-CN"/>
        </w:rPr>
        <w:t>双导师制联合培养：实行校内导师（第一责任导师）与行业企业专家（校外实践导师）共同指导的“双导师制”。校内导师负责制定研究生培养计划、指导学术研究及学位论文；校外导师参与实践课程设计、专业实习及工程实践环节指导，推动产学研深度融合。</w:t>
      </w:r>
    </w:p>
    <w:p w14:paraId="1B40B26D">
      <w:pPr>
        <w:spacing w:line="360" w:lineRule="auto"/>
        <w:ind w:firstLine="480" w:firstLineChars="200"/>
        <w:rPr>
          <w:rFonts w:hint="eastAsia" w:eastAsia="黑体"/>
          <w:bCs/>
          <w:sz w:val="28"/>
          <w:szCs w:val="28"/>
        </w:rPr>
      </w:pPr>
      <w:r>
        <w:rPr>
          <w:rFonts w:hint="eastAsia" w:eastAsiaTheme="minorEastAsia"/>
          <w:bCs/>
          <w:sz w:val="24"/>
          <w:lang w:eastAsia="zh-CN"/>
        </w:rPr>
        <w:t>全过程质量监控：建立由学科带头人、导师组</w:t>
      </w:r>
      <w:r>
        <w:rPr>
          <w:rFonts w:hint="eastAsia" w:eastAsiaTheme="minorEastAsia"/>
          <w:bCs/>
          <w:sz w:val="24"/>
          <w:lang w:val="en-US" w:eastAsia="zh-CN"/>
        </w:rPr>
        <w:t>等</w:t>
      </w:r>
      <w:r>
        <w:rPr>
          <w:rFonts w:hint="eastAsia" w:eastAsiaTheme="minorEastAsia"/>
          <w:bCs/>
          <w:sz w:val="24"/>
          <w:lang w:eastAsia="zh-CN"/>
        </w:rPr>
        <w:t>组成的考核小组，对课程学习、中期筛选、论文开题与预答辩等环节进行动态评估。未通过考核者须提交整改方案并延期进入下一阶段。</w:t>
      </w:r>
    </w:p>
    <w:p w14:paraId="76F81CA9">
      <w:pPr>
        <w:spacing w:line="360" w:lineRule="auto"/>
        <w:ind w:firstLine="560" w:firstLineChars="200"/>
        <w:rPr>
          <w:rFonts w:hint="eastAsia" w:eastAsia="黑体"/>
          <w:bCs/>
          <w:sz w:val="28"/>
          <w:szCs w:val="28"/>
        </w:rPr>
      </w:pPr>
    </w:p>
    <w:p w14:paraId="10BA5FC7">
      <w:pPr>
        <w:spacing w:line="360" w:lineRule="auto"/>
        <w:ind w:firstLine="560" w:firstLineChars="200"/>
        <w:rPr>
          <w:rFonts w:eastAsia="黑体"/>
          <w:bCs/>
          <w:sz w:val="28"/>
          <w:szCs w:val="28"/>
        </w:rPr>
      </w:pPr>
      <w:r>
        <w:rPr>
          <w:rFonts w:hint="eastAsia" w:eastAsia="黑体"/>
          <w:bCs/>
          <w:sz w:val="28"/>
          <w:szCs w:val="28"/>
        </w:rPr>
        <w:t>七、</w:t>
      </w:r>
      <w:r>
        <w:rPr>
          <w:rFonts w:eastAsia="黑体"/>
          <w:bCs/>
          <w:sz w:val="28"/>
          <w:szCs w:val="28"/>
        </w:rPr>
        <w:t>中期筛选</w:t>
      </w:r>
    </w:p>
    <w:p w14:paraId="4E277B59">
      <w:pPr>
        <w:spacing w:line="360" w:lineRule="auto"/>
        <w:ind w:firstLine="480" w:firstLineChars="20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在完成培养方案规定的课程学习、考核成绩合格、获得规定的学分后，按照《河北大学研究生中期筛选管理办法》（校政字〔2021〕15号）的相关规定，组织开展中期筛选工作。</w:t>
      </w:r>
    </w:p>
    <w:p w14:paraId="49C0B294">
      <w:pPr>
        <w:spacing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1E477ED2">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i w:val="0"/>
          <w:iCs w:val="0"/>
          <w:color w:val="auto"/>
          <w:kern w:val="0"/>
          <w:sz w:val="24"/>
          <w:u w:val="none"/>
          <w:lang w:val="en-US" w:eastAsia="zh-CN"/>
        </w:rPr>
      </w:pPr>
      <w:r>
        <w:rPr>
          <w:bCs/>
          <w:color w:val="222222"/>
          <w:kern w:val="0"/>
          <w:sz w:val="24"/>
        </w:rPr>
        <w:t>1.总体要求：</w:t>
      </w:r>
      <w:r>
        <w:rPr>
          <w:color w:val="000000" w:themeColor="text1"/>
          <w:kern w:val="0"/>
          <w:sz w:val="24"/>
          <w14:textFill>
            <w14:solidFill>
              <w14:schemeClr w14:val="tx1"/>
            </w14:solidFill>
          </w14:textFill>
        </w:rPr>
        <w:t>按照《河北大学关于开展2025版研究生培养方案修订工作的指导意见》（校政字</w:t>
      </w:r>
      <w:r>
        <w:rPr>
          <w:rFonts w:eastAsiaTheme="minorEastAsia"/>
          <w:bCs/>
          <w:sz w:val="24"/>
        </w:rPr>
        <w:t>〔2025〕</w:t>
      </w:r>
      <w:r>
        <w:rPr>
          <w:rFonts w:hint="eastAsia" w:eastAsiaTheme="minorEastAsia"/>
          <w:bCs/>
          <w:sz w:val="24"/>
          <w:lang w:val="en-US" w:eastAsia="zh-CN"/>
        </w:rPr>
        <w:t>9</w:t>
      </w:r>
      <w:r>
        <w:rPr>
          <w:rFonts w:eastAsiaTheme="minorEastAsia"/>
          <w:bCs/>
          <w:sz w:val="24"/>
        </w:rPr>
        <w:t>号</w:t>
      </w:r>
      <w:r>
        <w:rPr>
          <w:color w:val="000000" w:themeColor="text1"/>
          <w:kern w:val="0"/>
          <w:sz w:val="24"/>
          <w14:textFill>
            <w14:solidFill>
              <w14:schemeClr w14:val="tx1"/>
            </w14:solidFill>
          </w14:textFill>
        </w:rPr>
        <w:t>）规定，硕士研究生论文开题与答辩时间间隔原则上不少于12个月。</w:t>
      </w:r>
      <w:r>
        <w:rPr>
          <w:i w:val="0"/>
          <w:iCs w:val="0"/>
          <w:color w:val="auto"/>
          <w:kern w:val="0"/>
          <w:sz w:val="24"/>
          <w:u w:val="none"/>
        </w:rPr>
        <w:t>学位（毕业）论文应当表明作者具有独立从事学术研究工作的能力，鼓励硕士研究生参与科学研究，取得创新性成果</w:t>
      </w:r>
      <w:r>
        <w:rPr>
          <w:rFonts w:hint="eastAsia"/>
          <w:i w:val="0"/>
          <w:iCs w:val="0"/>
          <w:color w:val="auto"/>
          <w:kern w:val="0"/>
          <w:sz w:val="24"/>
          <w:u w:val="none"/>
          <w:lang w:eastAsia="zh-CN"/>
        </w:rPr>
        <w:t>。</w:t>
      </w:r>
    </w:p>
    <w:p w14:paraId="7D6CF56B">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i w:val="0"/>
          <w:iCs w:val="0"/>
          <w:color w:val="auto"/>
          <w:kern w:val="0"/>
          <w:sz w:val="24"/>
        </w:rPr>
      </w:pPr>
      <w:r>
        <w:rPr>
          <w:bCs/>
          <w:i w:val="0"/>
          <w:iCs w:val="0"/>
          <w:color w:val="auto"/>
          <w:kern w:val="0"/>
          <w:sz w:val="24"/>
        </w:rPr>
        <w:t>2.开题：</w:t>
      </w:r>
      <w:r>
        <w:rPr>
          <w:i w:val="0"/>
          <w:iCs w:val="0"/>
          <w:color w:val="auto"/>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23576DD3">
      <w:pPr>
        <w:keepNext w:val="0"/>
        <w:keepLines w:val="0"/>
        <w:pageBreakBefore w:val="0"/>
        <w:widowControl/>
        <w:kinsoku/>
        <w:wordWrap/>
        <w:overflowPunct/>
        <w:topLinePunct w:val="0"/>
        <w:autoSpaceDE/>
        <w:autoSpaceDN/>
        <w:bidi w:val="0"/>
        <w:adjustRightInd/>
        <w:snapToGrid/>
        <w:spacing w:line="360" w:lineRule="auto"/>
        <w:ind w:firstLine="482"/>
        <w:jc w:val="left"/>
        <w:textAlignment w:val="auto"/>
        <w:rPr>
          <w:rFonts w:hint="eastAsia"/>
          <w:i w:val="0"/>
          <w:iCs w:val="0"/>
          <w:color w:val="auto"/>
          <w:kern w:val="0"/>
          <w:sz w:val="24"/>
          <w:highlight w:val="none"/>
          <w:lang w:eastAsia="zh-CN"/>
        </w:rPr>
      </w:pPr>
      <w:r>
        <w:rPr>
          <w:i w:val="0"/>
          <w:iCs w:val="0"/>
          <w:color w:val="auto"/>
          <w:kern w:val="0"/>
          <w:sz w:val="24"/>
        </w:rPr>
        <w:t>原则上在入学后第3学期（最迟不超过第4学期）完成开题。开题由3-5名具有高级专业技术职务人员参加，以学术报告的方式进行。</w:t>
      </w:r>
      <w:r>
        <w:rPr>
          <w:rFonts w:hint="eastAsia"/>
          <w:i w:val="0"/>
          <w:iCs w:val="0"/>
          <w:color w:val="auto"/>
          <w:kern w:val="0"/>
          <w:sz w:val="24"/>
          <w:highlight w:val="none"/>
          <w:lang w:eastAsia="zh-CN"/>
        </w:rPr>
        <w:t>具体参照</w:t>
      </w:r>
      <w:r>
        <w:rPr>
          <w:i w:val="0"/>
          <w:iCs w:val="0"/>
          <w:color w:val="auto"/>
          <w:kern w:val="0"/>
          <w:sz w:val="24"/>
          <w:highlight w:val="none"/>
        </w:rPr>
        <w:t>河北大学硕士研究生开题报告相关要求</w:t>
      </w:r>
      <w:r>
        <w:rPr>
          <w:rFonts w:hint="eastAsia"/>
          <w:i w:val="0"/>
          <w:iCs w:val="0"/>
          <w:color w:val="auto"/>
          <w:kern w:val="0"/>
          <w:sz w:val="24"/>
          <w:highlight w:val="none"/>
          <w:lang w:eastAsia="zh-CN"/>
        </w:rPr>
        <w:t>执行。</w:t>
      </w:r>
    </w:p>
    <w:p w14:paraId="7B532D33">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eastAsiaTheme="minorEastAsia"/>
          <w:bCs/>
          <w:i w:val="0"/>
          <w:iCs w:val="0"/>
          <w:color w:val="auto"/>
          <w:sz w:val="24"/>
        </w:rPr>
      </w:pPr>
      <w:r>
        <w:rPr>
          <w:rFonts w:hint="eastAsia"/>
          <w:bCs/>
          <w:i w:val="0"/>
          <w:iCs w:val="0"/>
          <w:color w:val="auto"/>
          <w:kern w:val="0"/>
          <w:sz w:val="24"/>
          <w:highlight w:val="none"/>
          <w:lang w:val="en-US" w:eastAsia="zh-CN"/>
        </w:rPr>
        <w:t>3.</w:t>
      </w:r>
      <w:r>
        <w:rPr>
          <w:bCs/>
          <w:i w:val="0"/>
          <w:iCs w:val="0"/>
          <w:color w:val="auto"/>
          <w:kern w:val="0"/>
          <w:sz w:val="24"/>
          <w:highlight w:val="none"/>
        </w:rPr>
        <w:t>中期进展报告：</w:t>
      </w:r>
      <w:r>
        <w:rPr>
          <w:rFonts w:eastAsiaTheme="minorEastAsia"/>
          <w:bCs/>
          <w:i w:val="0"/>
          <w:iCs w:val="0"/>
          <w:color w:val="auto"/>
          <w:sz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62F3578E">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eastAsiaTheme="minorEastAsia"/>
          <w:b w:val="0"/>
          <w:bCs w:val="0"/>
          <w:i w:val="0"/>
          <w:iCs w:val="0"/>
          <w:color w:val="auto"/>
          <w:sz w:val="24"/>
          <w:highlight w:val="none"/>
        </w:rPr>
      </w:pPr>
      <w:r>
        <w:rPr>
          <w:rFonts w:hint="eastAsia"/>
          <w:bCs/>
          <w:i w:val="0"/>
          <w:iCs w:val="0"/>
          <w:color w:val="auto"/>
          <w:kern w:val="0"/>
          <w:sz w:val="24"/>
          <w:lang w:val="en-US" w:eastAsia="zh-CN"/>
        </w:rPr>
        <w:t>4.</w:t>
      </w:r>
      <w:r>
        <w:rPr>
          <w:bCs/>
          <w:i w:val="0"/>
          <w:iCs w:val="0"/>
          <w:color w:val="auto"/>
          <w:kern w:val="0"/>
          <w:sz w:val="24"/>
        </w:rPr>
        <w:t>学位申请：</w:t>
      </w:r>
      <w:r>
        <w:rPr>
          <w:rFonts w:eastAsiaTheme="minorEastAsia"/>
          <w:bCs/>
          <w:i w:val="0"/>
          <w:iCs w:val="0"/>
          <w:color w:val="auto"/>
          <w:sz w:val="24"/>
        </w:rPr>
        <w:t>达到学位授予条件的申请人，经导师同意后，应于答辩前三个月，向学位评定分委员会提出学位申请，提交学位申请材料</w:t>
      </w:r>
      <w:r>
        <w:rPr>
          <w:rFonts w:hint="eastAsia" w:eastAsiaTheme="minorEastAsia"/>
          <w:bCs/>
          <w:i w:val="0"/>
          <w:iCs w:val="0"/>
          <w:color w:val="auto"/>
          <w:sz w:val="24"/>
          <w:lang w:eastAsia="zh-CN"/>
        </w:rPr>
        <w:t>，</w:t>
      </w:r>
      <w:r>
        <w:rPr>
          <w:rFonts w:hint="eastAsia" w:ascii="宋体" w:hAnsi="宋体" w:eastAsia="宋体" w:cs="宋体"/>
          <w:b w:val="0"/>
          <w:bCs w:val="0"/>
          <w:i w:val="0"/>
          <w:iCs w:val="0"/>
          <w:caps w:val="0"/>
          <w:color w:val="auto"/>
          <w:spacing w:val="0"/>
          <w:sz w:val="24"/>
          <w:szCs w:val="24"/>
          <w:highlight w:val="none"/>
          <w:shd w:val="clear" w:fill="FFFFFF"/>
        </w:rPr>
        <w:t>经</w:t>
      </w:r>
      <w:r>
        <w:rPr>
          <w:rFonts w:hint="eastAsia" w:ascii="宋体" w:hAnsi="宋体" w:cs="宋体"/>
          <w:b w:val="0"/>
          <w:bCs w:val="0"/>
          <w:i w:val="0"/>
          <w:iCs w:val="0"/>
          <w:caps w:val="0"/>
          <w:color w:val="auto"/>
          <w:spacing w:val="0"/>
          <w:sz w:val="24"/>
          <w:szCs w:val="24"/>
          <w:highlight w:val="none"/>
          <w:shd w:val="clear" w:fill="FFFFFF"/>
          <w:lang w:eastAsia="zh-CN"/>
        </w:rPr>
        <w:t>学院</w:t>
      </w:r>
      <w:r>
        <w:rPr>
          <w:rFonts w:hint="eastAsia" w:ascii="宋体" w:hAnsi="宋体" w:eastAsia="宋体" w:cs="宋体"/>
          <w:b w:val="0"/>
          <w:bCs w:val="0"/>
          <w:i w:val="0"/>
          <w:iCs w:val="0"/>
          <w:caps w:val="0"/>
          <w:color w:val="auto"/>
          <w:spacing w:val="0"/>
          <w:sz w:val="24"/>
          <w:szCs w:val="24"/>
          <w:highlight w:val="none"/>
          <w:shd w:val="clear" w:fill="FFFFFF"/>
        </w:rPr>
        <w:t>审查通过后，可进入学位申请流程。学位申请未通过者，须至少半年后才能再次提交学位申请。</w:t>
      </w:r>
    </w:p>
    <w:p w14:paraId="4FDEEBAD">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eastAsiaTheme="minorEastAsia"/>
          <w:bCs/>
          <w:i w:val="0"/>
          <w:iCs w:val="0"/>
          <w:color w:val="auto"/>
          <w:sz w:val="24"/>
          <w:highlight w:val="none"/>
          <w:lang w:eastAsia="zh-CN"/>
        </w:rPr>
      </w:pPr>
      <w:r>
        <w:rPr>
          <w:rFonts w:hint="eastAsia"/>
          <w:bCs/>
          <w:i w:val="0"/>
          <w:iCs w:val="0"/>
          <w:color w:val="auto"/>
          <w:kern w:val="0"/>
          <w:sz w:val="24"/>
          <w:highlight w:val="none"/>
          <w:lang w:val="en-US" w:eastAsia="zh-CN"/>
        </w:rPr>
        <w:t>5.</w:t>
      </w:r>
      <w:r>
        <w:rPr>
          <w:bCs/>
          <w:i w:val="0"/>
          <w:iCs w:val="0"/>
          <w:color w:val="auto"/>
          <w:kern w:val="0"/>
          <w:sz w:val="24"/>
          <w:highlight w:val="none"/>
        </w:rPr>
        <w:t>预答辩：</w:t>
      </w:r>
      <w:r>
        <w:rPr>
          <w:rFonts w:eastAsiaTheme="minorEastAsia"/>
          <w:bCs/>
          <w:i w:val="0"/>
          <w:iCs w:val="0"/>
          <w:color w:val="auto"/>
          <w:sz w:val="24"/>
          <w:highlight w:val="none"/>
        </w:rPr>
        <w:t>学位申请人须进行学位论文预答辩。预答辩通过者，方可进入学位论文评阅、学位论文答辩等环节。学位（毕业）论文预答辩在正式答辩前3个月进行。</w:t>
      </w:r>
      <w:r>
        <w:rPr>
          <w:rFonts w:hint="eastAsia" w:eastAsiaTheme="minorEastAsia"/>
          <w:bCs/>
          <w:i w:val="0"/>
          <w:iCs w:val="0"/>
          <w:color w:val="auto"/>
          <w:sz w:val="24"/>
          <w:highlight w:val="none"/>
          <w:lang w:eastAsia="zh-CN"/>
        </w:rPr>
        <w:t>具体实施按照《关于进一步加强研究生学位申请及学位论文预答辩工作的通知》执行。</w:t>
      </w:r>
    </w:p>
    <w:p w14:paraId="56F754A2">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i w:val="0"/>
          <w:iCs w:val="0"/>
          <w:color w:val="auto"/>
          <w:kern w:val="0"/>
          <w:sz w:val="24"/>
          <w:highlight w:val="none"/>
        </w:rPr>
      </w:pPr>
      <w:r>
        <w:rPr>
          <w:bCs/>
          <w:i w:val="0"/>
          <w:iCs w:val="0"/>
          <w:color w:val="auto"/>
          <w:kern w:val="0"/>
          <w:sz w:val="24"/>
        </w:rPr>
        <w:t>6.论文评阅：</w:t>
      </w:r>
      <w:r>
        <w:rPr>
          <w:i w:val="0"/>
          <w:iCs w:val="0"/>
          <w:color w:val="auto"/>
          <w:kern w:val="0"/>
          <w:sz w:val="24"/>
        </w:rPr>
        <w:t>学位（毕业）论文在获得导师组认可，经</w:t>
      </w:r>
      <w:r>
        <w:rPr>
          <w:rFonts w:hint="eastAsia"/>
          <w:i w:val="0"/>
          <w:iCs w:val="0"/>
          <w:color w:val="auto"/>
          <w:kern w:val="0"/>
          <w:sz w:val="24"/>
          <w:lang w:eastAsia="zh-CN"/>
        </w:rPr>
        <w:t>学院</w:t>
      </w:r>
      <w:r>
        <w:rPr>
          <w:i w:val="0"/>
          <w:iCs w:val="0"/>
          <w:color w:val="auto"/>
          <w:kern w:val="0"/>
          <w:sz w:val="24"/>
        </w:rPr>
        <w:t>形式审查合格，并通过预答辩，方可提出进入评阅程序的申请。论文评阅在正式答辩前40天由研究生提出，由</w:t>
      </w:r>
      <w:r>
        <w:rPr>
          <w:rFonts w:hint="eastAsia"/>
          <w:i w:val="0"/>
          <w:iCs w:val="0"/>
          <w:color w:val="auto"/>
          <w:kern w:val="0"/>
          <w:sz w:val="24"/>
          <w:lang w:eastAsia="zh-CN"/>
        </w:rPr>
        <w:t>学院</w:t>
      </w:r>
      <w:r>
        <w:rPr>
          <w:i w:val="0"/>
          <w:iCs w:val="0"/>
          <w:color w:val="auto"/>
          <w:kern w:val="0"/>
          <w:sz w:val="24"/>
        </w:rPr>
        <w:t>依据相关规定进行匿名评审。评阅结果及异议处理按照《河北大学研究生学位论文或者实践成果评审管理办法》（校政字〔2025〕8号）</w:t>
      </w:r>
      <w:r>
        <w:rPr>
          <w:rFonts w:hint="eastAsia"/>
          <w:i w:val="0"/>
          <w:iCs w:val="0"/>
          <w:color w:val="auto"/>
          <w:kern w:val="0"/>
          <w:sz w:val="24"/>
          <w:lang w:eastAsia="zh-CN"/>
        </w:rPr>
        <w:t>、</w:t>
      </w:r>
      <w:r>
        <w:rPr>
          <w:rFonts w:hint="eastAsia"/>
          <w:i w:val="0"/>
          <w:iCs w:val="0"/>
          <w:color w:val="auto"/>
          <w:kern w:val="0"/>
          <w:sz w:val="24"/>
          <w:highlight w:val="none"/>
          <w:lang w:eastAsia="zh-CN"/>
        </w:rPr>
        <w:t>《质量技术监督学院硕士研究生学位论文评审实施办法》</w:t>
      </w:r>
      <w:r>
        <w:rPr>
          <w:i w:val="0"/>
          <w:iCs w:val="0"/>
          <w:color w:val="auto"/>
          <w:kern w:val="0"/>
          <w:sz w:val="24"/>
          <w:highlight w:val="none"/>
        </w:rPr>
        <w:t>执行。</w:t>
      </w:r>
    </w:p>
    <w:p w14:paraId="3FBC777F">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eastAsiaTheme="minorEastAsia"/>
          <w:i w:val="0"/>
          <w:iCs w:val="0"/>
          <w:color w:val="auto"/>
          <w:sz w:val="24"/>
        </w:rPr>
      </w:pPr>
      <w:r>
        <w:rPr>
          <w:bCs/>
          <w:i w:val="0"/>
          <w:iCs w:val="0"/>
          <w:color w:val="auto"/>
          <w:kern w:val="0"/>
          <w:sz w:val="24"/>
        </w:rPr>
        <w:t>7.答辩：学位（毕业）论文答辩按照</w:t>
      </w:r>
      <w:r>
        <w:rPr>
          <w:i w:val="0"/>
          <w:iCs w:val="0"/>
          <w:color w:val="auto"/>
          <w:kern w:val="0"/>
          <w:sz w:val="24"/>
        </w:rPr>
        <w:t>《河北大学博士、硕士学位授予工作实施细则》（校政字〔2025〕7号）执行。</w:t>
      </w:r>
    </w:p>
    <w:p w14:paraId="7D39B7CA">
      <w:pPr>
        <w:spacing w:line="360" w:lineRule="auto"/>
        <w:ind w:firstLine="560" w:firstLineChars="200"/>
        <w:rPr>
          <w:rFonts w:eastAsia="黑体"/>
          <w:bCs/>
          <w:i w:val="0"/>
          <w:iCs w:val="0"/>
          <w:color w:val="auto"/>
          <w:sz w:val="28"/>
          <w:szCs w:val="28"/>
        </w:rPr>
      </w:pPr>
      <w:r>
        <w:rPr>
          <w:rFonts w:hint="eastAsia" w:eastAsia="黑体"/>
          <w:bCs/>
          <w:i w:val="0"/>
          <w:iCs w:val="0"/>
          <w:color w:val="auto"/>
          <w:sz w:val="28"/>
          <w:szCs w:val="28"/>
        </w:rPr>
        <w:t>九</w:t>
      </w:r>
      <w:r>
        <w:rPr>
          <w:rFonts w:eastAsia="黑体"/>
          <w:bCs/>
          <w:i w:val="0"/>
          <w:iCs w:val="0"/>
          <w:color w:val="auto"/>
          <w:sz w:val="28"/>
          <w:szCs w:val="28"/>
        </w:rPr>
        <w:t>、毕业条件</w:t>
      </w:r>
    </w:p>
    <w:p w14:paraId="571C7994">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0B8409C7">
      <w:pPr>
        <w:spacing w:line="360" w:lineRule="auto"/>
        <w:ind w:firstLine="480" w:firstLineChars="200"/>
        <w:rPr>
          <w:rFonts w:hint="eastAsia"/>
          <w:bCs/>
          <w:color w:val="auto"/>
          <w:sz w:val="24"/>
        </w:rPr>
      </w:pPr>
      <w:r>
        <w:rPr>
          <w:rFonts w:eastAsiaTheme="minorEastAsia"/>
          <w:bCs/>
          <w:sz w:val="24"/>
        </w:rPr>
        <w:t xml:space="preserve">2. </w:t>
      </w:r>
      <w:r>
        <w:rPr>
          <w:bCs/>
          <w:sz w:val="24"/>
        </w:rPr>
        <w:t>实践活动。</w:t>
      </w:r>
      <w:r>
        <w:rPr>
          <w:rFonts w:hint="eastAsia"/>
          <w:bCs/>
          <w:color w:val="auto"/>
          <w:sz w:val="24"/>
        </w:rPr>
        <w:t>实践活动包括但不限于教学实践、科研实践、管理实践、社会调查、智库建言、创新创业、学科竞赛等。</w:t>
      </w:r>
    </w:p>
    <w:p w14:paraId="684A1749">
      <w:pPr>
        <w:spacing w:line="360" w:lineRule="auto"/>
        <w:ind w:firstLine="480" w:firstLineChars="200"/>
        <w:rPr>
          <w:bCs/>
          <w:i w:val="0"/>
          <w:iCs w:val="0"/>
          <w:color w:val="auto"/>
          <w:kern w:val="0"/>
          <w:sz w:val="24"/>
        </w:rPr>
      </w:pPr>
      <w:r>
        <w:rPr>
          <w:bCs/>
          <w:kern w:val="0"/>
          <w:sz w:val="24"/>
        </w:rPr>
        <w:t>实践活动：参与本专业相关的社会实践，由相关单位出具相关实践证明材料；或组织开展与本专业相关的调查、考察等活动，并提交相关报告。</w:t>
      </w:r>
    </w:p>
    <w:p w14:paraId="5C0D6D67">
      <w:pPr>
        <w:spacing w:line="360" w:lineRule="auto"/>
        <w:ind w:firstLine="480" w:firstLineChars="200"/>
        <w:rPr>
          <w:rFonts w:eastAsiaTheme="minorEastAsia"/>
          <w:bCs/>
          <w:sz w:val="24"/>
        </w:rPr>
      </w:pPr>
      <w:r>
        <w:rPr>
          <w:rFonts w:eastAsiaTheme="minorEastAsia"/>
          <w:i w:val="0"/>
          <w:iCs w:val="0"/>
          <w:color w:val="auto"/>
          <w:sz w:val="24"/>
        </w:rPr>
        <w:t>3. 符合提前毕业条件的研究生，可按照学校相关</w:t>
      </w:r>
      <w:r>
        <w:rPr>
          <w:rFonts w:eastAsiaTheme="minorEastAsia"/>
          <w:color w:val="000000"/>
          <w:sz w:val="24"/>
        </w:rPr>
        <w:t>规定</w:t>
      </w:r>
      <w:r>
        <w:rPr>
          <w:rFonts w:eastAsiaTheme="minorEastAsia"/>
          <w:bCs/>
          <w:sz w:val="24"/>
        </w:rPr>
        <w:t>申请</w:t>
      </w:r>
      <w:r>
        <w:rPr>
          <w:rFonts w:eastAsiaTheme="minorEastAsia"/>
          <w:color w:val="000000"/>
          <w:sz w:val="24"/>
        </w:rPr>
        <w:t>提前毕业。</w:t>
      </w:r>
    </w:p>
    <w:p w14:paraId="0CFFD5D2">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4142C3FE">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1CD4FD00">
      <w:pPr>
        <w:spacing w:line="360" w:lineRule="auto"/>
        <w:ind w:firstLine="480" w:firstLineChars="200"/>
        <w:rPr>
          <w:rFonts w:eastAsia="黑体"/>
          <w:bCs/>
          <w:sz w:val="28"/>
          <w:szCs w:val="28"/>
          <w:highlight w:val="yellow"/>
        </w:rPr>
      </w:pPr>
      <w:r>
        <w:rPr>
          <w:rFonts w:hint="eastAsia" w:eastAsiaTheme="minorEastAsia"/>
          <w:bCs/>
          <w:sz w:val="24"/>
          <w:highlight w:val="none"/>
          <w:lang w:eastAsia="zh-CN"/>
        </w:rPr>
        <w:t>按照《河北大学质量技术监督学院关于研究生申请学位取得创新性成果的规定》执行。</w:t>
      </w:r>
    </w:p>
    <w:p w14:paraId="02DE2507">
      <w:pPr>
        <w:spacing w:line="360" w:lineRule="auto"/>
        <w:ind w:firstLine="560" w:firstLineChars="200"/>
        <w:rPr>
          <w:rFonts w:eastAsia="黑体"/>
          <w:bCs/>
          <w:sz w:val="28"/>
          <w:szCs w:val="28"/>
        </w:rPr>
      </w:pPr>
      <w:r>
        <w:rPr>
          <w:rFonts w:eastAsia="黑体"/>
          <w:bCs/>
          <w:sz w:val="28"/>
          <w:szCs w:val="28"/>
        </w:rPr>
        <w:t>十一、学位授予</w:t>
      </w:r>
    </w:p>
    <w:p w14:paraId="6793A1BC">
      <w:pPr>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w:t>
      </w:r>
      <w:r>
        <w:rPr>
          <w:rFonts w:hint="eastAsia" w:eastAsiaTheme="minorEastAsia"/>
          <w:bCs/>
          <w:color w:val="000000" w:themeColor="text1"/>
          <w:sz w:val="24"/>
          <w:lang w:eastAsia="zh-CN"/>
          <w14:textFill>
            <w14:solidFill>
              <w14:schemeClr w14:val="tx1"/>
            </w14:solidFill>
          </w14:textFill>
        </w:rPr>
        <w:t>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486135F4">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1B42A9D1">
      <w:pPr>
        <w:spacing w:line="360" w:lineRule="auto"/>
        <w:ind w:firstLine="480" w:firstLineChars="200"/>
        <w:rPr>
          <w:rFonts w:eastAsiaTheme="minorEastAsia"/>
          <w:i w:val="0"/>
          <w:iCs w:val="0"/>
          <w:color w:val="auto"/>
          <w:sz w:val="24"/>
        </w:rPr>
      </w:pPr>
      <w:r>
        <w:rPr>
          <w:rFonts w:eastAsiaTheme="minorEastAsia"/>
          <w:i w:val="0"/>
          <w:iCs w:val="0"/>
          <w:color w:val="auto"/>
          <w:sz w:val="24"/>
        </w:rPr>
        <w:t>本专业最低毕业学分为</w:t>
      </w:r>
      <w:r>
        <w:rPr>
          <w:rFonts w:hint="eastAsia" w:eastAsiaTheme="minorEastAsia"/>
          <w:i w:val="0"/>
          <w:iCs w:val="0"/>
          <w:color w:val="auto"/>
          <w:sz w:val="24"/>
          <w:lang w:val="en-US" w:eastAsia="zh-CN"/>
        </w:rPr>
        <w:t>24</w:t>
      </w:r>
      <w:r>
        <w:rPr>
          <w:rFonts w:eastAsiaTheme="minorEastAsia"/>
          <w:i w:val="0"/>
          <w:iCs w:val="0"/>
          <w:color w:val="auto"/>
          <w:sz w:val="24"/>
        </w:rPr>
        <w:t>分，其中学位课</w:t>
      </w:r>
      <w:r>
        <w:rPr>
          <w:rFonts w:hint="eastAsia" w:eastAsiaTheme="minorEastAsia"/>
          <w:i w:val="0"/>
          <w:iCs w:val="0"/>
          <w:color w:val="auto"/>
          <w:sz w:val="24"/>
          <w:lang w:val="en-US" w:eastAsia="zh-CN"/>
        </w:rPr>
        <w:t>17</w:t>
      </w:r>
      <w:r>
        <w:rPr>
          <w:rFonts w:eastAsiaTheme="minorEastAsia"/>
          <w:i w:val="0"/>
          <w:iCs w:val="0"/>
          <w:color w:val="auto"/>
          <w:sz w:val="24"/>
        </w:rPr>
        <w:t>学分，非学位课</w:t>
      </w:r>
      <w:r>
        <w:rPr>
          <w:rFonts w:hint="eastAsia" w:eastAsiaTheme="minorEastAsia"/>
          <w:i w:val="0"/>
          <w:iCs w:val="0"/>
          <w:color w:val="auto"/>
          <w:sz w:val="24"/>
          <w:lang w:val="en-US" w:eastAsia="zh-CN"/>
        </w:rPr>
        <w:t>6</w:t>
      </w:r>
      <w:r>
        <w:rPr>
          <w:rFonts w:eastAsiaTheme="minorEastAsia"/>
          <w:i w:val="0"/>
          <w:iCs w:val="0"/>
          <w:color w:val="auto"/>
          <w:sz w:val="24"/>
        </w:rPr>
        <w:t>学分，必修环节</w:t>
      </w:r>
      <w:r>
        <w:rPr>
          <w:rFonts w:hint="eastAsia" w:eastAsiaTheme="minorEastAsia"/>
          <w:i w:val="0"/>
          <w:iCs w:val="0"/>
          <w:color w:val="auto"/>
          <w:sz w:val="24"/>
          <w:lang w:val="en-US" w:eastAsia="zh-CN"/>
        </w:rPr>
        <w:t>1</w:t>
      </w:r>
      <w:r>
        <w:rPr>
          <w:rFonts w:eastAsiaTheme="minorEastAsia"/>
          <w:i w:val="0"/>
          <w:iCs w:val="0"/>
          <w:color w:val="auto"/>
          <w:sz w:val="24"/>
        </w:rPr>
        <w:t>分。</w:t>
      </w:r>
    </w:p>
    <w:p w14:paraId="73FB8AB2">
      <w:pPr>
        <w:spacing w:line="360" w:lineRule="auto"/>
        <w:rPr>
          <w:i w:val="0"/>
          <w:iCs w:val="0"/>
          <w:color w:val="auto"/>
          <w:sz w:val="24"/>
        </w:rPr>
      </w:pPr>
      <w:r>
        <w:rPr>
          <w:rFonts w:eastAsiaTheme="minorEastAsia"/>
          <w:i w:val="0"/>
          <w:iCs w:val="0"/>
          <w:color w:val="auto"/>
          <w:sz w:val="24"/>
        </w:rPr>
        <w:t xml:space="preserve">    课程考试不设补考环节，</w:t>
      </w:r>
      <w:r>
        <w:rPr>
          <w:i w:val="0"/>
          <w:iCs w:val="0"/>
          <w:color w:val="auto"/>
          <w:sz w:val="24"/>
        </w:rPr>
        <w:t>考试成绩低于60分的需重修。</w:t>
      </w:r>
    </w:p>
    <w:p w14:paraId="334175A2">
      <w:pPr>
        <w:spacing w:line="360" w:lineRule="auto"/>
        <w:ind w:firstLine="480"/>
        <w:rPr>
          <w:rFonts w:hint="eastAsia" w:eastAsiaTheme="minorEastAsia"/>
          <w:b/>
          <w:bCs/>
          <w:color w:val="FF0000"/>
          <w:sz w:val="24"/>
        </w:rPr>
      </w:pPr>
      <w:r>
        <w:rPr>
          <w:rFonts w:hint="eastAsia"/>
          <w:color w:val="000000"/>
          <w:sz w:val="24"/>
        </w:rPr>
        <w:t>课程考核方式包括考试和考查，可以采用口试、笔试或写读书报告、论文的形式。无论采取何种考核方式，均应能真实反映学生对所学课程掌握的程度及运用知识的能力，成绩均按百分制成绩评定。</w:t>
      </w:r>
    </w:p>
    <w:p w14:paraId="137F082D">
      <w:pPr>
        <w:spacing w:after="156" w:afterLines="50" w:line="440" w:lineRule="exact"/>
        <w:ind w:firstLine="482" w:firstLineChars="200"/>
        <w:jc w:val="center"/>
        <w:rPr>
          <w:rFonts w:eastAsiaTheme="minorEastAsia"/>
          <w:b/>
          <w:bCs/>
          <w:sz w:val="24"/>
        </w:rPr>
      </w:pPr>
      <w:r>
        <w:rPr>
          <w:rFonts w:hint="eastAsia" w:eastAsiaTheme="minorEastAsia"/>
          <w:b/>
          <w:bCs/>
          <w:color w:val="auto"/>
          <w:sz w:val="24"/>
          <w:lang w:eastAsia="zh-CN"/>
        </w:rPr>
        <w:t>安全工程</w:t>
      </w:r>
      <w:r>
        <w:rPr>
          <w:rFonts w:eastAsiaTheme="minorEastAsia"/>
          <w:b/>
          <w:bCs/>
          <w:sz w:val="24"/>
        </w:rPr>
        <w:t>专业全日制专业学位硕士研究生课程及培养环节设置一览表</w:t>
      </w:r>
    </w:p>
    <w:tbl>
      <w:tblPr>
        <w:tblStyle w:val="4"/>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6C76981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474A2ACA">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78CE21C7">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3C9D2398">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14424178">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5232363D">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45D843AE">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69F5A23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6C444FF2">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p w14:paraId="35BD3E3D">
            <w:pPr>
              <w:jc w:val="center"/>
              <w:rPr>
                <w:rFonts w:hint="eastAsia"/>
                <w:b/>
                <w:color w:val="000000" w:themeColor="text1"/>
                <w:sz w:val="18"/>
                <w:szCs w:val="18"/>
                <w:lang w:val="en-US" w:eastAsia="zh-CN"/>
                <w14:textFill>
                  <w14:solidFill>
                    <w14:schemeClr w14:val="tx1"/>
                  </w14:solidFill>
                </w14:textFill>
              </w:rPr>
            </w:pPr>
            <w:r>
              <w:rPr>
                <w:rFonts w:hint="eastAsia"/>
                <w:b/>
                <w:color w:val="000000" w:themeColor="text1"/>
                <w:sz w:val="18"/>
                <w:szCs w:val="18"/>
                <w:lang w:val="en-US" w:eastAsia="zh-CN"/>
                <w14:textFill>
                  <w14:solidFill>
                    <w14:schemeClr w14:val="tx1"/>
                  </w14:solidFill>
                </w14:textFill>
              </w:rPr>
              <w:t>17</w:t>
            </w:r>
          </w:p>
          <w:p w14:paraId="7FA2CDBD">
            <w:pPr>
              <w:jc w:val="center"/>
              <w:rPr>
                <w:rFonts w:hint="default"/>
                <w:b/>
                <w:color w:val="000000" w:themeColor="text1"/>
                <w:sz w:val="18"/>
                <w:szCs w:val="18"/>
                <w:lang w:val="en-US" w:eastAsia="zh-CN"/>
                <w14:textFill>
                  <w14:solidFill>
                    <w14:schemeClr w14:val="tx1"/>
                  </w14:solidFill>
                </w14:textFill>
              </w:rPr>
            </w:pPr>
            <w:r>
              <w:rPr>
                <w:rFonts w:hint="eastAsia"/>
                <w:b/>
                <w:color w:val="000000" w:themeColor="text1"/>
                <w:sz w:val="18"/>
                <w:szCs w:val="18"/>
                <w:lang w:val="en-US" w:eastAsia="zh-CN"/>
                <w14:textFill>
                  <w14:solidFill>
                    <w14:schemeClr w14:val="tx1"/>
                  </w14:solidFill>
                </w14:textFill>
              </w:rPr>
              <w:t>分</w:t>
            </w:r>
          </w:p>
        </w:tc>
        <w:tc>
          <w:tcPr>
            <w:tcW w:w="1226" w:type="dxa"/>
            <w:vMerge w:val="restart"/>
            <w:vAlign w:val="center"/>
          </w:tcPr>
          <w:p w14:paraId="26EA57FF">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3D3446E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2415E3CE">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新时代中国特色社会主义理论与实践</w:t>
            </w:r>
          </w:p>
        </w:tc>
        <w:tc>
          <w:tcPr>
            <w:tcW w:w="1081" w:type="dxa"/>
            <w:vAlign w:val="center"/>
          </w:tcPr>
          <w:p w14:paraId="6B67501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TS0000001</w:t>
            </w:r>
          </w:p>
        </w:tc>
        <w:tc>
          <w:tcPr>
            <w:tcW w:w="709" w:type="dxa"/>
            <w:vAlign w:val="center"/>
          </w:tcPr>
          <w:p w14:paraId="6C5661A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06D6D4C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43E6CA6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0BDC3A1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20CBCA74">
            <w:pPr>
              <w:jc w:val="center"/>
              <w:rPr>
                <w:b/>
                <w:color w:val="000000" w:themeColor="text1"/>
                <w:sz w:val="18"/>
                <w:szCs w:val="18"/>
                <w14:textFill>
                  <w14:solidFill>
                    <w14:schemeClr w14:val="tx1"/>
                  </w14:solidFill>
                </w14:textFill>
              </w:rPr>
            </w:pPr>
          </w:p>
        </w:tc>
        <w:tc>
          <w:tcPr>
            <w:tcW w:w="1226" w:type="dxa"/>
            <w:vMerge w:val="continue"/>
            <w:vAlign w:val="center"/>
          </w:tcPr>
          <w:p w14:paraId="4CB317C2">
            <w:pPr>
              <w:jc w:val="center"/>
              <w:rPr>
                <w:b/>
                <w:color w:val="000000" w:themeColor="text1"/>
                <w:sz w:val="18"/>
                <w:szCs w:val="18"/>
                <w14:textFill>
                  <w14:solidFill>
                    <w14:schemeClr w14:val="tx1"/>
                  </w14:solidFill>
                </w14:textFill>
              </w:rPr>
            </w:pPr>
          </w:p>
        </w:tc>
        <w:tc>
          <w:tcPr>
            <w:tcW w:w="3516" w:type="dxa"/>
            <w:vAlign w:val="center"/>
          </w:tcPr>
          <w:p w14:paraId="1A8AED1C">
            <w:pPr>
              <w:rPr>
                <w:sz w:val="18"/>
                <w:szCs w:val="18"/>
              </w:rPr>
            </w:pPr>
            <w:r>
              <w:rPr>
                <w:sz w:val="18"/>
                <w:szCs w:val="18"/>
              </w:rPr>
              <w:t>通用学术英语</w:t>
            </w:r>
          </w:p>
        </w:tc>
        <w:tc>
          <w:tcPr>
            <w:tcW w:w="1081" w:type="dxa"/>
            <w:vAlign w:val="center"/>
          </w:tcPr>
          <w:p w14:paraId="6D45B342">
            <w:pPr>
              <w:jc w:val="center"/>
              <w:rPr>
                <w:sz w:val="18"/>
                <w:szCs w:val="18"/>
              </w:rPr>
            </w:pPr>
            <w:r>
              <w:rPr>
                <w:sz w:val="18"/>
                <w:szCs w:val="18"/>
              </w:rPr>
              <w:t>TS0000002</w:t>
            </w:r>
          </w:p>
        </w:tc>
        <w:tc>
          <w:tcPr>
            <w:tcW w:w="709" w:type="dxa"/>
            <w:vAlign w:val="center"/>
          </w:tcPr>
          <w:p w14:paraId="0D8C57DF">
            <w:pPr>
              <w:jc w:val="center"/>
              <w:rPr>
                <w:sz w:val="18"/>
                <w:szCs w:val="18"/>
              </w:rPr>
            </w:pPr>
            <w:r>
              <w:rPr>
                <w:sz w:val="18"/>
                <w:szCs w:val="18"/>
              </w:rPr>
              <w:t>2</w:t>
            </w:r>
          </w:p>
        </w:tc>
        <w:tc>
          <w:tcPr>
            <w:tcW w:w="709" w:type="dxa"/>
            <w:vAlign w:val="center"/>
          </w:tcPr>
          <w:p w14:paraId="5D0BF767">
            <w:pPr>
              <w:jc w:val="center"/>
              <w:rPr>
                <w:sz w:val="18"/>
                <w:szCs w:val="18"/>
              </w:rPr>
            </w:pPr>
            <w:r>
              <w:rPr>
                <w:sz w:val="18"/>
                <w:szCs w:val="18"/>
              </w:rPr>
              <w:t>1</w:t>
            </w:r>
          </w:p>
        </w:tc>
        <w:tc>
          <w:tcPr>
            <w:tcW w:w="1045" w:type="dxa"/>
            <w:vAlign w:val="center"/>
          </w:tcPr>
          <w:p w14:paraId="6FAE362D">
            <w:pPr>
              <w:jc w:val="center"/>
              <w:rPr>
                <w:sz w:val="18"/>
                <w:szCs w:val="18"/>
              </w:rPr>
            </w:pPr>
            <w:r>
              <w:rPr>
                <w:rFonts w:hint="eastAsia"/>
                <w:sz w:val="18"/>
                <w:szCs w:val="18"/>
              </w:rPr>
              <w:t>考查</w:t>
            </w:r>
          </w:p>
        </w:tc>
      </w:tr>
      <w:tr w14:paraId="1CED6D4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D02C60D">
            <w:pPr>
              <w:jc w:val="center"/>
              <w:rPr>
                <w:b/>
                <w:color w:val="000000" w:themeColor="text1"/>
                <w:sz w:val="18"/>
                <w:szCs w:val="18"/>
                <w14:textFill>
                  <w14:solidFill>
                    <w14:schemeClr w14:val="tx1"/>
                  </w14:solidFill>
                </w14:textFill>
              </w:rPr>
            </w:pPr>
          </w:p>
        </w:tc>
        <w:tc>
          <w:tcPr>
            <w:tcW w:w="1226" w:type="dxa"/>
            <w:vMerge w:val="restart"/>
            <w:vAlign w:val="center"/>
          </w:tcPr>
          <w:p w14:paraId="67C59A1D">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学科基础课</w:t>
            </w:r>
          </w:p>
          <w:p w14:paraId="1FD63B34">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w:t>
            </w:r>
            <w:r>
              <w:rPr>
                <w:rFonts w:hint="eastAsia"/>
                <w:b/>
                <w:color w:val="000000" w:themeColor="text1"/>
                <w:sz w:val="18"/>
                <w:szCs w:val="18"/>
                <w:highlight w:val="none"/>
                <w:lang w:val="en-US" w:eastAsia="zh-CN"/>
                <w14:textFill>
                  <w14:solidFill>
                    <w14:schemeClr w14:val="tx1"/>
                  </w14:solidFill>
                </w14:textFill>
              </w:rPr>
              <w:t>5</w:t>
            </w:r>
            <w:r>
              <w:rPr>
                <w:b/>
                <w:color w:val="000000" w:themeColor="text1"/>
                <w:sz w:val="18"/>
                <w:szCs w:val="18"/>
                <w:highlight w:val="none"/>
                <w14:textFill>
                  <w14:solidFill>
                    <w14:schemeClr w14:val="tx1"/>
                  </w14:solidFill>
                </w14:textFill>
              </w:rPr>
              <w:t>学分）</w:t>
            </w:r>
          </w:p>
        </w:tc>
        <w:tc>
          <w:tcPr>
            <w:tcW w:w="3516" w:type="dxa"/>
            <w:vAlign w:val="center"/>
          </w:tcPr>
          <w:p w14:paraId="125D2C09">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学术道德与论文写作</w:t>
            </w:r>
          </w:p>
        </w:tc>
        <w:tc>
          <w:tcPr>
            <w:tcW w:w="1081" w:type="dxa"/>
            <w:vAlign w:val="center"/>
          </w:tcPr>
          <w:p w14:paraId="14287645">
            <w:pPr>
              <w:jc w:val="center"/>
              <w:rPr>
                <w:rFonts w:hint="eastAsia" w:eastAsia="宋体"/>
                <w:i/>
                <w:color w:val="FF0000"/>
                <w:sz w:val="18"/>
                <w:szCs w:val="18"/>
                <w:lang w:eastAsia="zh-CN"/>
              </w:rPr>
            </w:pPr>
            <w:r>
              <w:rPr>
                <w:rFonts w:hint="eastAsia"/>
                <w:color w:val="000000" w:themeColor="text1"/>
                <w:sz w:val="18"/>
                <w:szCs w:val="18"/>
                <w14:textFill>
                  <w14:solidFill>
                    <w14:schemeClr w14:val="tx1"/>
                  </w14:solidFill>
                </w14:textFill>
              </w:rPr>
              <w:t>XS150100</w:t>
            </w:r>
            <w:r>
              <w:rPr>
                <w:rFonts w:hint="eastAsia"/>
                <w:color w:val="000000" w:themeColor="text1"/>
                <w:sz w:val="18"/>
                <w:szCs w:val="18"/>
                <w:lang w:val="en-US" w:eastAsia="zh-CN"/>
                <w14:textFill>
                  <w14:solidFill>
                    <w14:schemeClr w14:val="tx1"/>
                  </w14:solidFill>
                </w14:textFill>
              </w:rPr>
              <w:t>9</w:t>
            </w:r>
          </w:p>
        </w:tc>
        <w:tc>
          <w:tcPr>
            <w:tcW w:w="709" w:type="dxa"/>
            <w:vAlign w:val="center"/>
          </w:tcPr>
          <w:p w14:paraId="0BA81379">
            <w:pPr>
              <w:jc w:val="center"/>
              <w:rPr>
                <w:color w:val="FF0000"/>
              </w:rPr>
            </w:pPr>
            <w:r>
              <w:rPr>
                <w:rFonts w:hint="eastAsia"/>
                <w:color w:val="000000" w:themeColor="text1"/>
                <w:sz w:val="18"/>
                <w:szCs w:val="18"/>
                <w14:textFill>
                  <w14:solidFill>
                    <w14:schemeClr w14:val="tx1"/>
                  </w14:solidFill>
                </w14:textFill>
              </w:rPr>
              <w:t>1</w:t>
            </w:r>
          </w:p>
        </w:tc>
        <w:tc>
          <w:tcPr>
            <w:tcW w:w="709" w:type="dxa"/>
            <w:vAlign w:val="center"/>
          </w:tcPr>
          <w:p w14:paraId="7A9A6C16">
            <w:pPr>
              <w:jc w:val="center"/>
              <w:rPr>
                <w:color w:val="FF0000"/>
              </w:rPr>
            </w:pPr>
            <w:r>
              <w:rPr>
                <w:rFonts w:hint="eastAsia"/>
                <w:color w:val="000000" w:themeColor="text1"/>
                <w:sz w:val="18"/>
                <w:szCs w:val="18"/>
                <w14:textFill>
                  <w14:solidFill>
                    <w14:schemeClr w14:val="tx1"/>
                  </w14:solidFill>
                </w14:textFill>
              </w:rPr>
              <w:t>1</w:t>
            </w:r>
          </w:p>
        </w:tc>
        <w:tc>
          <w:tcPr>
            <w:tcW w:w="1045" w:type="dxa"/>
            <w:vAlign w:val="center"/>
          </w:tcPr>
          <w:p w14:paraId="561B5A4F">
            <w:pPr>
              <w:jc w:val="center"/>
              <w:rPr>
                <w:i/>
                <w:color w:val="FF0000"/>
                <w:sz w:val="18"/>
                <w:szCs w:val="18"/>
              </w:rPr>
            </w:pPr>
            <w:r>
              <w:rPr>
                <w:rFonts w:hint="eastAsia"/>
                <w:color w:val="000000" w:themeColor="text1"/>
                <w:sz w:val="18"/>
                <w:szCs w:val="18"/>
                <w14:textFill>
                  <w14:solidFill>
                    <w14:schemeClr w14:val="tx1"/>
                  </w14:solidFill>
                </w14:textFill>
              </w:rPr>
              <w:t>考查</w:t>
            </w:r>
          </w:p>
        </w:tc>
      </w:tr>
      <w:tr w14:paraId="434FF24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2903852">
            <w:pPr>
              <w:jc w:val="center"/>
              <w:rPr>
                <w:b/>
                <w:color w:val="000000" w:themeColor="text1"/>
                <w:sz w:val="18"/>
                <w:szCs w:val="18"/>
                <w14:textFill>
                  <w14:solidFill>
                    <w14:schemeClr w14:val="tx1"/>
                  </w14:solidFill>
                </w14:textFill>
              </w:rPr>
            </w:pPr>
          </w:p>
        </w:tc>
        <w:tc>
          <w:tcPr>
            <w:tcW w:w="1226" w:type="dxa"/>
            <w:vMerge w:val="continue"/>
            <w:vAlign w:val="center"/>
          </w:tcPr>
          <w:p w14:paraId="6923248E">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31C8B850">
            <w:pPr>
              <w:rPr>
                <w:rFonts w:ascii="Times New Roman" w:hAnsi="Times New Roman" w:eastAsia="宋体" w:cs="Times New Roman"/>
                <w:kern w:val="2"/>
                <w:sz w:val="18"/>
                <w:szCs w:val="18"/>
                <w:lang w:val="en-US" w:eastAsia="zh-CN" w:bidi="ar-SA"/>
              </w:rPr>
            </w:pPr>
            <w:r>
              <w:rPr>
                <w:rFonts w:hint="eastAsia"/>
                <w:sz w:val="18"/>
                <w:szCs w:val="18"/>
              </w:rPr>
              <w:t>现代信号处理技术</w:t>
            </w:r>
          </w:p>
        </w:tc>
        <w:tc>
          <w:tcPr>
            <w:tcW w:w="1081" w:type="dxa"/>
            <w:shd w:val="clear" w:color="auto" w:fill="auto"/>
            <w:vAlign w:val="center"/>
          </w:tcPr>
          <w:p w14:paraId="7744F000">
            <w:pPr>
              <w:jc w:val="center"/>
              <w:rPr>
                <w:rFonts w:ascii="Times New Roman" w:hAnsi="Times New Roman" w:eastAsia="宋体" w:cs="Times New Roman"/>
                <w:i/>
                <w:kern w:val="2"/>
                <w:sz w:val="18"/>
                <w:szCs w:val="18"/>
                <w:lang w:val="en-US" w:eastAsia="zh-CN" w:bidi="ar-SA"/>
              </w:rPr>
            </w:pPr>
            <w:r>
              <w:rPr>
                <w:rFonts w:hint="eastAsia"/>
                <w:sz w:val="18"/>
                <w:szCs w:val="18"/>
              </w:rPr>
              <w:t>ZS1506002</w:t>
            </w:r>
          </w:p>
        </w:tc>
        <w:tc>
          <w:tcPr>
            <w:tcW w:w="709" w:type="dxa"/>
            <w:shd w:val="clear" w:color="auto" w:fill="auto"/>
            <w:vAlign w:val="center"/>
          </w:tcPr>
          <w:p w14:paraId="79FF8281">
            <w:pPr>
              <w:jc w:val="center"/>
              <w:rPr>
                <w:rFonts w:ascii="Times New Roman" w:hAnsi="Times New Roman" w:eastAsia="宋体" w:cs="Times New Roman"/>
                <w:i/>
                <w:kern w:val="2"/>
                <w:sz w:val="18"/>
                <w:szCs w:val="18"/>
                <w:lang w:val="en-US" w:eastAsia="zh-CN" w:bidi="ar-SA"/>
              </w:rPr>
            </w:pPr>
            <w:r>
              <w:rPr>
                <w:rFonts w:hint="eastAsia"/>
                <w:sz w:val="18"/>
                <w:szCs w:val="18"/>
              </w:rPr>
              <w:t>2</w:t>
            </w:r>
          </w:p>
        </w:tc>
        <w:tc>
          <w:tcPr>
            <w:tcW w:w="709" w:type="dxa"/>
            <w:shd w:val="clear" w:color="auto" w:fill="auto"/>
            <w:vAlign w:val="center"/>
          </w:tcPr>
          <w:p w14:paraId="107F8EC5">
            <w:pPr>
              <w:jc w:val="center"/>
              <w:rPr>
                <w:rFonts w:ascii="Times New Roman" w:hAnsi="Times New Roman" w:eastAsia="宋体" w:cs="Times New Roman"/>
                <w:i/>
                <w:kern w:val="2"/>
                <w:sz w:val="18"/>
                <w:szCs w:val="18"/>
                <w:lang w:val="en-US" w:eastAsia="zh-CN" w:bidi="ar-SA"/>
              </w:rPr>
            </w:pPr>
            <w:r>
              <w:rPr>
                <w:rFonts w:hint="eastAsia"/>
                <w:sz w:val="18"/>
                <w:szCs w:val="18"/>
              </w:rPr>
              <w:t>1</w:t>
            </w:r>
          </w:p>
        </w:tc>
        <w:tc>
          <w:tcPr>
            <w:tcW w:w="1045" w:type="dxa"/>
            <w:shd w:val="clear" w:color="auto" w:fill="auto"/>
            <w:vAlign w:val="center"/>
          </w:tcPr>
          <w:p w14:paraId="7A375567">
            <w:pPr>
              <w:jc w:val="center"/>
              <w:rPr>
                <w:rFonts w:ascii="Times New Roman" w:hAnsi="Times New Roman" w:eastAsia="宋体" w:cs="Times New Roman"/>
                <w:i/>
                <w:kern w:val="2"/>
                <w:sz w:val="18"/>
                <w:szCs w:val="18"/>
                <w:lang w:val="en-US" w:eastAsia="zh-CN" w:bidi="ar-SA"/>
              </w:rPr>
            </w:pPr>
            <w:r>
              <w:rPr>
                <w:rFonts w:hint="eastAsia"/>
                <w:sz w:val="18"/>
                <w:szCs w:val="18"/>
              </w:rPr>
              <w:t>考试</w:t>
            </w:r>
          </w:p>
        </w:tc>
      </w:tr>
      <w:tr w14:paraId="39E954E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765D482">
            <w:pPr>
              <w:jc w:val="center"/>
              <w:rPr>
                <w:b/>
                <w:color w:val="000000" w:themeColor="text1"/>
                <w:sz w:val="18"/>
                <w:szCs w:val="18"/>
                <w14:textFill>
                  <w14:solidFill>
                    <w14:schemeClr w14:val="tx1"/>
                  </w14:solidFill>
                </w14:textFill>
              </w:rPr>
            </w:pPr>
          </w:p>
        </w:tc>
        <w:tc>
          <w:tcPr>
            <w:tcW w:w="1226" w:type="dxa"/>
            <w:vMerge w:val="continue"/>
            <w:vAlign w:val="center"/>
          </w:tcPr>
          <w:p w14:paraId="2E6CBE5E">
            <w:pPr>
              <w:jc w:val="center"/>
              <w:rPr>
                <w:b/>
                <w:color w:val="000000" w:themeColor="text1"/>
                <w:sz w:val="18"/>
                <w:szCs w:val="18"/>
                <w14:textFill>
                  <w14:solidFill>
                    <w14:schemeClr w14:val="tx1"/>
                  </w14:solidFill>
                </w14:textFill>
              </w:rPr>
            </w:pPr>
          </w:p>
        </w:tc>
        <w:tc>
          <w:tcPr>
            <w:tcW w:w="3516" w:type="dxa"/>
            <w:vAlign w:val="center"/>
          </w:tcPr>
          <w:p w14:paraId="2A8CE2CA">
            <w:pPr>
              <w:adjustRightInd w:val="0"/>
              <w:snapToGrid w:val="0"/>
              <w:rPr>
                <w:rFonts w:hint="default" w:eastAsia="宋体"/>
                <w:i w:val="0"/>
                <w:iCs/>
                <w:color w:val="auto"/>
                <w:sz w:val="18"/>
                <w:szCs w:val="18"/>
                <w:highlight w:val="yellow"/>
                <w:lang w:val="en-US" w:eastAsia="zh-CN"/>
              </w:rPr>
            </w:pPr>
            <w:r>
              <w:rPr>
                <w:rFonts w:hint="eastAsia"/>
                <w:i w:val="0"/>
                <w:iCs/>
                <w:color w:val="auto"/>
                <w:sz w:val="18"/>
                <w:szCs w:val="18"/>
                <w:highlight w:val="none"/>
                <w:lang w:val="en-US" w:eastAsia="zh-CN"/>
              </w:rPr>
              <w:t>安全工程学</w:t>
            </w:r>
          </w:p>
        </w:tc>
        <w:tc>
          <w:tcPr>
            <w:tcW w:w="1081" w:type="dxa"/>
            <w:vAlign w:val="center"/>
          </w:tcPr>
          <w:p w14:paraId="64510BF6">
            <w:pPr>
              <w:jc w:val="center"/>
              <w:rPr>
                <w:rFonts w:hint="default" w:eastAsia="宋体"/>
                <w:color w:val="FF0000"/>
                <w:sz w:val="18"/>
                <w:szCs w:val="18"/>
                <w:lang w:val="en-US" w:eastAsia="zh-CN"/>
              </w:rPr>
            </w:pPr>
            <w:r>
              <w:rPr>
                <w:rFonts w:hint="eastAsia"/>
                <w:color w:val="auto"/>
                <w:sz w:val="18"/>
                <w:szCs w:val="18"/>
                <w:lang w:val="en-US" w:eastAsia="zh-CN"/>
              </w:rPr>
              <w:t>ZS1506005</w:t>
            </w:r>
          </w:p>
        </w:tc>
        <w:tc>
          <w:tcPr>
            <w:tcW w:w="709" w:type="dxa"/>
            <w:vAlign w:val="center"/>
          </w:tcPr>
          <w:p w14:paraId="15FA8B9E">
            <w:pPr>
              <w:jc w:val="center"/>
              <w:rPr>
                <w:color w:val="FF0000"/>
              </w:rPr>
            </w:pPr>
            <w:r>
              <w:rPr>
                <w:rFonts w:hint="eastAsia"/>
                <w:sz w:val="18"/>
                <w:szCs w:val="18"/>
              </w:rPr>
              <w:t>2</w:t>
            </w:r>
          </w:p>
        </w:tc>
        <w:tc>
          <w:tcPr>
            <w:tcW w:w="709" w:type="dxa"/>
            <w:vAlign w:val="center"/>
          </w:tcPr>
          <w:p w14:paraId="2C2FC2B4">
            <w:pPr>
              <w:jc w:val="center"/>
              <w:rPr>
                <w:color w:val="FF0000"/>
              </w:rPr>
            </w:pPr>
            <w:r>
              <w:rPr>
                <w:rFonts w:hint="eastAsia"/>
                <w:sz w:val="18"/>
                <w:szCs w:val="18"/>
              </w:rPr>
              <w:t>1</w:t>
            </w:r>
          </w:p>
        </w:tc>
        <w:tc>
          <w:tcPr>
            <w:tcW w:w="1045" w:type="dxa"/>
            <w:vAlign w:val="center"/>
          </w:tcPr>
          <w:p w14:paraId="33F9C596">
            <w:pPr>
              <w:jc w:val="center"/>
              <w:rPr>
                <w:color w:val="FF0000"/>
                <w:sz w:val="18"/>
                <w:szCs w:val="18"/>
              </w:rPr>
            </w:pPr>
            <w:r>
              <w:rPr>
                <w:rFonts w:hint="eastAsia"/>
                <w:sz w:val="18"/>
                <w:szCs w:val="18"/>
              </w:rPr>
              <w:t>考试</w:t>
            </w:r>
          </w:p>
        </w:tc>
      </w:tr>
      <w:tr w14:paraId="7CA9255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CEC4145">
            <w:pPr>
              <w:jc w:val="center"/>
              <w:rPr>
                <w:b/>
                <w:color w:val="000000" w:themeColor="text1"/>
                <w:sz w:val="18"/>
                <w:szCs w:val="18"/>
                <w14:textFill>
                  <w14:solidFill>
                    <w14:schemeClr w14:val="tx1"/>
                  </w14:solidFill>
                </w14:textFill>
              </w:rPr>
            </w:pPr>
          </w:p>
        </w:tc>
        <w:tc>
          <w:tcPr>
            <w:tcW w:w="1226" w:type="dxa"/>
            <w:vMerge w:val="restart"/>
            <w:vAlign w:val="center"/>
          </w:tcPr>
          <w:p w14:paraId="3B9E7A8F">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专业必修课</w:t>
            </w:r>
          </w:p>
          <w:p w14:paraId="335843EC">
            <w:pPr>
              <w:jc w:val="center"/>
              <w:rPr>
                <w:b/>
                <w:color w:val="000000" w:themeColor="text1"/>
                <w:sz w:val="18"/>
                <w:szCs w:val="18"/>
                <w:highlight w:val="none"/>
                <w14:textFill>
                  <w14:solidFill>
                    <w14:schemeClr w14:val="tx1"/>
                  </w14:solidFill>
                </w14:textFill>
              </w:rPr>
            </w:pPr>
            <w:r>
              <w:rPr>
                <w:b/>
                <w:color w:val="000000" w:themeColor="text1"/>
                <w:sz w:val="18"/>
                <w:szCs w:val="18"/>
                <w:highlight w:val="none"/>
                <w14:textFill>
                  <w14:solidFill>
                    <w14:schemeClr w14:val="tx1"/>
                  </w14:solidFill>
                </w14:textFill>
              </w:rPr>
              <w:t>（</w:t>
            </w:r>
            <w:r>
              <w:rPr>
                <w:rFonts w:hint="eastAsia"/>
                <w:b/>
                <w:color w:val="000000" w:themeColor="text1"/>
                <w:sz w:val="18"/>
                <w:szCs w:val="18"/>
                <w:highlight w:val="none"/>
                <w:lang w:val="en-US" w:eastAsia="zh-CN"/>
                <w14:textFill>
                  <w14:solidFill>
                    <w14:schemeClr w14:val="tx1"/>
                  </w14:solidFill>
                </w14:textFill>
              </w:rPr>
              <w:t>8</w:t>
            </w:r>
            <w:r>
              <w:rPr>
                <w:b/>
                <w:color w:val="000000" w:themeColor="text1"/>
                <w:sz w:val="18"/>
                <w:szCs w:val="18"/>
                <w:highlight w:val="none"/>
                <w14:textFill>
                  <w14:solidFill>
                    <w14:schemeClr w14:val="tx1"/>
                  </w14:solidFill>
                </w14:textFill>
              </w:rPr>
              <w:t>学分）</w:t>
            </w:r>
          </w:p>
        </w:tc>
        <w:tc>
          <w:tcPr>
            <w:tcW w:w="3516" w:type="dxa"/>
            <w:vAlign w:val="center"/>
          </w:tcPr>
          <w:p w14:paraId="50778A6F">
            <w:pPr>
              <w:rPr>
                <w:rFonts w:hint="default" w:eastAsia="宋体"/>
                <w:lang w:val="en-US" w:eastAsia="zh-CN"/>
              </w:rPr>
            </w:pPr>
            <w:r>
              <w:rPr>
                <w:rFonts w:hint="eastAsia"/>
                <w:color w:val="auto"/>
                <w:sz w:val="18"/>
                <w:szCs w:val="18"/>
              </w:rPr>
              <w:t>机器学习</w:t>
            </w:r>
          </w:p>
        </w:tc>
        <w:tc>
          <w:tcPr>
            <w:tcW w:w="1081" w:type="dxa"/>
            <w:vAlign w:val="center"/>
          </w:tcPr>
          <w:p w14:paraId="48E04F6B">
            <w:pPr>
              <w:jc w:val="center"/>
              <w:rPr>
                <w:color w:val="FF0000"/>
                <w:sz w:val="18"/>
                <w:szCs w:val="18"/>
              </w:rPr>
            </w:pPr>
            <w:r>
              <w:rPr>
                <w:rFonts w:hint="eastAsia"/>
                <w:color w:val="000000" w:themeColor="text1"/>
                <w:sz w:val="18"/>
                <w:szCs w:val="18"/>
                <w14:textFill>
                  <w14:solidFill>
                    <w14:schemeClr w14:val="tx1"/>
                  </w14:solidFill>
                </w14:textFill>
              </w:rPr>
              <w:t>ZS1506003</w:t>
            </w:r>
          </w:p>
        </w:tc>
        <w:tc>
          <w:tcPr>
            <w:tcW w:w="709" w:type="dxa"/>
            <w:vAlign w:val="center"/>
          </w:tcPr>
          <w:p w14:paraId="6E0A2B46">
            <w:pPr>
              <w:jc w:val="center"/>
              <w:rPr>
                <w:color w:val="FF0000"/>
              </w:rPr>
            </w:pPr>
            <w:r>
              <w:rPr>
                <w:rFonts w:hint="eastAsia"/>
                <w:color w:val="000000" w:themeColor="text1"/>
                <w:sz w:val="18"/>
                <w:szCs w:val="18"/>
                <w14:textFill>
                  <w14:solidFill>
                    <w14:schemeClr w14:val="tx1"/>
                  </w14:solidFill>
                </w14:textFill>
              </w:rPr>
              <w:t>2</w:t>
            </w:r>
          </w:p>
        </w:tc>
        <w:tc>
          <w:tcPr>
            <w:tcW w:w="709" w:type="dxa"/>
            <w:vAlign w:val="center"/>
          </w:tcPr>
          <w:p w14:paraId="0F2967CC">
            <w:pPr>
              <w:jc w:val="center"/>
              <w:rPr>
                <w:color w:val="FF0000"/>
              </w:rPr>
            </w:pPr>
            <w:r>
              <w:rPr>
                <w:rFonts w:hint="eastAsia"/>
                <w:color w:val="000000" w:themeColor="text1"/>
                <w:sz w:val="18"/>
                <w:szCs w:val="18"/>
                <w14:textFill>
                  <w14:solidFill>
                    <w14:schemeClr w14:val="tx1"/>
                  </w14:solidFill>
                </w14:textFill>
              </w:rPr>
              <w:t>1</w:t>
            </w:r>
          </w:p>
        </w:tc>
        <w:tc>
          <w:tcPr>
            <w:tcW w:w="1045" w:type="dxa"/>
            <w:vAlign w:val="center"/>
          </w:tcPr>
          <w:p w14:paraId="58CED1FC">
            <w:pPr>
              <w:jc w:val="center"/>
              <w:rPr>
                <w:color w:val="FF0000"/>
                <w:sz w:val="18"/>
                <w:szCs w:val="18"/>
              </w:rPr>
            </w:pPr>
            <w:r>
              <w:rPr>
                <w:rFonts w:hint="eastAsia"/>
                <w:color w:val="000000" w:themeColor="text1"/>
                <w:sz w:val="18"/>
                <w:szCs w:val="18"/>
                <w14:textFill>
                  <w14:solidFill>
                    <w14:schemeClr w14:val="tx1"/>
                  </w14:solidFill>
                </w14:textFill>
              </w:rPr>
              <w:t>考试</w:t>
            </w:r>
          </w:p>
        </w:tc>
      </w:tr>
      <w:tr w14:paraId="40F81ED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8BD2D0A">
            <w:pPr>
              <w:jc w:val="center"/>
              <w:rPr>
                <w:b/>
                <w:color w:val="000000" w:themeColor="text1"/>
                <w:sz w:val="18"/>
                <w:szCs w:val="18"/>
                <w14:textFill>
                  <w14:solidFill>
                    <w14:schemeClr w14:val="tx1"/>
                  </w14:solidFill>
                </w14:textFill>
              </w:rPr>
            </w:pPr>
          </w:p>
        </w:tc>
        <w:tc>
          <w:tcPr>
            <w:tcW w:w="1226" w:type="dxa"/>
            <w:vMerge w:val="continue"/>
            <w:vAlign w:val="center"/>
          </w:tcPr>
          <w:p w14:paraId="50294334">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4CC9D705">
            <w:pPr>
              <w:adjustRightInd w:val="0"/>
              <w:snapToGrid w:val="0"/>
              <w:rPr>
                <w:rFonts w:hint="eastAsia" w:ascii="Times New Roman" w:hAnsi="Times New Roman" w:eastAsia="宋体" w:cs="Times New Roman"/>
                <w:i/>
                <w:color w:val="FF0000"/>
                <w:kern w:val="2"/>
                <w:sz w:val="18"/>
                <w:szCs w:val="18"/>
                <w:lang w:val="en-US" w:eastAsia="zh-CN" w:bidi="ar-SA"/>
              </w:rPr>
            </w:pPr>
            <w:r>
              <w:rPr>
                <w:rFonts w:hint="eastAsia"/>
                <w:sz w:val="18"/>
                <w:szCs w:val="18"/>
              </w:rPr>
              <w:t>动态测试信号处理与建模</w:t>
            </w:r>
          </w:p>
        </w:tc>
        <w:tc>
          <w:tcPr>
            <w:tcW w:w="1081" w:type="dxa"/>
            <w:shd w:val="clear" w:color="auto" w:fill="auto"/>
            <w:vAlign w:val="center"/>
          </w:tcPr>
          <w:p w14:paraId="12874739">
            <w:pPr>
              <w:jc w:val="center"/>
              <w:rPr>
                <w:rFonts w:hint="eastAsia" w:ascii="Times New Roman" w:hAnsi="Times New Roman" w:eastAsia="宋体" w:cs="Times New Roman"/>
                <w:color w:val="FF0000"/>
                <w:kern w:val="2"/>
                <w:sz w:val="18"/>
                <w:szCs w:val="18"/>
                <w:lang w:val="en-US" w:eastAsia="zh-CN" w:bidi="ar-SA"/>
              </w:rPr>
            </w:pPr>
            <w:r>
              <w:rPr>
                <w:rFonts w:hint="eastAsia"/>
                <w:sz w:val="18"/>
                <w:szCs w:val="18"/>
              </w:rPr>
              <w:t>XS1501004</w:t>
            </w:r>
          </w:p>
        </w:tc>
        <w:tc>
          <w:tcPr>
            <w:tcW w:w="709" w:type="dxa"/>
            <w:shd w:val="clear" w:color="auto" w:fill="auto"/>
            <w:vAlign w:val="center"/>
          </w:tcPr>
          <w:p w14:paraId="29458D28">
            <w:pPr>
              <w:jc w:val="center"/>
              <w:rPr>
                <w:rFonts w:hint="eastAsia" w:ascii="Times New Roman" w:hAnsi="Times New Roman" w:eastAsia="宋体" w:cs="Times New Roman"/>
                <w:color w:val="auto"/>
                <w:kern w:val="2"/>
                <w:sz w:val="21"/>
                <w:szCs w:val="24"/>
                <w:lang w:val="en-US" w:eastAsia="zh-CN" w:bidi="ar-SA"/>
              </w:rPr>
            </w:pPr>
            <w:r>
              <w:rPr>
                <w:rFonts w:hint="eastAsia"/>
                <w:color w:val="auto"/>
                <w:sz w:val="18"/>
                <w:szCs w:val="18"/>
              </w:rPr>
              <w:t>2</w:t>
            </w:r>
          </w:p>
        </w:tc>
        <w:tc>
          <w:tcPr>
            <w:tcW w:w="709" w:type="dxa"/>
            <w:shd w:val="clear" w:color="auto" w:fill="auto"/>
            <w:vAlign w:val="center"/>
          </w:tcPr>
          <w:p w14:paraId="631A4077">
            <w:pPr>
              <w:jc w:val="center"/>
              <w:rPr>
                <w:rFonts w:hint="eastAsia" w:ascii="Times New Roman" w:hAnsi="Times New Roman" w:eastAsia="宋体" w:cs="Times New Roman"/>
                <w:color w:val="auto"/>
                <w:kern w:val="2"/>
                <w:sz w:val="21"/>
                <w:szCs w:val="24"/>
                <w:lang w:val="en-US" w:eastAsia="zh-CN" w:bidi="ar-SA"/>
              </w:rPr>
            </w:pPr>
            <w:r>
              <w:rPr>
                <w:rFonts w:hint="eastAsia"/>
                <w:color w:val="auto"/>
                <w:sz w:val="18"/>
                <w:szCs w:val="18"/>
              </w:rPr>
              <w:t>1</w:t>
            </w:r>
          </w:p>
        </w:tc>
        <w:tc>
          <w:tcPr>
            <w:tcW w:w="1045" w:type="dxa"/>
            <w:vAlign w:val="center"/>
          </w:tcPr>
          <w:p w14:paraId="2213D529">
            <w:pPr>
              <w:adjustRightInd w:val="0"/>
              <w:snapToGrid w:val="0"/>
              <w:jc w:val="center"/>
              <w:rPr>
                <w:i/>
                <w:color w:val="FF0000"/>
                <w:sz w:val="18"/>
                <w:szCs w:val="18"/>
              </w:rPr>
            </w:pPr>
            <w:r>
              <w:rPr>
                <w:rFonts w:hint="eastAsia"/>
                <w:color w:val="000000" w:themeColor="text1"/>
                <w:sz w:val="18"/>
                <w:szCs w:val="18"/>
                <w14:textFill>
                  <w14:solidFill>
                    <w14:schemeClr w14:val="tx1"/>
                  </w14:solidFill>
                </w14:textFill>
              </w:rPr>
              <w:t>考试</w:t>
            </w:r>
          </w:p>
        </w:tc>
      </w:tr>
      <w:tr w14:paraId="6D5947C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2446CAF">
            <w:pPr>
              <w:jc w:val="center"/>
              <w:rPr>
                <w:b/>
                <w:color w:val="000000" w:themeColor="text1"/>
                <w:sz w:val="18"/>
                <w:szCs w:val="18"/>
                <w14:textFill>
                  <w14:solidFill>
                    <w14:schemeClr w14:val="tx1"/>
                  </w14:solidFill>
                </w14:textFill>
              </w:rPr>
            </w:pPr>
          </w:p>
        </w:tc>
        <w:tc>
          <w:tcPr>
            <w:tcW w:w="1226" w:type="dxa"/>
            <w:vMerge w:val="continue"/>
            <w:vAlign w:val="center"/>
          </w:tcPr>
          <w:p w14:paraId="0D031BAF">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23C2590D">
            <w:pPr>
              <w:adjustRightInd w:val="0"/>
              <w:snapToGrid w:val="0"/>
              <w:rPr>
                <w:rFonts w:hint="eastAsia" w:ascii="Times New Roman" w:hAnsi="Times New Roman" w:eastAsia="宋体" w:cs="Times New Roman"/>
                <w:i/>
                <w:color w:val="FF0000"/>
                <w:kern w:val="2"/>
                <w:sz w:val="18"/>
                <w:szCs w:val="18"/>
                <w:lang w:val="en-US" w:eastAsia="zh-CN" w:bidi="ar-SA"/>
              </w:rPr>
            </w:pPr>
            <w:r>
              <w:rPr>
                <w:rFonts w:hint="eastAsia"/>
                <w:sz w:val="18"/>
                <w:szCs w:val="18"/>
              </w:rPr>
              <w:t>新型传感技术及应用</w:t>
            </w:r>
          </w:p>
        </w:tc>
        <w:tc>
          <w:tcPr>
            <w:tcW w:w="1081" w:type="dxa"/>
            <w:shd w:val="clear" w:color="auto" w:fill="auto"/>
            <w:vAlign w:val="center"/>
          </w:tcPr>
          <w:p w14:paraId="25EEBCBF">
            <w:pPr>
              <w:jc w:val="center"/>
              <w:rPr>
                <w:rFonts w:hint="eastAsia" w:ascii="Times New Roman" w:hAnsi="Times New Roman" w:eastAsia="宋体" w:cs="Times New Roman"/>
                <w:color w:val="FF0000"/>
                <w:kern w:val="2"/>
                <w:sz w:val="18"/>
                <w:szCs w:val="18"/>
                <w:lang w:val="en-US" w:eastAsia="zh-CN" w:bidi="ar-SA"/>
              </w:rPr>
            </w:pPr>
            <w:r>
              <w:rPr>
                <w:rFonts w:hint="eastAsia"/>
                <w:sz w:val="18"/>
                <w:szCs w:val="18"/>
              </w:rPr>
              <w:t>XS1501005</w:t>
            </w:r>
          </w:p>
        </w:tc>
        <w:tc>
          <w:tcPr>
            <w:tcW w:w="709" w:type="dxa"/>
            <w:shd w:val="clear" w:color="auto" w:fill="auto"/>
            <w:vAlign w:val="center"/>
          </w:tcPr>
          <w:p w14:paraId="3D2B4813">
            <w:pPr>
              <w:jc w:val="center"/>
              <w:rPr>
                <w:rFonts w:hint="eastAsia" w:ascii="Times New Roman" w:hAnsi="Times New Roman" w:eastAsia="宋体" w:cs="Times New Roman"/>
                <w:i/>
                <w:color w:val="FF0000"/>
                <w:kern w:val="2"/>
                <w:sz w:val="18"/>
                <w:szCs w:val="18"/>
                <w:lang w:val="en-US" w:eastAsia="zh-CN" w:bidi="ar-SA"/>
              </w:rPr>
            </w:pPr>
            <w:r>
              <w:rPr>
                <w:rFonts w:hint="eastAsia"/>
                <w:sz w:val="18"/>
                <w:szCs w:val="18"/>
              </w:rPr>
              <w:t>2</w:t>
            </w:r>
          </w:p>
        </w:tc>
        <w:tc>
          <w:tcPr>
            <w:tcW w:w="709" w:type="dxa"/>
            <w:shd w:val="clear" w:color="auto" w:fill="auto"/>
            <w:vAlign w:val="center"/>
          </w:tcPr>
          <w:p w14:paraId="3AD113DB">
            <w:pPr>
              <w:jc w:val="center"/>
              <w:rPr>
                <w:rFonts w:hint="eastAsia" w:ascii="Times New Roman" w:hAnsi="Times New Roman" w:eastAsia="宋体" w:cs="Times New Roman"/>
                <w:i/>
                <w:color w:val="FF0000"/>
                <w:kern w:val="2"/>
                <w:sz w:val="18"/>
                <w:szCs w:val="18"/>
                <w:lang w:val="en-US" w:eastAsia="zh-CN" w:bidi="ar-SA"/>
              </w:rPr>
            </w:pPr>
            <w:r>
              <w:rPr>
                <w:rFonts w:hint="eastAsia"/>
                <w:sz w:val="18"/>
                <w:szCs w:val="18"/>
              </w:rPr>
              <w:t>1</w:t>
            </w:r>
          </w:p>
        </w:tc>
        <w:tc>
          <w:tcPr>
            <w:tcW w:w="1045" w:type="dxa"/>
            <w:vAlign w:val="center"/>
          </w:tcPr>
          <w:p w14:paraId="22FF75C0">
            <w:pPr>
              <w:adjustRightInd w:val="0"/>
              <w:snapToGrid w:val="0"/>
              <w:jc w:val="center"/>
              <w:rPr>
                <w:rFonts w:hint="eastAsia"/>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考试</w:t>
            </w:r>
          </w:p>
        </w:tc>
      </w:tr>
      <w:tr w14:paraId="0CB9096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221B3E5">
            <w:pPr>
              <w:jc w:val="center"/>
              <w:rPr>
                <w:b/>
                <w:color w:val="000000" w:themeColor="text1"/>
                <w:sz w:val="18"/>
                <w:szCs w:val="18"/>
                <w14:textFill>
                  <w14:solidFill>
                    <w14:schemeClr w14:val="tx1"/>
                  </w14:solidFill>
                </w14:textFill>
              </w:rPr>
            </w:pPr>
          </w:p>
        </w:tc>
        <w:tc>
          <w:tcPr>
            <w:tcW w:w="1226" w:type="dxa"/>
            <w:vMerge w:val="continue"/>
            <w:vAlign w:val="center"/>
          </w:tcPr>
          <w:p w14:paraId="5C8F81DB">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29ACC6FC">
            <w:pPr>
              <w:rPr>
                <w:rFonts w:ascii="Times New Roman" w:hAnsi="Times New Roman" w:eastAsia="宋体" w:cs="Times New Roman"/>
                <w:i/>
                <w:color w:val="FF0000"/>
                <w:kern w:val="2"/>
                <w:sz w:val="18"/>
                <w:szCs w:val="18"/>
                <w:lang w:val="en-US" w:eastAsia="zh-CN" w:bidi="ar-SA"/>
              </w:rPr>
            </w:pPr>
            <w:r>
              <w:rPr>
                <w:rFonts w:hint="eastAsia"/>
                <w:color w:val="000000" w:themeColor="text1"/>
                <w:sz w:val="18"/>
                <w:szCs w:val="18"/>
                <w14:textFill>
                  <w14:solidFill>
                    <w14:schemeClr w14:val="tx1"/>
                  </w14:solidFill>
                </w14:textFill>
              </w:rPr>
              <w:t>误差与不确定度理论及应用</w:t>
            </w:r>
          </w:p>
        </w:tc>
        <w:tc>
          <w:tcPr>
            <w:tcW w:w="1081" w:type="dxa"/>
            <w:shd w:val="clear" w:color="auto" w:fill="auto"/>
            <w:vAlign w:val="center"/>
          </w:tcPr>
          <w:p w14:paraId="136FB0E6">
            <w:pPr>
              <w:jc w:val="center"/>
              <w:rPr>
                <w:rFonts w:ascii="Times New Roman" w:hAnsi="Times New Roman" w:eastAsia="宋体" w:cs="Times New Roman"/>
                <w:color w:val="FF0000"/>
                <w:kern w:val="2"/>
                <w:sz w:val="18"/>
                <w:szCs w:val="18"/>
                <w:lang w:val="en-US" w:eastAsia="zh-CN" w:bidi="ar-SA"/>
              </w:rPr>
            </w:pPr>
            <w:r>
              <w:rPr>
                <w:rFonts w:hint="eastAsia"/>
                <w:sz w:val="18"/>
                <w:szCs w:val="18"/>
              </w:rPr>
              <w:t>XS1501008</w:t>
            </w:r>
          </w:p>
        </w:tc>
        <w:tc>
          <w:tcPr>
            <w:tcW w:w="709" w:type="dxa"/>
            <w:shd w:val="clear" w:color="auto" w:fill="auto"/>
            <w:vAlign w:val="center"/>
          </w:tcPr>
          <w:p w14:paraId="6E3BED53">
            <w:pPr>
              <w:jc w:val="center"/>
              <w:rPr>
                <w:rFonts w:ascii="Times New Roman" w:hAnsi="Times New Roman" w:eastAsia="宋体" w:cs="Times New Roman"/>
                <w:i/>
                <w:color w:val="FF0000"/>
                <w:kern w:val="2"/>
                <w:sz w:val="18"/>
                <w:szCs w:val="18"/>
                <w:lang w:val="en-US" w:eastAsia="zh-CN" w:bidi="ar-SA"/>
              </w:rPr>
            </w:pPr>
            <w:r>
              <w:rPr>
                <w:rFonts w:hint="eastAsia"/>
                <w:sz w:val="18"/>
                <w:szCs w:val="18"/>
              </w:rPr>
              <w:t>2</w:t>
            </w:r>
          </w:p>
        </w:tc>
        <w:tc>
          <w:tcPr>
            <w:tcW w:w="709" w:type="dxa"/>
            <w:shd w:val="clear" w:color="auto" w:fill="auto"/>
            <w:vAlign w:val="center"/>
          </w:tcPr>
          <w:p w14:paraId="6B0E40DB">
            <w:pPr>
              <w:jc w:val="center"/>
              <w:rPr>
                <w:rFonts w:ascii="Times New Roman" w:hAnsi="Times New Roman" w:eastAsia="宋体" w:cs="Times New Roman"/>
                <w:i/>
                <w:color w:val="FF0000"/>
                <w:kern w:val="2"/>
                <w:sz w:val="18"/>
                <w:szCs w:val="18"/>
                <w:lang w:val="en-US" w:eastAsia="zh-CN" w:bidi="ar-SA"/>
              </w:rPr>
            </w:pPr>
            <w:r>
              <w:rPr>
                <w:rFonts w:hint="eastAsia"/>
                <w:sz w:val="18"/>
                <w:szCs w:val="18"/>
              </w:rPr>
              <w:t>1</w:t>
            </w:r>
          </w:p>
        </w:tc>
        <w:tc>
          <w:tcPr>
            <w:tcW w:w="1045" w:type="dxa"/>
            <w:vAlign w:val="top"/>
          </w:tcPr>
          <w:p w14:paraId="3DD343BB">
            <w:pPr>
              <w:ind w:firstLine="270" w:firstLineChars="150"/>
              <w:rPr>
                <w:i/>
                <w:color w:val="FF0000"/>
                <w:sz w:val="18"/>
                <w:szCs w:val="18"/>
              </w:rPr>
            </w:pPr>
            <w:r>
              <w:rPr>
                <w:rFonts w:hint="eastAsia"/>
                <w:color w:val="000000" w:themeColor="text1"/>
                <w:sz w:val="18"/>
                <w:szCs w:val="18"/>
                <w14:textFill>
                  <w14:solidFill>
                    <w14:schemeClr w14:val="tx1"/>
                  </w14:solidFill>
                </w14:textFill>
              </w:rPr>
              <w:t>考试</w:t>
            </w:r>
          </w:p>
        </w:tc>
      </w:tr>
      <w:tr w14:paraId="34F7539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6A1ADC54">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p w14:paraId="15E5D2DC">
            <w:pPr>
              <w:jc w:val="center"/>
              <w:rPr>
                <w:rFonts w:hint="eastAsia"/>
                <w:b/>
                <w:color w:val="000000" w:themeColor="text1"/>
                <w:sz w:val="18"/>
                <w:szCs w:val="18"/>
                <w:lang w:val="en-US" w:eastAsia="zh-CN"/>
                <w14:textFill>
                  <w14:solidFill>
                    <w14:schemeClr w14:val="tx1"/>
                  </w14:solidFill>
                </w14:textFill>
              </w:rPr>
            </w:pPr>
            <w:r>
              <w:rPr>
                <w:rFonts w:hint="eastAsia"/>
                <w:b/>
                <w:color w:val="000000" w:themeColor="text1"/>
                <w:sz w:val="18"/>
                <w:szCs w:val="18"/>
                <w:lang w:val="en-US" w:eastAsia="zh-CN"/>
                <w14:textFill>
                  <w14:solidFill>
                    <w14:schemeClr w14:val="tx1"/>
                  </w14:solidFill>
                </w14:textFill>
              </w:rPr>
              <w:t>6</w:t>
            </w:r>
          </w:p>
          <w:p w14:paraId="3C87D655">
            <w:pPr>
              <w:jc w:val="center"/>
              <w:rPr>
                <w:rFonts w:hint="default" w:eastAsia="宋体"/>
                <w:b/>
                <w:color w:val="000000" w:themeColor="text1"/>
                <w:sz w:val="18"/>
                <w:szCs w:val="18"/>
                <w:lang w:val="en-US" w:eastAsia="zh-CN"/>
                <w14:textFill>
                  <w14:solidFill>
                    <w14:schemeClr w14:val="tx1"/>
                  </w14:solidFill>
                </w14:textFill>
              </w:rPr>
            </w:pPr>
            <w:r>
              <w:rPr>
                <w:rFonts w:hint="eastAsia"/>
                <w:b/>
                <w:color w:val="000000" w:themeColor="text1"/>
                <w:sz w:val="18"/>
                <w:szCs w:val="18"/>
                <w:lang w:val="en-US" w:eastAsia="zh-CN"/>
                <w14:textFill>
                  <w14:solidFill>
                    <w14:schemeClr w14:val="tx1"/>
                  </w14:solidFill>
                </w14:textFill>
              </w:rPr>
              <w:t>分</w:t>
            </w:r>
          </w:p>
        </w:tc>
        <w:tc>
          <w:tcPr>
            <w:tcW w:w="1226" w:type="dxa"/>
            <w:vMerge w:val="restart"/>
            <w:vAlign w:val="center"/>
          </w:tcPr>
          <w:p w14:paraId="42C97C8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7C687139">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30035C28">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081" w:type="dxa"/>
            <w:vAlign w:val="center"/>
          </w:tcPr>
          <w:p w14:paraId="54A2EBE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709" w:type="dxa"/>
            <w:vAlign w:val="center"/>
          </w:tcPr>
          <w:p w14:paraId="75E39921">
            <w:pPr>
              <w:jc w:val="center"/>
              <w:rPr>
                <w:color w:val="auto"/>
                <w:sz w:val="18"/>
                <w:szCs w:val="18"/>
              </w:rPr>
            </w:pPr>
            <w:r>
              <w:rPr>
                <w:color w:val="auto"/>
                <w:sz w:val="18"/>
                <w:szCs w:val="18"/>
              </w:rPr>
              <w:t>1</w:t>
            </w:r>
          </w:p>
        </w:tc>
        <w:tc>
          <w:tcPr>
            <w:tcW w:w="709" w:type="dxa"/>
            <w:vAlign w:val="center"/>
          </w:tcPr>
          <w:p w14:paraId="39C169D2">
            <w:pPr>
              <w:jc w:val="center"/>
              <w:rPr>
                <w:color w:val="auto"/>
                <w:sz w:val="18"/>
                <w:szCs w:val="18"/>
              </w:rPr>
            </w:pPr>
            <w:r>
              <w:rPr>
                <w:color w:val="auto"/>
                <w:sz w:val="18"/>
                <w:szCs w:val="18"/>
              </w:rPr>
              <w:t>2</w:t>
            </w:r>
          </w:p>
        </w:tc>
        <w:tc>
          <w:tcPr>
            <w:tcW w:w="1045" w:type="dxa"/>
            <w:vAlign w:val="center"/>
          </w:tcPr>
          <w:p w14:paraId="7CD02C40">
            <w:pPr>
              <w:jc w:val="center"/>
              <w:rPr>
                <w:color w:val="auto"/>
                <w:sz w:val="18"/>
                <w:szCs w:val="18"/>
              </w:rPr>
            </w:pPr>
            <w:r>
              <w:rPr>
                <w:color w:val="auto"/>
                <w:sz w:val="18"/>
                <w:szCs w:val="18"/>
              </w:rPr>
              <w:t>考查</w:t>
            </w:r>
          </w:p>
        </w:tc>
      </w:tr>
      <w:tr w14:paraId="45D6B80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01418C7C">
            <w:pPr>
              <w:jc w:val="center"/>
              <w:rPr>
                <w:b/>
                <w:color w:val="000000" w:themeColor="text1"/>
                <w:sz w:val="18"/>
                <w:szCs w:val="18"/>
                <w14:textFill>
                  <w14:solidFill>
                    <w14:schemeClr w14:val="tx1"/>
                  </w14:solidFill>
                </w14:textFill>
              </w:rPr>
            </w:pPr>
          </w:p>
        </w:tc>
        <w:tc>
          <w:tcPr>
            <w:tcW w:w="1226" w:type="dxa"/>
            <w:vMerge w:val="continue"/>
            <w:vAlign w:val="center"/>
          </w:tcPr>
          <w:p w14:paraId="55662F19">
            <w:pPr>
              <w:jc w:val="center"/>
              <w:rPr>
                <w:b/>
                <w:color w:val="000000" w:themeColor="text1"/>
                <w:sz w:val="18"/>
                <w:szCs w:val="18"/>
                <w14:textFill>
                  <w14:solidFill>
                    <w14:schemeClr w14:val="tx1"/>
                  </w14:solidFill>
                </w14:textFill>
              </w:rPr>
            </w:pPr>
          </w:p>
        </w:tc>
        <w:tc>
          <w:tcPr>
            <w:tcW w:w="3516" w:type="dxa"/>
            <w:vAlign w:val="center"/>
          </w:tcPr>
          <w:p w14:paraId="4EB3DEDB">
            <w:pPr>
              <w:adjustRightInd w:val="0"/>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自然辩证法概论</w:t>
            </w:r>
          </w:p>
        </w:tc>
        <w:tc>
          <w:tcPr>
            <w:tcW w:w="1081" w:type="dxa"/>
            <w:vAlign w:val="center"/>
          </w:tcPr>
          <w:p w14:paraId="6D94EEB0">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TS0000102</w:t>
            </w:r>
          </w:p>
        </w:tc>
        <w:tc>
          <w:tcPr>
            <w:tcW w:w="709" w:type="dxa"/>
            <w:vAlign w:val="center"/>
          </w:tcPr>
          <w:p w14:paraId="55E49D84">
            <w:pPr>
              <w:jc w:val="center"/>
              <w:rPr>
                <w:color w:val="auto"/>
                <w:sz w:val="18"/>
                <w:szCs w:val="18"/>
              </w:rPr>
            </w:pPr>
            <w:r>
              <w:rPr>
                <w:color w:val="auto"/>
                <w:sz w:val="18"/>
                <w:szCs w:val="18"/>
              </w:rPr>
              <w:t>1</w:t>
            </w:r>
          </w:p>
        </w:tc>
        <w:tc>
          <w:tcPr>
            <w:tcW w:w="709" w:type="dxa"/>
            <w:vAlign w:val="center"/>
          </w:tcPr>
          <w:p w14:paraId="012F3546">
            <w:pPr>
              <w:jc w:val="center"/>
              <w:rPr>
                <w:color w:val="auto"/>
                <w:sz w:val="18"/>
                <w:szCs w:val="18"/>
              </w:rPr>
            </w:pPr>
            <w:r>
              <w:rPr>
                <w:color w:val="auto"/>
                <w:sz w:val="18"/>
                <w:szCs w:val="18"/>
              </w:rPr>
              <w:t>2</w:t>
            </w:r>
          </w:p>
        </w:tc>
        <w:tc>
          <w:tcPr>
            <w:tcW w:w="1045" w:type="dxa"/>
            <w:vAlign w:val="center"/>
          </w:tcPr>
          <w:p w14:paraId="7DD60A19">
            <w:pPr>
              <w:jc w:val="center"/>
              <w:rPr>
                <w:color w:val="auto"/>
                <w:sz w:val="18"/>
                <w:szCs w:val="18"/>
              </w:rPr>
            </w:pPr>
            <w:r>
              <w:rPr>
                <w:color w:val="auto"/>
                <w:sz w:val="18"/>
                <w:szCs w:val="18"/>
              </w:rPr>
              <w:t>考查</w:t>
            </w:r>
          </w:p>
        </w:tc>
      </w:tr>
      <w:tr w14:paraId="6D07C44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09" w:hRule="atLeast"/>
          <w:jc w:val="center"/>
        </w:trPr>
        <w:tc>
          <w:tcPr>
            <w:tcW w:w="571" w:type="dxa"/>
            <w:vMerge w:val="continue"/>
          </w:tcPr>
          <w:p w14:paraId="6F957619">
            <w:pPr>
              <w:rPr>
                <w:b/>
                <w:color w:val="000000" w:themeColor="text1"/>
                <w:sz w:val="18"/>
                <w:szCs w:val="18"/>
                <w14:textFill>
                  <w14:solidFill>
                    <w14:schemeClr w14:val="tx1"/>
                  </w14:solidFill>
                </w14:textFill>
              </w:rPr>
            </w:pPr>
          </w:p>
        </w:tc>
        <w:tc>
          <w:tcPr>
            <w:tcW w:w="1226" w:type="dxa"/>
            <w:vMerge w:val="restart"/>
            <w:vAlign w:val="center"/>
          </w:tcPr>
          <w:p w14:paraId="516CBAA3">
            <w:pPr>
              <w:adjustRightInd w:val="0"/>
              <w:snapToGrid w:val="0"/>
              <w:jc w:val="center"/>
              <w:rPr>
                <w:b/>
                <w:sz w:val="18"/>
                <w:szCs w:val="18"/>
              </w:rPr>
            </w:pPr>
            <w:r>
              <w:rPr>
                <w:rFonts w:hint="eastAsia"/>
                <w:b/>
                <w:sz w:val="18"/>
                <w:szCs w:val="18"/>
              </w:rPr>
              <w:t>特种设备安全与无损检测技术方向</w:t>
            </w:r>
          </w:p>
          <w:p w14:paraId="7BCD32F7">
            <w:pPr>
              <w:adjustRightInd w:val="0"/>
              <w:snapToGrid w:val="0"/>
              <w:jc w:val="center"/>
              <w:rPr>
                <w:b/>
                <w:color w:val="000000" w:themeColor="text1"/>
                <w:sz w:val="18"/>
                <w:szCs w:val="18"/>
                <w14:textFill>
                  <w14:solidFill>
                    <w14:schemeClr w14:val="tx1"/>
                  </w14:solidFill>
                </w14:textFill>
              </w:rPr>
            </w:pPr>
            <w:r>
              <w:rPr>
                <w:rFonts w:hint="eastAsia"/>
                <w:b/>
                <w:sz w:val="18"/>
                <w:szCs w:val="18"/>
              </w:rPr>
              <w:t>选修课</w:t>
            </w:r>
          </w:p>
        </w:tc>
        <w:tc>
          <w:tcPr>
            <w:tcW w:w="3516" w:type="dxa"/>
            <w:shd w:val="clear" w:color="auto" w:fill="auto"/>
            <w:vAlign w:val="center"/>
          </w:tcPr>
          <w:p w14:paraId="7283E45E">
            <w:pPr>
              <w:adjustRightInd w:val="0"/>
              <w:snapToGrid w:val="0"/>
              <w:rPr>
                <w:rFonts w:ascii="Times New Roman" w:hAnsi="Times New Roman" w:eastAsia="宋体" w:cs="Times New Roman"/>
                <w:i/>
                <w:color w:val="FF0000"/>
                <w:kern w:val="2"/>
                <w:sz w:val="18"/>
                <w:szCs w:val="18"/>
                <w:lang w:val="en-US" w:eastAsia="zh-CN" w:bidi="ar-SA"/>
              </w:rPr>
            </w:pPr>
            <w:r>
              <w:rPr>
                <w:rFonts w:hint="eastAsia"/>
                <w:sz w:val="18"/>
                <w:szCs w:val="18"/>
                <w:lang w:eastAsia="zh-CN"/>
              </w:rPr>
              <w:t>智能</w:t>
            </w:r>
            <w:r>
              <w:rPr>
                <w:rFonts w:hint="eastAsia"/>
                <w:sz w:val="18"/>
                <w:szCs w:val="18"/>
              </w:rPr>
              <w:t>仪器开发与创新</w:t>
            </w:r>
          </w:p>
        </w:tc>
        <w:tc>
          <w:tcPr>
            <w:tcW w:w="1081" w:type="dxa"/>
            <w:shd w:val="clear" w:color="auto" w:fill="auto"/>
            <w:vAlign w:val="center"/>
          </w:tcPr>
          <w:p w14:paraId="05972A5B">
            <w:pPr>
              <w:jc w:val="center"/>
              <w:rPr>
                <w:rFonts w:hint="default" w:ascii="Times New Roman" w:hAnsi="Times New Roman" w:eastAsia="宋体" w:cs="Times New Roman"/>
                <w:color w:val="FF0000"/>
                <w:kern w:val="2"/>
                <w:sz w:val="18"/>
                <w:szCs w:val="18"/>
                <w:lang w:val="en-US" w:eastAsia="zh-CN" w:bidi="ar-SA"/>
              </w:rPr>
            </w:pPr>
            <w:r>
              <w:rPr>
                <w:rFonts w:hint="eastAsia"/>
                <w:color w:val="000000" w:themeColor="text1"/>
                <w:sz w:val="18"/>
                <w:szCs w:val="18"/>
                <w14:textFill>
                  <w14:solidFill>
                    <w14:schemeClr w14:val="tx1"/>
                  </w14:solidFill>
                </w14:textFill>
              </w:rPr>
              <w:t>XS1501</w:t>
            </w:r>
            <w:r>
              <w:rPr>
                <w:rFonts w:hint="eastAsia"/>
                <w:color w:val="000000" w:themeColor="text1"/>
                <w:sz w:val="18"/>
                <w:szCs w:val="18"/>
                <w:lang w:val="en-US" w:eastAsia="zh-CN"/>
                <w14:textFill>
                  <w14:solidFill>
                    <w14:schemeClr w14:val="tx1"/>
                  </w14:solidFill>
                </w14:textFill>
              </w:rPr>
              <w:t>209</w:t>
            </w:r>
          </w:p>
        </w:tc>
        <w:tc>
          <w:tcPr>
            <w:tcW w:w="709" w:type="dxa"/>
            <w:shd w:val="clear" w:color="auto" w:fill="auto"/>
            <w:vAlign w:val="center"/>
          </w:tcPr>
          <w:p w14:paraId="2ADA51CF">
            <w:pPr>
              <w:jc w:val="center"/>
              <w:rPr>
                <w:rFonts w:ascii="Times New Roman" w:hAnsi="Times New Roman" w:eastAsia="宋体" w:cs="Times New Roman"/>
                <w:i/>
                <w:color w:val="FF0000"/>
                <w:kern w:val="2"/>
                <w:sz w:val="18"/>
                <w:szCs w:val="18"/>
                <w:lang w:val="en-US" w:eastAsia="zh-CN" w:bidi="ar-SA"/>
              </w:rPr>
            </w:pPr>
            <w:r>
              <w:rPr>
                <w:rFonts w:hint="eastAsia"/>
                <w:sz w:val="18"/>
                <w:szCs w:val="18"/>
              </w:rPr>
              <w:t>2</w:t>
            </w:r>
          </w:p>
        </w:tc>
        <w:tc>
          <w:tcPr>
            <w:tcW w:w="709" w:type="dxa"/>
            <w:shd w:val="clear" w:color="auto" w:fill="auto"/>
            <w:vAlign w:val="center"/>
          </w:tcPr>
          <w:p w14:paraId="593E8349">
            <w:pPr>
              <w:jc w:val="center"/>
              <w:rPr>
                <w:rFonts w:ascii="Times New Roman" w:hAnsi="Times New Roman" w:eastAsia="宋体" w:cs="Times New Roman"/>
                <w:i/>
                <w:color w:val="FF0000"/>
                <w:kern w:val="2"/>
                <w:sz w:val="18"/>
                <w:szCs w:val="18"/>
                <w:lang w:val="en-US" w:eastAsia="zh-CN" w:bidi="ar-SA"/>
              </w:rPr>
            </w:pPr>
            <w:r>
              <w:rPr>
                <w:rFonts w:hint="eastAsia"/>
                <w:sz w:val="18"/>
                <w:szCs w:val="18"/>
              </w:rPr>
              <w:t>1</w:t>
            </w:r>
          </w:p>
        </w:tc>
        <w:tc>
          <w:tcPr>
            <w:tcW w:w="1045" w:type="dxa"/>
            <w:vMerge w:val="restart"/>
            <w:vAlign w:val="center"/>
          </w:tcPr>
          <w:p w14:paraId="2A91EEC7">
            <w:pPr>
              <w:adjustRightInd w:val="0"/>
              <w:snapToGrid w:val="0"/>
              <w:jc w:val="center"/>
              <w:rPr>
                <w:color w:val="auto"/>
                <w:sz w:val="18"/>
                <w:szCs w:val="18"/>
              </w:rPr>
            </w:pPr>
            <w:r>
              <w:rPr>
                <w:color w:val="auto"/>
                <w:sz w:val="18"/>
                <w:szCs w:val="18"/>
              </w:rPr>
              <w:t>本方向研究生至少选修</w:t>
            </w:r>
          </w:p>
          <w:p w14:paraId="1F579A63">
            <w:pPr>
              <w:adjustRightInd w:val="0"/>
              <w:snapToGrid w:val="0"/>
              <w:jc w:val="center"/>
              <w:rPr>
                <w:color w:val="auto"/>
                <w:sz w:val="18"/>
                <w:szCs w:val="18"/>
              </w:rPr>
            </w:pPr>
            <w:r>
              <w:rPr>
                <w:rFonts w:hint="eastAsia"/>
                <w:color w:val="auto"/>
                <w:sz w:val="18"/>
                <w:szCs w:val="18"/>
                <w:lang w:val="en-US" w:eastAsia="zh-CN"/>
              </w:rPr>
              <w:t>4</w:t>
            </w:r>
            <w:r>
              <w:rPr>
                <w:color w:val="auto"/>
                <w:sz w:val="18"/>
                <w:szCs w:val="18"/>
              </w:rPr>
              <w:t>学分</w:t>
            </w:r>
          </w:p>
        </w:tc>
      </w:tr>
      <w:tr w14:paraId="074FB10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71" w:hRule="atLeast"/>
          <w:jc w:val="center"/>
        </w:trPr>
        <w:tc>
          <w:tcPr>
            <w:tcW w:w="571" w:type="dxa"/>
            <w:vMerge w:val="continue"/>
          </w:tcPr>
          <w:p w14:paraId="7625D0B4">
            <w:pPr>
              <w:rPr>
                <w:b/>
                <w:color w:val="000000" w:themeColor="text1"/>
                <w:sz w:val="18"/>
                <w:szCs w:val="18"/>
                <w14:textFill>
                  <w14:solidFill>
                    <w14:schemeClr w14:val="tx1"/>
                  </w14:solidFill>
                </w14:textFill>
              </w:rPr>
            </w:pPr>
          </w:p>
        </w:tc>
        <w:tc>
          <w:tcPr>
            <w:tcW w:w="1226" w:type="dxa"/>
            <w:vMerge w:val="continue"/>
            <w:vAlign w:val="center"/>
          </w:tcPr>
          <w:p w14:paraId="34B6B395">
            <w:pPr>
              <w:adjustRightInd w:val="0"/>
              <w:snapToGrid w:val="0"/>
              <w:jc w:val="center"/>
              <w:rPr>
                <w:b/>
                <w:color w:val="FF0000"/>
                <w:sz w:val="18"/>
                <w:szCs w:val="18"/>
              </w:rPr>
            </w:pPr>
          </w:p>
        </w:tc>
        <w:tc>
          <w:tcPr>
            <w:tcW w:w="3516" w:type="dxa"/>
            <w:shd w:val="clear" w:color="auto" w:fill="auto"/>
            <w:vAlign w:val="center"/>
          </w:tcPr>
          <w:p w14:paraId="07A7DBEE">
            <w:pPr>
              <w:adjustRightInd w:val="0"/>
              <w:snapToGrid w:val="0"/>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无损检测新技术</w:t>
            </w:r>
          </w:p>
        </w:tc>
        <w:tc>
          <w:tcPr>
            <w:tcW w:w="1081" w:type="dxa"/>
            <w:shd w:val="clear" w:color="auto" w:fill="auto"/>
            <w:vAlign w:val="center"/>
          </w:tcPr>
          <w:p w14:paraId="1601D510">
            <w:pPr>
              <w:jc w:val="center"/>
              <w:rPr>
                <w:rFonts w:ascii="Times New Roman" w:hAnsi="Times New Roman" w:eastAsia="宋体" w:cs="Times New Roman"/>
                <w:color w:val="FF0000"/>
                <w:kern w:val="2"/>
                <w:sz w:val="18"/>
                <w:szCs w:val="18"/>
                <w:lang w:val="en-US" w:eastAsia="zh-CN" w:bidi="ar-SA"/>
              </w:rPr>
            </w:pPr>
            <w:r>
              <w:rPr>
                <w:rFonts w:hint="eastAsia"/>
                <w:sz w:val="18"/>
                <w:szCs w:val="18"/>
              </w:rPr>
              <w:t>XS1501203</w:t>
            </w:r>
          </w:p>
        </w:tc>
        <w:tc>
          <w:tcPr>
            <w:tcW w:w="709" w:type="dxa"/>
            <w:shd w:val="clear" w:color="auto" w:fill="auto"/>
            <w:vAlign w:val="center"/>
          </w:tcPr>
          <w:p w14:paraId="48FE0DC1">
            <w:pPr>
              <w:jc w:val="center"/>
              <w:rPr>
                <w:rFonts w:ascii="Times New Roman" w:hAnsi="Times New Roman" w:eastAsia="宋体" w:cs="Times New Roman"/>
                <w:i/>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69F13AF9">
            <w:pPr>
              <w:jc w:val="center"/>
              <w:rPr>
                <w:rFonts w:ascii="Times New Roman" w:hAnsi="Times New Roman" w:eastAsia="宋体" w:cs="Times New Roman"/>
                <w:i/>
                <w:color w:val="auto"/>
                <w:kern w:val="2"/>
                <w:sz w:val="18"/>
                <w:szCs w:val="18"/>
                <w:lang w:val="en-US" w:eastAsia="zh-CN" w:bidi="ar-SA"/>
              </w:rPr>
            </w:pPr>
            <w:r>
              <w:rPr>
                <w:rFonts w:hint="eastAsia"/>
                <w:color w:val="auto"/>
                <w:sz w:val="18"/>
                <w:szCs w:val="18"/>
              </w:rPr>
              <w:t>1</w:t>
            </w:r>
          </w:p>
        </w:tc>
        <w:tc>
          <w:tcPr>
            <w:tcW w:w="1045" w:type="dxa"/>
            <w:vMerge w:val="continue"/>
            <w:vAlign w:val="center"/>
          </w:tcPr>
          <w:p w14:paraId="7FEE34BB">
            <w:pPr>
              <w:adjustRightInd w:val="0"/>
              <w:snapToGrid w:val="0"/>
              <w:jc w:val="center"/>
              <w:rPr>
                <w:color w:val="auto"/>
                <w:sz w:val="18"/>
                <w:szCs w:val="18"/>
              </w:rPr>
            </w:pPr>
          </w:p>
        </w:tc>
      </w:tr>
      <w:tr w14:paraId="2F7B73F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571" w:type="dxa"/>
            <w:vMerge w:val="continue"/>
          </w:tcPr>
          <w:p w14:paraId="6C5F3586">
            <w:pPr>
              <w:rPr>
                <w:b/>
                <w:color w:val="000000" w:themeColor="text1"/>
                <w:sz w:val="18"/>
                <w:szCs w:val="18"/>
                <w14:textFill>
                  <w14:solidFill>
                    <w14:schemeClr w14:val="tx1"/>
                  </w14:solidFill>
                </w14:textFill>
              </w:rPr>
            </w:pPr>
          </w:p>
        </w:tc>
        <w:tc>
          <w:tcPr>
            <w:tcW w:w="1226" w:type="dxa"/>
            <w:vMerge w:val="continue"/>
            <w:vAlign w:val="center"/>
          </w:tcPr>
          <w:p w14:paraId="0784A18E">
            <w:pPr>
              <w:adjustRightInd w:val="0"/>
              <w:snapToGrid w:val="0"/>
              <w:jc w:val="center"/>
              <w:rPr>
                <w:b/>
                <w:color w:val="FF0000"/>
                <w:sz w:val="18"/>
                <w:szCs w:val="18"/>
              </w:rPr>
            </w:pPr>
          </w:p>
        </w:tc>
        <w:tc>
          <w:tcPr>
            <w:tcW w:w="3516" w:type="dxa"/>
            <w:shd w:val="clear" w:color="auto" w:fill="auto"/>
            <w:vAlign w:val="center"/>
          </w:tcPr>
          <w:p w14:paraId="4C75787C">
            <w:pPr>
              <w:adjustRightInd w:val="0"/>
              <w:snapToGrid w:val="0"/>
              <w:rPr>
                <w:rFonts w:hint="eastAsia" w:ascii="Times New Roman" w:hAnsi="Times New Roman" w:eastAsia="宋体" w:cs="Times New Roman"/>
                <w:i/>
                <w:color w:val="FF0000"/>
                <w:kern w:val="2"/>
                <w:sz w:val="18"/>
                <w:szCs w:val="18"/>
                <w:lang w:val="en-US" w:eastAsia="zh-CN" w:bidi="ar-SA"/>
              </w:rPr>
            </w:pPr>
            <w:r>
              <w:rPr>
                <w:rFonts w:hint="eastAsia"/>
                <w:color w:val="000000" w:themeColor="text1"/>
                <w:sz w:val="18"/>
                <w:szCs w:val="18"/>
                <w14:textFill>
                  <w14:solidFill>
                    <w14:schemeClr w14:val="tx1"/>
                  </w14:solidFill>
                </w14:textFill>
              </w:rPr>
              <w:t>失效分析</w:t>
            </w:r>
          </w:p>
        </w:tc>
        <w:tc>
          <w:tcPr>
            <w:tcW w:w="1081" w:type="dxa"/>
            <w:shd w:val="clear" w:color="auto" w:fill="auto"/>
            <w:vAlign w:val="center"/>
          </w:tcPr>
          <w:p w14:paraId="385E365D">
            <w:pPr>
              <w:jc w:val="center"/>
              <w:rPr>
                <w:rFonts w:ascii="Times New Roman" w:hAnsi="Times New Roman" w:eastAsia="宋体" w:cs="Times New Roman"/>
                <w:color w:val="FF0000"/>
                <w:kern w:val="2"/>
                <w:sz w:val="18"/>
                <w:szCs w:val="18"/>
                <w:lang w:val="en-US" w:eastAsia="zh-CN" w:bidi="ar-SA"/>
              </w:rPr>
            </w:pPr>
            <w:r>
              <w:rPr>
                <w:rFonts w:hint="eastAsia"/>
                <w:sz w:val="18"/>
                <w:szCs w:val="18"/>
              </w:rPr>
              <w:t>XS1501204</w:t>
            </w:r>
          </w:p>
        </w:tc>
        <w:tc>
          <w:tcPr>
            <w:tcW w:w="709" w:type="dxa"/>
            <w:shd w:val="clear" w:color="auto" w:fill="auto"/>
            <w:vAlign w:val="center"/>
          </w:tcPr>
          <w:p w14:paraId="7457FB51">
            <w:pPr>
              <w:jc w:val="center"/>
              <w:rPr>
                <w:rFonts w:ascii="Times New Roman" w:hAnsi="Times New Roman" w:eastAsia="宋体" w:cs="Times New Roman"/>
                <w:color w:val="auto"/>
                <w:kern w:val="2"/>
                <w:sz w:val="21"/>
                <w:szCs w:val="24"/>
                <w:lang w:val="en-US" w:eastAsia="zh-CN" w:bidi="ar-SA"/>
              </w:rPr>
            </w:pPr>
            <w:r>
              <w:rPr>
                <w:rFonts w:hint="eastAsia"/>
                <w:color w:val="auto"/>
                <w:sz w:val="18"/>
                <w:szCs w:val="18"/>
              </w:rPr>
              <w:t>2</w:t>
            </w:r>
          </w:p>
        </w:tc>
        <w:tc>
          <w:tcPr>
            <w:tcW w:w="709" w:type="dxa"/>
            <w:shd w:val="clear" w:color="auto" w:fill="auto"/>
            <w:vAlign w:val="center"/>
          </w:tcPr>
          <w:p w14:paraId="1E834EF8">
            <w:pPr>
              <w:jc w:val="center"/>
              <w:rPr>
                <w:rFonts w:ascii="Times New Roman" w:hAnsi="Times New Roman" w:eastAsia="宋体" w:cs="Times New Roman"/>
                <w:color w:val="auto"/>
                <w:kern w:val="2"/>
                <w:sz w:val="21"/>
                <w:szCs w:val="24"/>
                <w:lang w:val="en-US" w:eastAsia="zh-CN" w:bidi="ar-SA"/>
              </w:rPr>
            </w:pPr>
            <w:r>
              <w:rPr>
                <w:rFonts w:hint="eastAsia"/>
                <w:color w:val="auto"/>
                <w:sz w:val="18"/>
                <w:szCs w:val="18"/>
              </w:rPr>
              <w:t>1</w:t>
            </w:r>
          </w:p>
        </w:tc>
        <w:tc>
          <w:tcPr>
            <w:tcW w:w="1045" w:type="dxa"/>
            <w:vMerge w:val="continue"/>
            <w:vAlign w:val="center"/>
          </w:tcPr>
          <w:p w14:paraId="704992FF">
            <w:pPr>
              <w:adjustRightInd w:val="0"/>
              <w:snapToGrid w:val="0"/>
              <w:jc w:val="center"/>
              <w:rPr>
                <w:color w:val="auto"/>
                <w:sz w:val="18"/>
                <w:szCs w:val="18"/>
              </w:rPr>
            </w:pPr>
          </w:p>
        </w:tc>
      </w:tr>
      <w:tr w14:paraId="0B0D0BA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9" w:hRule="atLeast"/>
          <w:jc w:val="center"/>
        </w:trPr>
        <w:tc>
          <w:tcPr>
            <w:tcW w:w="571" w:type="dxa"/>
            <w:vMerge w:val="continue"/>
          </w:tcPr>
          <w:p w14:paraId="06D3CD8E">
            <w:pPr>
              <w:rPr>
                <w:b/>
                <w:color w:val="000000" w:themeColor="text1"/>
                <w:sz w:val="18"/>
                <w:szCs w:val="18"/>
                <w14:textFill>
                  <w14:solidFill>
                    <w14:schemeClr w14:val="tx1"/>
                  </w14:solidFill>
                </w14:textFill>
              </w:rPr>
            </w:pPr>
          </w:p>
        </w:tc>
        <w:tc>
          <w:tcPr>
            <w:tcW w:w="1226" w:type="dxa"/>
            <w:vMerge w:val="restart"/>
            <w:vAlign w:val="center"/>
          </w:tcPr>
          <w:p w14:paraId="075E5166">
            <w:pPr>
              <w:adjustRightInd w:val="0"/>
              <w:snapToGrid w:val="0"/>
              <w:jc w:val="center"/>
              <w:rPr>
                <w:b/>
                <w:sz w:val="18"/>
                <w:szCs w:val="18"/>
              </w:rPr>
            </w:pPr>
            <w:r>
              <w:rPr>
                <w:rFonts w:hint="eastAsia"/>
                <w:b/>
                <w:sz w:val="18"/>
                <w:szCs w:val="18"/>
              </w:rPr>
              <w:t>新型传感材料器件与仪器研发方向</w:t>
            </w:r>
          </w:p>
          <w:p w14:paraId="0C09C4A1">
            <w:pPr>
              <w:adjustRightInd w:val="0"/>
              <w:snapToGrid w:val="0"/>
              <w:jc w:val="center"/>
              <w:rPr>
                <w:b/>
                <w:color w:val="FF0000"/>
                <w:sz w:val="18"/>
                <w:szCs w:val="18"/>
              </w:rPr>
            </w:pPr>
            <w:r>
              <w:rPr>
                <w:rFonts w:hint="eastAsia"/>
                <w:b/>
                <w:sz w:val="18"/>
                <w:szCs w:val="18"/>
              </w:rPr>
              <w:t>选修课</w:t>
            </w:r>
          </w:p>
        </w:tc>
        <w:tc>
          <w:tcPr>
            <w:tcW w:w="3516" w:type="dxa"/>
            <w:vAlign w:val="center"/>
          </w:tcPr>
          <w:p w14:paraId="3F24FBAF">
            <w:pPr>
              <w:adjustRightInd w:val="0"/>
              <w:snapToGrid w:val="0"/>
              <w:rPr>
                <w:i/>
                <w:color w:val="FF0000"/>
                <w:sz w:val="18"/>
                <w:szCs w:val="18"/>
              </w:rPr>
            </w:pPr>
            <w:r>
              <w:rPr>
                <w:rFonts w:hint="eastAsia"/>
                <w:sz w:val="18"/>
                <w:szCs w:val="18"/>
                <w:lang w:eastAsia="zh-CN"/>
              </w:rPr>
              <w:t>智能</w:t>
            </w:r>
            <w:r>
              <w:rPr>
                <w:rFonts w:hint="eastAsia"/>
                <w:sz w:val="18"/>
                <w:szCs w:val="18"/>
              </w:rPr>
              <w:t>仪器开发与创新</w:t>
            </w:r>
          </w:p>
        </w:tc>
        <w:tc>
          <w:tcPr>
            <w:tcW w:w="1081" w:type="dxa"/>
            <w:vAlign w:val="center"/>
          </w:tcPr>
          <w:p w14:paraId="3520A162">
            <w:pPr>
              <w:jc w:val="center"/>
              <w:rPr>
                <w:color w:val="FF0000"/>
                <w:sz w:val="18"/>
                <w:szCs w:val="18"/>
              </w:rPr>
            </w:pPr>
            <w:r>
              <w:rPr>
                <w:rFonts w:hint="eastAsia"/>
                <w:color w:val="000000" w:themeColor="text1"/>
                <w:sz w:val="18"/>
                <w:szCs w:val="18"/>
                <w14:textFill>
                  <w14:solidFill>
                    <w14:schemeClr w14:val="tx1"/>
                  </w14:solidFill>
                </w14:textFill>
              </w:rPr>
              <w:t>XS1501</w:t>
            </w:r>
            <w:r>
              <w:rPr>
                <w:rFonts w:hint="eastAsia"/>
                <w:color w:val="000000" w:themeColor="text1"/>
                <w:sz w:val="18"/>
                <w:szCs w:val="18"/>
                <w:lang w:val="en-US" w:eastAsia="zh-CN"/>
                <w14:textFill>
                  <w14:solidFill>
                    <w14:schemeClr w14:val="tx1"/>
                  </w14:solidFill>
                </w14:textFill>
              </w:rPr>
              <w:t>209</w:t>
            </w:r>
          </w:p>
        </w:tc>
        <w:tc>
          <w:tcPr>
            <w:tcW w:w="709" w:type="dxa"/>
            <w:vAlign w:val="center"/>
          </w:tcPr>
          <w:p w14:paraId="760B254E">
            <w:pPr>
              <w:jc w:val="center"/>
              <w:rPr>
                <w:color w:val="auto"/>
              </w:rPr>
            </w:pPr>
            <w:r>
              <w:rPr>
                <w:rFonts w:hint="eastAsia"/>
                <w:sz w:val="18"/>
                <w:szCs w:val="18"/>
              </w:rPr>
              <w:t>2</w:t>
            </w:r>
          </w:p>
        </w:tc>
        <w:tc>
          <w:tcPr>
            <w:tcW w:w="709" w:type="dxa"/>
            <w:vAlign w:val="center"/>
          </w:tcPr>
          <w:p w14:paraId="35C23DAB">
            <w:pPr>
              <w:jc w:val="center"/>
              <w:rPr>
                <w:color w:val="auto"/>
              </w:rPr>
            </w:pPr>
            <w:r>
              <w:rPr>
                <w:rFonts w:hint="eastAsia"/>
                <w:sz w:val="18"/>
                <w:szCs w:val="18"/>
              </w:rPr>
              <w:t>1</w:t>
            </w:r>
          </w:p>
        </w:tc>
        <w:tc>
          <w:tcPr>
            <w:tcW w:w="1045" w:type="dxa"/>
            <w:vMerge w:val="restart"/>
            <w:vAlign w:val="center"/>
          </w:tcPr>
          <w:p w14:paraId="726B6115">
            <w:pPr>
              <w:adjustRightInd w:val="0"/>
              <w:snapToGrid w:val="0"/>
              <w:jc w:val="center"/>
              <w:rPr>
                <w:color w:val="auto"/>
                <w:sz w:val="18"/>
                <w:szCs w:val="18"/>
              </w:rPr>
            </w:pPr>
            <w:r>
              <w:rPr>
                <w:color w:val="auto"/>
                <w:sz w:val="18"/>
                <w:szCs w:val="18"/>
              </w:rPr>
              <w:t>本方向研究生至少选修</w:t>
            </w:r>
          </w:p>
          <w:p w14:paraId="1CB9823B">
            <w:pPr>
              <w:adjustRightInd w:val="0"/>
              <w:snapToGrid w:val="0"/>
              <w:jc w:val="center"/>
              <w:rPr>
                <w:color w:val="auto"/>
                <w:sz w:val="18"/>
                <w:szCs w:val="18"/>
              </w:rPr>
            </w:pPr>
            <w:r>
              <w:rPr>
                <w:rFonts w:hint="eastAsia"/>
                <w:color w:val="auto"/>
                <w:sz w:val="18"/>
                <w:szCs w:val="18"/>
                <w:lang w:val="en-US" w:eastAsia="zh-CN"/>
              </w:rPr>
              <w:t>4</w:t>
            </w:r>
            <w:r>
              <w:rPr>
                <w:color w:val="auto"/>
                <w:sz w:val="18"/>
                <w:szCs w:val="18"/>
              </w:rPr>
              <w:t>学分</w:t>
            </w:r>
          </w:p>
        </w:tc>
      </w:tr>
      <w:tr w14:paraId="108664D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16" w:hRule="atLeast"/>
          <w:jc w:val="center"/>
        </w:trPr>
        <w:tc>
          <w:tcPr>
            <w:tcW w:w="571" w:type="dxa"/>
            <w:vMerge w:val="continue"/>
          </w:tcPr>
          <w:p w14:paraId="163DD821">
            <w:pPr>
              <w:rPr>
                <w:b/>
                <w:color w:val="000000" w:themeColor="text1"/>
                <w:sz w:val="18"/>
                <w:szCs w:val="18"/>
                <w14:textFill>
                  <w14:solidFill>
                    <w14:schemeClr w14:val="tx1"/>
                  </w14:solidFill>
                </w14:textFill>
              </w:rPr>
            </w:pPr>
          </w:p>
        </w:tc>
        <w:tc>
          <w:tcPr>
            <w:tcW w:w="1226" w:type="dxa"/>
            <w:vMerge w:val="continue"/>
          </w:tcPr>
          <w:p w14:paraId="165F8A7E">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24937932">
            <w:pPr>
              <w:adjustRightInd w:val="0"/>
              <w:snapToGrid w:val="0"/>
              <w:rPr>
                <w:rFonts w:hint="default" w:ascii="Times New Roman" w:hAnsi="Times New Roman" w:eastAsia="宋体" w:cs="Times New Roman"/>
                <w:i/>
                <w:color w:val="FF0000"/>
                <w:kern w:val="2"/>
                <w:sz w:val="18"/>
                <w:szCs w:val="18"/>
                <w:lang w:val="en-US" w:eastAsia="zh-CN" w:bidi="ar-SA"/>
              </w:rPr>
            </w:pPr>
            <w:r>
              <w:rPr>
                <w:rFonts w:hint="eastAsia"/>
                <w:color w:val="000000" w:themeColor="text1"/>
                <w:sz w:val="18"/>
                <w:szCs w:val="18"/>
                <w14:textFill>
                  <w14:solidFill>
                    <w14:schemeClr w14:val="tx1"/>
                  </w14:solidFill>
                </w14:textFill>
              </w:rPr>
              <w:t>无损检测新技术</w:t>
            </w:r>
          </w:p>
        </w:tc>
        <w:tc>
          <w:tcPr>
            <w:tcW w:w="1081" w:type="dxa"/>
            <w:shd w:val="clear" w:color="auto" w:fill="auto"/>
            <w:vAlign w:val="center"/>
          </w:tcPr>
          <w:p w14:paraId="42566B8D">
            <w:pPr>
              <w:jc w:val="center"/>
              <w:rPr>
                <w:color w:val="FF0000"/>
                <w:sz w:val="18"/>
                <w:szCs w:val="18"/>
              </w:rPr>
            </w:pPr>
            <w:r>
              <w:rPr>
                <w:rFonts w:hint="eastAsia"/>
                <w:sz w:val="18"/>
                <w:szCs w:val="18"/>
              </w:rPr>
              <w:t>XS1501203</w:t>
            </w:r>
          </w:p>
        </w:tc>
        <w:tc>
          <w:tcPr>
            <w:tcW w:w="709" w:type="dxa"/>
            <w:shd w:val="clear" w:color="auto" w:fill="auto"/>
            <w:vAlign w:val="center"/>
          </w:tcPr>
          <w:p w14:paraId="6492A59F">
            <w:pPr>
              <w:jc w:val="center"/>
              <w:rPr>
                <w:rFonts w:ascii="Times New Roman" w:hAnsi="Times New Roman" w:eastAsia="宋体" w:cs="Times New Roman"/>
                <w:i/>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31FCBC6B">
            <w:pPr>
              <w:jc w:val="center"/>
              <w:rPr>
                <w:rFonts w:ascii="Times New Roman" w:hAnsi="Times New Roman" w:eastAsia="宋体" w:cs="Times New Roman"/>
                <w:i/>
                <w:color w:val="auto"/>
                <w:kern w:val="2"/>
                <w:sz w:val="18"/>
                <w:szCs w:val="18"/>
                <w:lang w:val="en-US" w:eastAsia="zh-CN" w:bidi="ar-SA"/>
              </w:rPr>
            </w:pPr>
            <w:r>
              <w:rPr>
                <w:rFonts w:hint="eastAsia"/>
                <w:color w:val="auto"/>
                <w:sz w:val="18"/>
                <w:szCs w:val="18"/>
              </w:rPr>
              <w:t>1</w:t>
            </w:r>
          </w:p>
        </w:tc>
        <w:tc>
          <w:tcPr>
            <w:tcW w:w="1045" w:type="dxa"/>
            <w:vMerge w:val="continue"/>
            <w:vAlign w:val="center"/>
          </w:tcPr>
          <w:p w14:paraId="4A8EB52C">
            <w:pPr>
              <w:jc w:val="center"/>
              <w:rPr>
                <w:color w:val="auto"/>
                <w:sz w:val="18"/>
                <w:szCs w:val="18"/>
              </w:rPr>
            </w:pPr>
          </w:p>
        </w:tc>
      </w:tr>
      <w:tr w14:paraId="1DF59DF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47" w:hRule="atLeast"/>
          <w:jc w:val="center"/>
        </w:trPr>
        <w:tc>
          <w:tcPr>
            <w:tcW w:w="571" w:type="dxa"/>
            <w:vMerge w:val="continue"/>
          </w:tcPr>
          <w:p w14:paraId="6C220684">
            <w:pPr>
              <w:rPr>
                <w:b/>
                <w:color w:val="000000" w:themeColor="text1"/>
                <w:sz w:val="18"/>
                <w:szCs w:val="18"/>
                <w14:textFill>
                  <w14:solidFill>
                    <w14:schemeClr w14:val="tx1"/>
                  </w14:solidFill>
                </w14:textFill>
              </w:rPr>
            </w:pPr>
          </w:p>
        </w:tc>
        <w:tc>
          <w:tcPr>
            <w:tcW w:w="1226" w:type="dxa"/>
            <w:vMerge w:val="continue"/>
          </w:tcPr>
          <w:p w14:paraId="38F9DA45">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6F3197B5">
            <w:pPr>
              <w:adjustRightInd w:val="0"/>
              <w:snapToGrid w:val="0"/>
              <w:rPr>
                <w:rFonts w:hint="eastAsia" w:ascii="Times New Roman" w:hAnsi="Times New Roman" w:eastAsia="宋体" w:cs="Times New Roman"/>
                <w:i/>
                <w:color w:val="auto"/>
                <w:kern w:val="2"/>
                <w:sz w:val="18"/>
                <w:szCs w:val="18"/>
                <w:highlight w:val="none"/>
                <w:lang w:val="en-US" w:eastAsia="zh-CN" w:bidi="ar-SA"/>
              </w:rPr>
            </w:pPr>
            <w:r>
              <w:rPr>
                <w:rFonts w:hint="eastAsia"/>
                <w:color w:val="auto"/>
                <w:sz w:val="18"/>
                <w:szCs w:val="18"/>
                <w:highlight w:val="none"/>
              </w:rPr>
              <w:t>安</w:t>
            </w:r>
            <w:r>
              <w:rPr>
                <w:rFonts w:hint="eastAsia"/>
                <w:i w:val="0"/>
                <w:iCs/>
                <w:color w:val="auto"/>
                <w:sz w:val="18"/>
                <w:szCs w:val="18"/>
                <w:highlight w:val="none"/>
                <w:lang w:val="en-US" w:eastAsia="zh-CN"/>
              </w:rPr>
              <w:t>全监测与事故预测</w:t>
            </w:r>
          </w:p>
        </w:tc>
        <w:tc>
          <w:tcPr>
            <w:tcW w:w="1081" w:type="dxa"/>
            <w:shd w:val="clear" w:color="auto" w:fill="auto"/>
            <w:vAlign w:val="center"/>
          </w:tcPr>
          <w:p w14:paraId="0B9AC2CF">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highlight w:val="none"/>
                <w:lang w:val="en-US" w:eastAsia="zh-CN"/>
              </w:rPr>
              <w:t>ZS1506204</w:t>
            </w:r>
          </w:p>
        </w:tc>
        <w:tc>
          <w:tcPr>
            <w:tcW w:w="709" w:type="dxa"/>
            <w:shd w:val="clear" w:color="auto" w:fill="auto"/>
            <w:vAlign w:val="center"/>
          </w:tcPr>
          <w:p w14:paraId="5C5B760B">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6C5CC9E8">
            <w:pPr>
              <w:jc w:val="center"/>
              <w:rPr>
                <w:rFonts w:hint="default" w:ascii="Times New Roman" w:hAnsi="Times New Roman" w:eastAsia="宋体" w:cs="Times New Roman"/>
                <w:color w:val="auto"/>
                <w:kern w:val="2"/>
                <w:sz w:val="18"/>
                <w:szCs w:val="18"/>
                <w:lang w:val="en-US" w:eastAsia="zh-CN" w:bidi="ar-SA"/>
              </w:rPr>
            </w:pPr>
            <w:r>
              <w:rPr>
                <w:rFonts w:hint="eastAsia"/>
                <w:color w:val="auto"/>
                <w:sz w:val="18"/>
                <w:szCs w:val="18"/>
              </w:rPr>
              <w:t>1</w:t>
            </w:r>
          </w:p>
        </w:tc>
        <w:tc>
          <w:tcPr>
            <w:tcW w:w="1045" w:type="dxa"/>
            <w:vMerge w:val="continue"/>
            <w:vAlign w:val="center"/>
          </w:tcPr>
          <w:p w14:paraId="601AE804">
            <w:pPr>
              <w:jc w:val="center"/>
              <w:rPr>
                <w:color w:val="auto"/>
                <w:sz w:val="18"/>
                <w:szCs w:val="18"/>
              </w:rPr>
            </w:pPr>
          </w:p>
        </w:tc>
      </w:tr>
      <w:tr w14:paraId="31CA009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32" w:hRule="atLeast"/>
          <w:jc w:val="center"/>
        </w:trPr>
        <w:tc>
          <w:tcPr>
            <w:tcW w:w="571" w:type="dxa"/>
            <w:vMerge w:val="continue"/>
          </w:tcPr>
          <w:p w14:paraId="724F8B47">
            <w:pPr>
              <w:rPr>
                <w:b/>
                <w:color w:val="000000" w:themeColor="text1"/>
                <w:sz w:val="18"/>
                <w:szCs w:val="18"/>
                <w14:textFill>
                  <w14:solidFill>
                    <w14:schemeClr w14:val="tx1"/>
                  </w14:solidFill>
                </w14:textFill>
              </w:rPr>
            </w:pPr>
          </w:p>
        </w:tc>
        <w:tc>
          <w:tcPr>
            <w:tcW w:w="1226" w:type="dxa"/>
            <w:vMerge w:val="restart"/>
            <w:vAlign w:val="center"/>
          </w:tcPr>
          <w:p w14:paraId="3261A86D">
            <w:pPr>
              <w:adjustRightInd w:val="0"/>
              <w:snapToGrid w:val="0"/>
              <w:jc w:val="center"/>
              <w:rPr>
                <w:b/>
                <w:i/>
                <w:sz w:val="18"/>
                <w:szCs w:val="18"/>
              </w:rPr>
            </w:pPr>
            <w:r>
              <w:rPr>
                <w:rFonts w:hint="eastAsia"/>
                <w:b/>
                <w:sz w:val="18"/>
                <w:szCs w:val="18"/>
              </w:rPr>
              <w:t>环境安全健康检测与评价方向</w:t>
            </w:r>
          </w:p>
          <w:p w14:paraId="1BE3F94F">
            <w:pPr>
              <w:jc w:val="center"/>
              <w:rPr>
                <w:b/>
                <w:color w:val="000000" w:themeColor="text1"/>
                <w:sz w:val="18"/>
                <w:szCs w:val="18"/>
                <w14:textFill>
                  <w14:solidFill>
                    <w14:schemeClr w14:val="tx1"/>
                  </w14:solidFill>
                </w14:textFill>
              </w:rPr>
            </w:pPr>
            <w:r>
              <w:rPr>
                <w:rFonts w:hint="eastAsia"/>
                <w:b/>
                <w:sz w:val="18"/>
                <w:szCs w:val="18"/>
              </w:rPr>
              <w:t>选修课</w:t>
            </w:r>
          </w:p>
        </w:tc>
        <w:tc>
          <w:tcPr>
            <w:tcW w:w="3516" w:type="dxa"/>
            <w:vAlign w:val="center"/>
          </w:tcPr>
          <w:p w14:paraId="46896E31">
            <w:pPr>
              <w:adjustRightInd w:val="0"/>
              <w:snapToGrid w:val="0"/>
              <w:rPr>
                <w:i/>
                <w:color w:val="FF0000"/>
                <w:sz w:val="18"/>
                <w:szCs w:val="18"/>
              </w:rPr>
            </w:pPr>
            <w:r>
              <w:rPr>
                <w:rFonts w:hint="eastAsia"/>
                <w:sz w:val="18"/>
                <w:szCs w:val="18"/>
                <w:lang w:eastAsia="zh-CN"/>
              </w:rPr>
              <w:t>智能</w:t>
            </w:r>
            <w:r>
              <w:rPr>
                <w:rFonts w:hint="eastAsia"/>
                <w:sz w:val="18"/>
                <w:szCs w:val="18"/>
              </w:rPr>
              <w:t>仪器开发与创新</w:t>
            </w:r>
          </w:p>
        </w:tc>
        <w:tc>
          <w:tcPr>
            <w:tcW w:w="1081" w:type="dxa"/>
            <w:vAlign w:val="center"/>
          </w:tcPr>
          <w:p w14:paraId="20B3E21F">
            <w:pPr>
              <w:jc w:val="center"/>
              <w:rPr>
                <w:i/>
                <w:color w:val="FF0000"/>
                <w:sz w:val="18"/>
                <w:szCs w:val="18"/>
              </w:rPr>
            </w:pPr>
            <w:r>
              <w:rPr>
                <w:rFonts w:hint="eastAsia"/>
                <w:color w:val="000000" w:themeColor="text1"/>
                <w:sz w:val="18"/>
                <w:szCs w:val="18"/>
                <w14:textFill>
                  <w14:solidFill>
                    <w14:schemeClr w14:val="tx1"/>
                  </w14:solidFill>
                </w14:textFill>
              </w:rPr>
              <w:t>XS1501</w:t>
            </w:r>
            <w:r>
              <w:rPr>
                <w:rFonts w:hint="eastAsia"/>
                <w:color w:val="000000" w:themeColor="text1"/>
                <w:sz w:val="18"/>
                <w:szCs w:val="18"/>
                <w:lang w:val="en-US" w:eastAsia="zh-CN"/>
                <w14:textFill>
                  <w14:solidFill>
                    <w14:schemeClr w14:val="tx1"/>
                  </w14:solidFill>
                </w14:textFill>
              </w:rPr>
              <w:t>209</w:t>
            </w:r>
          </w:p>
        </w:tc>
        <w:tc>
          <w:tcPr>
            <w:tcW w:w="709" w:type="dxa"/>
            <w:vAlign w:val="center"/>
          </w:tcPr>
          <w:p w14:paraId="3ADE58C2">
            <w:pPr>
              <w:jc w:val="center"/>
              <w:rPr>
                <w:i/>
                <w:color w:val="auto"/>
                <w:sz w:val="18"/>
                <w:szCs w:val="18"/>
              </w:rPr>
            </w:pPr>
            <w:r>
              <w:rPr>
                <w:rFonts w:hint="eastAsia"/>
                <w:sz w:val="18"/>
                <w:szCs w:val="18"/>
              </w:rPr>
              <w:t>2</w:t>
            </w:r>
          </w:p>
        </w:tc>
        <w:tc>
          <w:tcPr>
            <w:tcW w:w="709" w:type="dxa"/>
            <w:vAlign w:val="center"/>
          </w:tcPr>
          <w:p w14:paraId="55A45AAA">
            <w:pPr>
              <w:jc w:val="center"/>
              <w:rPr>
                <w:i/>
                <w:color w:val="auto"/>
                <w:sz w:val="18"/>
                <w:szCs w:val="18"/>
              </w:rPr>
            </w:pPr>
            <w:r>
              <w:rPr>
                <w:rFonts w:hint="eastAsia"/>
                <w:sz w:val="18"/>
                <w:szCs w:val="18"/>
              </w:rPr>
              <w:t>1</w:t>
            </w:r>
          </w:p>
        </w:tc>
        <w:tc>
          <w:tcPr>
            <w:tcW w:w="1045" w:type="dxa"/>
            <w:vMerge w:val="restart"/>
            <w:vAlign w:val="center"/>
          </w:tcPr>
          <w:p w14:paraId="3A868045">
            <w:pPr>
              <w:adjustRightInd w:val="0"/>
              <w:snapToGrid w:val="0"/>
              <w:jc w:val="center"/>
              <w:rPr>
                <w:color w:val="auto"/>
                <w:sz w:val="18"/>
                <w:szCs w:val="18"/>
              </w:rPr>
            </w:pPr>
            <w:r>
              <w:rPr>
                <w:color w:val="auto"/>
                <w:sz w:val="18"/>
                <w:szCs w:val="18"/>
              </w:rPr>
              <w:t>本方向研究生至少选修</w:t>
            </w:r>
          </w:p>
          <w:p w14:paraId="022A3C8E">
            <w:pPr>
              <w:jc w:val="center"/>
              <w:rPr>
                <w:color w:val="auto"/>
                <w:sz w:val="18"/>
                <w:szCs w:val="18"/>
              </w:rPr>
            </w:pPr>
            <w:r>
              <w:rPr>
                <w:rFonts w:hint="eastAsia"/>
                <w:color w:val="auto"/>
                <w:sz w:val="18"/>
                <w:szCs w:val="18"/>
                <w:lang w:val="en-US" w:eastAsia="zh-CN"/>
              </w:rPr>
              <w:t>4</w:t>
            </w:r>
            <w:r>
              <w:rPr>
                <w:color w:val="auto"/>
                <w:sz w:val="18"/>
                <w:szCs w:val="18"/>
              </w:rPr>
              <w:t>学分</w:t>
            </w:r>
          </w:p>
        </w:tc>
      </w:tr>
      <w:tr w14:paraId="7CD17B9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571" w:type="dxa"/>
            <w:vMerge w:val="continue"/>
          </w:tcPr>
          <w:p w14:paraId="55FEC7BE">
            <w:pPr>
              <w:rPr>
                <w:b/>
                <w:color w:val="000000" w:themeColor="text1"/>
                <w:sz w:val="18"/>
                <w:szCs w:val="18"/>
                <w14:textFill>
                  <w14:solidFill>
                    <w14:schemeClr w14:val="tx1"/>
                  </w14:solidFill>
                </w14:textFill>
              </w:rPr>
            </w:pPr>
          </w:p>
        </w:tc>
        <w:tc>
          <w:tcPr>
            <w:tcW w:w="1226" w:type="dxa"/>
            <w:vMerge w:val="continue"/>
          </w:tcPr>
          <w:p w14:paraId="28284639">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6CCD2D4B">
            <w:pPr>
              <w:adjustRightInd w:val="0"/>
              <w:snapToGrid w:val="0"/>
              <w:rPr>
                <w:rFonts w:hint="default" w:ascii="Times New Roman" w:hAnsi="Times New Roman" w:eastAsia="宋体" w:cs="Times New Roman"/>
                <w:i/>
                <w:color w:val="FF0000"/>
                <w:kern w:val="2"/>
                <w:sz w:val="18"/>
                <w:szCs w:val="18"/>
                <w:lang w:val="en-US" w:eastAsia="zh-CN" w:bidi="ar-SA"/>
              </w:rPr>
            </w:pPr>
            <w:r>
              <w:rPr>
                <w:rFonts w:hint="eastAsia"/>
                <w:color w:val="000000" w:themeColor="text1"/>
                <w:sz w:val="18"/>
                <w:szCs w:val="18"/>
                <w14:textFill>
                  <w14:solidFill>
                    <w14:schemeClr w14:val="tx1"/>
                  </w14:solidFill>
                </w14:textFill>
              </w:rPr>
              <w:t>无损检测新技术</w:t>
            </w:r>
          </w:p>
        </w:tc>
        <w:tc>
          <w:tcPr>
            <w:tcW w:w="1081" w:type="dxa"/>
            <w:shd w:val="clear" w:color="auto" w:fill="auto"/>
            <w:vAlign w:val="center"/>
          </w:tcPr>
          <w:p w14:paraId="02D5E4C8">
            <w:pPr>
              <w:jc w:val="center"/>
              <w:rPr>
                <w:i/>
                <w:color w:val="FF0000"/>
                <w:sz w:val="18"/>
                <w:szCs w:val="18"/>
              </w:rPr>
            </w:pPr>
            <w:r>
              <w:rPr>
                <w:rFonts w:hint="eastAsia"/>
                <w:sz w:val="18"/>
                <w:szCs w:val="18"/>
              </w:rPr>
              <w:t>XS1501203</w:t>
            </w:r>
          </w:p>
        </w:tc>
        <w:tc>
          <w:tcPr>
            <w:tcW w:w="709" w:type="dxa"/>
            <w:shd w:val="clear" w:color="auto" w:fill="auto"/>
            <w:vAlign w:val="center"/>
          </w:tcPr>
          <w:p w14:paraId="3A0922C2">
            <w:pPr>
              <w:jc w:val="center"/>
              <w:rPr>
                <w:rFonts w:ascii="Times New Roman" w:hAnsi="Times New Roman" w:eastAsia="宋体" w:cs="Times New Roman"/>
                <w:i/>
                <w:color w:val="FF0000"/>
                <w:kern w:val="2"/>
                <w:sz w:val="18"/>
                <w:szCs w:val="18"/>
                <w:lang w:val="en-US" w:eastAsia="zh-CN" w:bidi="ar-SA"/>
              </w:rPr>
            </w:pPr>
            <w:r>
              <w:rPr>
                <w:rFonts w:hint="eastAsia"/>
                <w:sz w:val="18"/>
                <w:szCs w:val="18"/>
              </w:rPr>
              <w:t>2</w:t>
            </w:r>
          </w:p>
        </w:tc>
        <w:tc>
          <w:tcPr>
            <w:tcW w:w="709" w:type="dxa"/>
            <w:shd w:val="clear" w:color="auto" w:fill="auto"/>
            <w:vAlign w:val="center"/>
          </w:tcPr>
          <w:p w14:paraId="2A7424EB">
            <w:pPr>
              <w:jc w:val="center"/>
              <w:rPr>
                <w:rFonts w:ascii="Times New Roman" w:hAnsi="Times New Roman" w:eastAsia="宋体" w:cs="Times New Roman"/>
                <w:i/>
                <w:color w:val="FF0000"/>
                <w:kern w:val="2"/>
                <w:sz w:val="18"/>
                <w:szCs w:val="18"/>
                <w:lang w:val="en-US" w:eastAsia="zh-CN" w:bidi="ar-SA"/>
              </w:rPr>
            </w:pPr>
            <w:r>
              <w:rPr>
                <w:rFonts w:hint="eastAsia"/>
                <w:sz w:val="18"/>
                <w:szCs w:val="18"/>
              </w:rPr>
              <w:t>1</w:t>
            </w:r>
          </w:p>
        </w:tc>
        <w:tc>
          <w:tcPr>
            <w:tcW w:w="1045" w:type="dxa"/>
            <w:vMerge w:val="continue"/>
            <w:vAlign w:val="center"/>
          </w:tcPr>
          <w:p w14:paraId="5783521E">
            <w:pPr>
              <w:jc w:val="center"/>
              <w:rPr>
                <w:color w:val="000000" w:themeColor="text1"/>
                <w:sz w:val="18"/>
                <w:szCs w:val="18"/>
                <w14:textFill>
                  <w14:solidFill>
                    <w14:schemeClr w14:val="tx1"/>
                  </w14:solidFill>
                </w14:textFill>
              </w:rPr>
            </w:pPr>
          </w:p>
        </w:tc>
      </w:tr>
      <w:tr w14:paraId="1CFBF75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0" w:hRule="atLeast"/>
          <w:jc w:val="center"/>
        </w:trPr>
        <w:tc>
          <w:tcPr>
            <w:tcW w:w="571" w:type="dxa"/>
            <w:vMerge w:val="continue"/>
          </w:tcPr>
          <w:p w14:paraId="0F5286E8">
            <w:pPr>
              <w:rPr>
                <w:b/>
                <w:color w:val="000000" w:themeColor="text1"/>
                <w:sz w:val="18"/>
                <w:szCs w:val="18"/>
                <w14:textFill>
                  <w14:solidFill>
                    <w14:schemeClr w14:val="tx1"/>
                  </w14:solidFill>
                </w14:textFill>
              </w:rPr>
            </w:pPr>
          </w:p>
        </w:tc>
        <w:tc>
          <w:tcPr>
            <w:tcW w:w="1226" w:type="dxa"/>
            <w:vMerge w:val="continue"/>
          </w:tcPr>
          <w:p w14:paraId="28C665ED">
            <w:pPr>
              <w:jc w:val="center"/>
              <w:rPr>
                <w:b/>
                <w:color w:val="000000" w:themeColor="text1"/>
                <w:sz w:val="18"/>
                <w:szCs w:val="18"/>
                <w14:textFill>
                  <w14:solidFill>
                    <w14:schemeClr w14:val="tx1"/>
                  </w14:solidFill>
                </w14:textFill>
              </w:rPr>
            </w:pPr>
          </w:p>
        </w:tc>
        <w:tc>
          <w:tcPr>
            <w:tcW w:w="3516" w:type="dxa"/>
            <w:shd w:val="clear" w:color="auto" w:fill="auto"/>
            <w:vAlign w:val="center"/>
          </w:tcPr>
          <w:p w14:paraId="378B3D7B">
            <w:pPr>
              <w:adjustRightInd w:val="0"/>
              <w:snapToGrid w:val="0"/>
              <w:rPr>
                <w:rFonts w:hint="eastAsia" w:ascii="Times New Roman" w:hAnsi="Times New Roman" w:eastAsia="宋体" w:cs="Times New Roman"/>
                <w:i/>
                <w:color w:val="auto"/>
                <w:kern w:val="2"/>
                <w:sz w:val="18"/>
                <w:szCs w:val="18"/>
                <w:highlight w:val="none"/>
                <w:lang w:val="en-US" w:eastAsia="zh-CN" w:bidi="ar-SA"/>
              </w:rPr>
            </w:pPr>
            <w:r>
              <w:rPr>
                <w:rFonts w:hint="eastAsia"/>
                <w:i w:val="0"/>
                <w:iCs/>
                <w:color w:val="auto"/>
                <w:sz w:val="18"/>
                <w:szCs w:val="18"/>
                <w:highlight w:val="none"/>
                <w:lang w:val="en-US" w:eastAsia="zh-CN"/>
              </w:rPr>
              <w:t>职业安全与健康</w:t>
            </w:r>
          </w:p>
        </w:tc>
        <w:tc>
          <w:tcPr>
            <w:tcW w:w="1081" w:type="dxa"/>
            <w:shd w:val="clear" w:color="auto" w:fill="auto"/>
            <w:vAlign w:val="center"/>
          </w:tcPr>
          <w:p w14:paraId="63001FE4">
            <w:pPr>
              <w:jc w:val="center"/>
              <w:rPr>
                <w:rFonts w:hint="default" w:ascii="Times New Roman" w:hAnsi="Times New Roman" w:eastAsia="宋体" w:cs="Times New Roman"/>
                <w:i/>
                <w:color w:val="auto"/>
                <w:kern w:val="2"/>
                <w:sz w:val="18"/>
                <w:szCs w:val="18"/>
                <w:lang w:val="en-US" w:eastAsia="zh-CN" w:bidi="ar-SA"/>
              </w:rPr>
            </w:pPr>
            <w:r>
              <w:rPr>
                <w:rFonts w:hint="eastAsia"/>
                <w:color w:val="auto"/>
                <w:sz w:val="18"/>
                <w:szCs w:val="18"/>
                <w:highlight w:val="none"/>
                <w:lang w:val="en-US" w:eastAsia="zh-CN"/>
              </w:rPr>
              <w:t>ZS1506205</w:t>
            </w:r>
          </w:p>
        </w:tc>
        <w:tc>
          <w:tcPr>
            <w:tcW w:w="709" w:type="dxa"/>
            <w:shd w:val="clear" w:color="auto" w:fill="auto"/>
            <w:vAlign w:val="center"/>
          </w:tcPr>
          <w:p w14:paraId="04B94431">
            <w:pPr>
              <w:jc w:val="center"/>
              <w:rPr>
                <w:rFonts w:hint="eastAsia" w:ascii="Times New Roman" w:hAnsi="Times New Roman" w:eastAsia="宋体" w:cs="Times New Roman"/>
                <w:i/>
                <w:color w:val="FF0000"/>
                <w:kern w:val="2"/>
                <w:sz w:val="18"/>
                <w:szCs w:val="18"/>
                <w:lang w:val="en-US" w:eastAsia="zh-CN" w:bidi="ar-SA"/>
              </w:rPr>
            </w:pPr>
            <w:r>
              <w:rPr>
                <w:rFonts w:hint="eastAsia"/>
                <w:sz w:val="18"/>
                <w:szCs w:val="18"/>
              </w:rPr>
              <w:t>2</w:t>
            </w:r>
          </w:p>
        </w:tc>
        <w:tc>
          <w:tcPr>
            <w:tcW w:w="709" w:type="dxa"/>
            <w:shd w:val="clear" w:color="auto" w:fill="auto"/>
            <w:vAlign w:val="center"/>
          </w:tcPr>
          <w:p w14:paraId="1A58F15D">
            <w:pPr>
              <w:jc w:val="center"/>
              <w:rPr>
                <w:rFonts w:ascii="Times New Roman" w:hAnsi="Times New Roman" w:eastAsia="宋体" w:cs="Times New Roman"/>
                <w:i/>
                <w:color w:val="FF0000"/>
                <w:kern w:val="2"/>
                <w:sz w:val="18"/>
                <w:szCs w:val="18"/>
                <w:lang w:val="en-US" w:eastAsia="zh-CN" w:bidi="ar-SA"/>
              </w:rPr>
            </w:pPr>
            <w:r>
              <w:rPr>
                <w:rFonts w:hint="eastAsia"/>
                <w:sz w:val="18"/>
                <w:szCs w:val="18"/>
              </w:rPr>
              <w:t>1</w:t>
            </w:r>
          </w:p>
        </w:tc>
        <w:tc>
          <w:tcPr>
            <w:tcW w:w="1045" w:type="dxa"/>
            <w:vMerge w:val="continue"/>
            <w:vAlign w:val="center"/>
          </w:tcPr>
          <w:p w14:paraId="683F1EDA">
            <w:pPr>
              <w:jc w:val="center"/>
              <w:rPr>
                <w:color w:val="000000" w:themeColor="text1"/>
                <w:sz w:val="18"/>
                <w:szCs w:val="18"/>
                <w14:textFill>
                  <w14:solidFill>
                    <w14:schemeClr w14:val="tx1"/>
                  </w14:solidFill>
                </w14:textFill>
              </w:rPr>
            </w:pPr>
          </w:p>
        </w:tc>
      </w:tr>
      <w:tr w14:paraId="3393123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3BCA86C5">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559FBA1A">
            <w:pPr>
              <w:jc w:val="center"/>
              <w:rPr>
                <w:rFonts w:hint="eastAsia"/>
                <w:b/>
                <w:color w:val="000000" w:themeColor="text1"/>
                <w:sz w:val="18"/>
                <w:szCs w:val="18"/>
                <w:lang w:val="en-US" w:eastAsia="zh-CN"/>
                <w14:textFill>
                  <w14:solidFill>
                    <w14:schemeClr w14:val="tx1"/>
                  </w14:solidFill>
                </w14:textFill>
              </w:rPr>
            </w:pPr>
            <w:r>
              <w:rPr>
                <w:rFonts w:hint="eastAsia"/>
                <w:b/>
                <w:color w:val="000000" w:themeColor="text1"/>
                <w:sz w:val="18"/>
                <w:szCs w:val="18"/>
                <w:lang w:val="en-US" w:eastAsia="zh-CN"/>
                <w14:textFill>
                  <w14:solidFill>
                    <w14:schemeClr w14:val="tx1"/>
                  </w14:solidFill>
                </w14:textFill>
              </w:rPr>
              <w:t>1</w:t>
            </w:r>
          </w:p>
          <w:p w14:paraId="22F189BB">
            <w:pPr>
              <w:jc w:val="center"/>
              <w:rPr>
                <w:rFonts w:hint="default" w:eastAsia="宋体"/>
                <w:b/>
                <w:color w:val="000000" w:themeColor="text1"/>
                <w:sz w:val="18"/>
                <w:szCs w:val="18"/>
                <w:lang w:val="en-US" w:eastAsia="zh-CN"/>
                <w14:textFill>
                  <w14:solidFill>
                    <w14:schemeClr w14:val="tx1"/>
                  </w14:solidFill>
                </w14:textFill>
              </w:rPr>
            </w:pPr>
            <w:r>
              <w:rPr>
                <w:rFonts w:hint="eastAsia"/>
                <w:b/>
                <w:color w:val="000000" w:themeColor="text1"/>
                <w:sz w:val="18"/>
                <w:szCs w:val="18"/>
                <w:lang w:val="en-US" w:eastAsia="zh-CN"/>
                <w14:textFill>
                  <w14:solidFill>
                    <w14:schemeClr w14:val="tx1"/>
                  </w14:solidFill>
                </w14:textFill>
              </w:rPr>
              <w:t>分</w:t>
            </w:r>
          </w:p>
        </w:tc>
        <w:tc>
          <w:tcPr>
            <w:tcW w:w="1226" w:type="dxa"/>
            <w:vMerge w:val="restart"/>
            <w:vAlign w:val="center"/>
          </w:tcPr>
          <w:p w14:paraId="0911EEF5">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516" w:type="dxa"/>
            <w:vAlign w:val="center"/>
          </w:tcPr>
          <w:p w14:paraId="0245D2EF">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081" w:type="dxa"/>
            <w:vAlign w:val="center"/>
          </w:tcPr>
          <w:p w14:paraId="01ECF739">
            <w:pPr>
              <w:jc w:val="center"/>
              <w:rPr>
                <w:color w:val="000000" w:themeColor="text1"/>
                <w:sz w:val="18"/>
                <w:szCs w:val="18"/>
                <w14:textFill>
                  <w14:solidFill>
                    <w14:schemeClr w14:val="tx1"/>
                  </w14:solidFill>
                </w14:textFill>
              </w:rPr>
            </w:pPr>
          </w:p>
        </w:tc>
        <w:tc>
          <w:tcPr>
            <w:tcW w:w="709" w:type="dxa"/>
            <w:vAlign w:val="center"/>
          </w:tcPr>
          <w:p w14:paraId="3E5CAA36">
            <w:pPr>
              <w:jc w:val="center"/>
              <w:rPr>
                <w:color w:val="000000" w:themeColor="text1"/>
                <w:sz w:val="18"/>
                <w:szCs w:val="18"/>
                <w14:textFill>
                  <w14:solidFill>
                    <w14:schemeClr w14:val="tx1"/>
                  </w14:solidFill>
                </w14:textFill>
              </w:rPr>
            </w:pPr>
          </w:p>
        </w:tc>
        <w:tc>
          <w:tcPr>
            <w:tcW w:w="709" w:type="dxa"/>
            <w:vAlign w:val="center"/>
          </w:tcPr>
          <w:p w14:paraId="3C7FEE7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0B0D4B80">
            <w:pPr>
              <w:jc w:val="center"/>
              <w:rPr>
                <w:i/>
                <w:color w:val="FF0000"/>
                <w:sz w:val="18"/>
                <w:szCs w:val="18"/>
              </w:rPr>
            </w:pPr>
          </w:p>
        </w:tc>
      </w:tr>
      <w:tr w14:paraId="5679AA5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3379ABA6">
            <w:pPr>
              <w:jc w:val="center"/>
              <w:rPr>
                <w:b/>
                <w:color w:val="000000" w:themeColor="text1"/>
                <w:sz w:val="18"/>
                <w:szCs w:val="18"/>
                <w14:textFill>
                  <w14:solidFill>
                    <w14:schemeClr w14:val="tx1"/>
                  </w14:solidFill>
                </w14:textFill>
              </w:rPr>
            </w:pPr>
          </w:p>
        </w:tc>
        <w:tc>
          <w:tcPr>
            <w:tcW w:w="1226" w:type="dxa"/>
            <w:vMerge w:val="continue"/>
            <w:vAlign w:val="center"/>
          </w:tcPr>
          <w:p w14:paraId="58C1C455">
            <w:pPr>
              <w:jc w:val="center"/>
              <w:rPr>
                <w:b/>
                <w:color w:val="000000" w:themeColor="text1"/>
                <w:sz w:val="18"/>
                <w:szCs w:val="18"/>
                <w14:textFill>
                  <w14:solidFill>
                    <w14:schemeClr w14:val="tx1"/>
                  </w14:solidFill>
                </w14:textFill>
              </w:rPr>
            </w:pPr>
          </w:p>
        </w:tc>
        <w:tc>
          <w:tcPr>
            <w:tcW w:w="3516" w:type="dxa"/>
            <w:vAlign w:val="center"/>
          </w:tcPr>
          <w:p w14:paraId="7B4C6D8F">
            <w:pPr>
              <w:rPr>
                <w:color w:val="000000" w:themeColor="text1"/>
                <w:sz w:val="18"/>
                <w:szCs w:val="18"/>
                <w14:textFill>
                  <w14:solidFill>
                    <w14:schemeClr w14:val="tx1"/>
                  </w14:solidFill>
                </w14:textFill>
              </w:rPr>
            </w:pPr>
            <w:r>
              <w:rPr>
                <w:rFonts w:hint="eastAsia"/>
                <w:color w:val="000000" w:themeColor="text1"/>
                <w:sz w:val="18"/>
                <w:szCs w:val="18"/>
                <w:lang w:eastAsia="zh-CN"/>
                <w14:textFill>
                  <w14:solidFill>
                    <w14:schemeClr w14:val="tx1"/>
                  </w14:solidFill>
                </w14:textFill>
              </w:rPr>
              <w:t>产教融合</w:t>
            </w:r>
            <w:r>
              <w:rPr>
                <w:color w:val="000000" w:themeColor="text1"/>
                <w:sz w:val="18"/>
                <w:szCs w:val="18"/>
                <w14:textFill>
                  <w14:solidFill>
                    <w14:schemeClr w14:val="tx1"/>
                  </w14:solidFill>
                </w14:textFill>
              </w:rPr>
              <w:t>实践活动</w:t>
            </w:r>
          </w:p>
        </w:tc>
        <w:tc>
          <w:tcPr>
            <w:tcW w:w="1081" w:type="dxa"/>
            <w:vAlign w:val="center"/>
          </w:tcPr>
          <w:p w14:paraId="772A1006">
            <w:pPr>
              <w:jc w:val="center"/>
              <w:rPr>
                <w:color w:val="000000" w:themeColor="text1"/>
                <w:sz w:val="18"/>
                <w:szCs w:val="18"/>
                <w14:textFill>
                  <w14:solidFill>
                    <w14:schemeClr w14:val="tx1"/>
                  </w14:solidFill>
                </w14:textFill>
              </w:rPr>
            </w:pPr>
          </w:p>
        </w:tc>
        <w:tc>
          <w:tcPr>
            <w:tcW w:w="709" w:type="dxa"/>
            <w:vAlign w:val="center"/>
          </w:tcPr>
          <w:p w14:paraId="74ADC54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327EF6BF">
            <w:pPr>
              <w:jc w:val="center"/>
              <w:rPr>
                <w:rFonts w:hint="default"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1-6</w:t>
            </w:r>
          </w:p>
        </w:tc>
        <w:tc>
          <w:tcPr>
            <w:tcW w:w="1045" w:type="dxa"/>
            <w:vMerge w:val="continue"/>
            <w:vAlign w:val="center"/>
          </w:tcPr>
          <w:p w14:paraId="4E6CF24E">
            <w:pPr>
              <w:jc w:val="center"/>
              <w:rPr>
                <w:color w:val="000000" w:themeColor="text1"/>
                <w:sz w:val="18"/>
                <w:szCs w:val="18"/>
                <w14:textFill>
                  <w14:solidFill>
                    <w14:schemeClr w14:val="tx1"/>
                  </w14:solidFill>
                </w14:textFill>
              </w:rPr>
            </w:pPr>
          </w:p>
        </w:tc>
      </w:tr>
      <w:tr w14:paraId="5EF62F9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DC80543">
            <w:pPr>
              <w:rPr>
                <w:b/>
                <w:color w:val="000000" w:themeColor="text1"/>
                <w:sz w:val="18"/>
                <w:szCs w:val="18"/>
                <w14:textFill>
                  <w14:solidFill>
                    <w14:schemeClr w14:val="tx1"/>
                  </w14:solidFill>
                </w14:textFill>
              </w:rPr>
            </w:pPr>
          </w:p>
        </w:tc>
        <w:tc>
          <w:tcPr>
            <w:tcW w:w="1226" w:type="dxa"/>
            <w:vMerge w:val="restart"/>
            <w:vAlign w:val="center"/>
          </w:tcPr>
          <w:p w14:paraId="41155603">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3D5D2880">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vAlign w:val="center"/>
          </w:tcPr>
          <w:p w14:paraId="5FF0A16A">
            <w:pPr>
              <w:jc w:val="center"/>
              <w:rPr>
                <w:color w:val="000000" w:themeColor="text1"/>
                <w:sz w:val="18"/>
                <w:szCs w:val="18"/>
                <w14:textFill>
                  <w14:solidFill>
                    <w14:schemeClr w14:val="tx1"/>
                  </w14:solidFill>
                </w14:textFill>
              </w:rPr>
            </w:pPr>
          </w:p>
        </w:tc>
        <w:tc>
          <w:tcPr>
            <w:tcW w:w="709" w:type="dxa"/>
            <w:vAlign w:val="center"/>
          </w:tcPr>
          <w:p w14:paraId="62BD4994">
            <w:pPr>
              <w:jc w:val="center"/>
              <w:rPr>
                <w:color w:val="000000" w:themeColor="text1"/>
                <w:sz w:val="18"/>
                <w:szCs w:val="18"/>
                <w14:textFill>
                  <w14:solidFill>
                    <w14:schemeClr w14:val="tx1"/>
                  </w14:solidFill>
                </w14:textFill>
              </w:rPr>
            </w:pPr>
          </w:p>
        </w:tc>
        <w:tc>
          <w:tcPr>
            <w:tcW w:w="709" w:type="dxa"/>
            <w:vAlign w:val="center"/>
          </w:tcPr>
          <w:p w14:paraId="6697FA4C">
            <w:pPr>
              <w:jc w:val="center"/>
              <w:rPr>
                <w:color w:val="000000" w:themeColor="text1"/>
                <w:sz w:val="18"/>
                <w:szCs w:val="18"/>
                <w14:textFill>
                  <w14:solidFill>
                    <w14:schemeClr w14:val="tx1"/>
                  </w14:solidFill>
                </w14:textFill>
              </w:rPr>
            </w:pPr>
            <w:r>
              <w:rPr>
                <w:rFonts w:hint="eastAsia"/>
                <w:sz w:val="18"/>
                <w:szCs w:val="18"/>
                <w:highlight w:val="none"/>
                <w:lang w:val="en-US" w:eastAsia="zh-CN"/>
              </w:rPr>
              <w:t>3</w:t>
            </w:r>
          </w:p>
        </w:tc>
        <w:tc>
          <w:tcPr>
            <w:tcW w:w="1045" w:type="dxa"/>
            <w:vMerge w:val="restart"/>
            <w:vAlign w:val="center"/>
          </w:tcPr>
          <w:p w14:paraId="72505C9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56B0F49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6F1C4D8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9C5A6CD">
            <w:pPr>
              <w:rPr>
                <w:b/>
                <w:color w:val="000000" w:themeColor="text1"/>
                <w:sz w:val="18"/>
                <w:szCs w:val="18"/>
                <w14:textFill>
                  <w14:solidFill>
                    <w14:schemeClr w14:val="tx1"/>
                  </w14:solidFill>
                </w14:textFill>
              </w:rPr>
            </w:pPr>
          </w:p>
        </w:tc>
        <w:tc>
          <w:tcPr>
            <w:tcW w:w="1226" w:type="dxa"/>
            <w:vMerge w:val="continue"/>
            <w:vAlign w:val="center"/>
          </w:tcPr>
          <w:p w14:paraId="7D34238C">
            <w:pPr>
              <w:jc w:val="center"/>
              <w:rPr>
                <w:b/>
                <w:color w:val="000000" w:themeColor="text1"/>
                <w:sz w:val="18"/>
                <w:szCs w:val="18"/>
                <w14:textFill>
                  <w14:solidFill>
                    <w14:schemeClr w14:val="tx1"/>
                  </w14:solidFill>
                </w14:textFill>
              </w:rPr>
            </w:pPr>
          </w:p>
        </w:tc>
        <w:tc>
          <w:tcPr>
            <w:tcW w:w="3516" w:type="dxa"/>
            <w:vAlign w:val="center"/>
          </w:tcPr>
          <w:p w14:paraId="66E4F370">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2C2B4A99">
            <w:pPr>
              <w:jc w:val="center"/>
              <w:rPr>
                <w:color w:val="000000" w:themeColor="text1"/>
                <w:sz w:val="18"/>
                <w:szCs w:val="18"/>
                <w14:textFill>
                  <w14:solidFill>
                    <w14:schemeClr w14:val="tx1"/>
                  </w14:solidFill>
                </w14:textFill>
              </w:rPr>
            </w:pPr>
          </w:p>
        </w:tc>
        <w:tc>
          <w:tcPr>
            <w:tcW w:w="709" w:type="dxa"/>
            <w:vAlign w:val="center"/>
          </w:tcPr>
          <w:p w14:paraId="5E99C4C7">
            <w:pPr>
              <w:jc w:val="center"/>
              <w:rPr>
                <w:color w:val="000000" w:themeColor="text1"/>
                <w:sz w:val="18"/>
                <w:szCs w:val="18"/>
                <w14:textFill>
                  <w14:solidFill>
                    <w14:schemeClr w14:val="tx1"/>
                  </w14:solidFill>
                </w14:textFill>
              </w:rPr>
            </w:pPr>
          </w:p>
        </w:tc>
        <w:tc>
          <w:tcPr>
            <w:tcW w:w="709" w:type="dxa"/>
            <w:vAlign w:val="center"/>
          </w:tcPr>
          <w:p w14:paraId="72AD4151">
            <w:pPr>
              <w:jc w:val="center"/>
              <w:rPr>
                <w:color w:val="000000" w:themeColor="text1"/>
                <w:sz w:val="18"/>
                <w:szCs w:val="18"/>
                <w14:textFill>
                  <w14:solidFill>
                    <w14:schemeClr w14:val="tx1"/>
                  </w14:solidFill>
                </w14:textFill>
              </w:rPr>
            </w:pPr>
            <w:r>
              <w:rPr>
                <w:rFonts w:hint="eastAsia"/>
                <w:sz w:val="18"/>
                <w:szCs w:val="18"/>
              </w:rPr>
              <w:t>3</w:t>
            </w:r>
          </w:p>
        </w:tc>
        <w:tc>
          <w:tcPr>
            <w:tcW w:w="1045" w:type="dxa"/>
            <w:vMerge w:val="continue"/>
            <w:vAlign w:val="center"/>
          </w:tcPr>
          <w:p w14:paraId="19FD859A">
            <w:pPr>
              <w:jc w:val="center"/>
              <w:rPr>
                <w:color w:val="000000" w:themeColor="text1"/>
                <w:sz w:val="18"/>
                <w:szCs w:val="18"/>
                <w14:textFill>
                  <w14:solidFill>
                    <w14:schemeClr w14:val="tx1"/>
                  </w14:solidFill>
                </w14:textFill>
              </w:rPr>
            </w:pPr>
          </w:p>
        </w:tc>
      </w:tr>
      <w:tr w14:paraId="56E703D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1A22D9A">
            <w:pPr>
              <w:rPr>
                <w:b/>
                <w:color w:val="000000" w:themeColor="text1"/>
                <w:sz w:val="18"/>
                <w:szCs w:val="18"/>
                <w14:textFill>
                  <w14:solidFill>
                    <w14:schemeClr w14:val="tx1"/>
                  </w14:solidFill>
                </w14:textFill>
              </w:rPr>
            </w:pPr>
          </w:p>
        </w:tc>
        <w:tc>
          <w:tcPr>
            <w:tcW w:w="1226" w:type="dxa"/>
            <w:vMerge w:val="continue"/>
            <w:vAlign w:val="center"/>
          </w:tcPr>
          <w:p w14:paraId="230DABBF">
            <w:pPr>
              <w:jc w:val="center"/>
              <w:rPr>
                <w:b/>
                <w:color w:val="000000" w:themeColor="text1"/>
                <w:sz w:val="18"/>
                <w:szCs w:val="18"/>
                <w14:textFill>
                  <w14:solidFill>
                    <w14:schemeClr w14:val="tx1"/>
                  </w14:solidFill>
                </w14:textFill>
              </w:rPr>
            </w:pPr>
          </w:p>
        </w:tc>
        <w:tc>
          <w:tcPr>
            <w:tcW w:w="3516" w:type="dxa"/>
            <w:vAlign w:val="center"/>
          </w:tcPr>
          <w:p w14:paraId="11B0EFA8">
            <w:pPr>
              <w:rPr>
                <w:sz w:val="18"/>
                <w:szCs w:val="18"/>
              </w:rPr>
            </w:pPr>
            <w:r>
              <w:rPr>
                <w:sz w:val="18"/>
                <w:szCs w:val="18"/>
              </w:rPr>
              <w:t>论文中期进展报告</w:t>
            </w:r>
          </w:p>
        </w:tc>
        <w:tc>
          <w:tcPr>
            <w:tcW w:w="1081" w:type="dxa"/>
            <w:vAlign w:val="center"/>
          </w:tcPr>
          <w:p w14:paraId="42FBBEC9">
            <w:pPr>
              <w:jc w:val="center"/>
              <w:rPr>
                <w:color w:val="000000" w:themeColor="text1"/>
                <w:sz w:val="18"/>
                <w:szCs w:val="18"/>
                <w14:textFill>
                  <w14:solidFill>
                    <w14:schemeClr w14:val="tx1"/>
                  </w14:solidFill>
                </w14:textFill>
              </w:rPr>
            </w:pPr>
          </w:p>
        </w:tc>
        <w:tc>
          <w:tcPr>
            <w:tcW w:w="709" w:type="dxa"/>
            <w:vAlign w:val="center"/>
          </w:tcPr>
          <w:p w14:paraId="469DFCBB">
            <w:pPr>
              <w:jc w:val="center"/>
              <w:rPr>
                <w:color w:val="000000" w:themeColor="text1"/>
                <w:sz w:val="18"/>
                <w:szCs w:val="18"/>
                <w14:textFill>
                  <w14:solidFill>
                    <w14:schemeClr w14:val="tx1"/>
                  </w14:solidFill>
                </w14:textFill>
              </w:rPr>
            </w:pPr>
          </w:p>
        </w:tc>
        <w:tc>
          <w:tcPr>
            <w:tcW w:w="709" w:type="dxa"/>
            <w:vAlign w:val="center"/>
          </w:tcPr>
          <w:p w14:paraId="0BF91C6F">
            <w:pPr>
              <w:jc w:val="center"/>
              <w:rPr>
                <w:color w:val="000000" w:themeColor="text1"/>
                <w:sz w:val="18"/>
                <w:szCs w:val="18"/>
                <w14:textFill>
                  <w14:solidFill>
                    <w14:schemeClr w14:val="tx1"/>
                  </w14:solidFill>
                </w14:textFill>
              </w:rPr>
            </w:pPr>
            <w:r>
              <w:rPr>
                <w:rFonts w:hint="eastAsia"/>
                <w:sz w:val="18"/>
                <w:szCs w:val="18"/>
              </w:rPr>
              <w:t>5</w:t>
            </w:r>
          </w:p>
        </w:tc>
        <w:tc>
          <w:tcPr>
            <w:tcW w:w="1045" w:type="dxa"/>
            <w:vMerge w:val="continue"/>
          </w:tcPr>
          <w:p w14:paraId="712EE46C">
            <w:pPr>
              <w:jc w:val="center"/>
              <w:rPr>
                <w:color w:val="000000" w:themeColor="text1"/>
                <w:sz w:val="18"/>
                <w:szCs w:val="18"/>
                <w14:textFill>
                  <w14:solidFill>
                    <w14:schemeClr w14:val="tx1"/>
                  </w14:solidFill>
                </w14:textFill>
              </w:rPr>
            </w:pPr>
          </w:p>
        </w:tc>
      </w:tr>
      <w:tr w14:paraId="0F81168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50C50B6">
            <w:pPr>
              <w:rPr>
                <w:b/>
                <w:color w:val="000000" w:themeColor="text1"/>
                <w:sz w:val="18"/>
                <w:szCs w:val="18"/>
                <w14:textFill>
                  <w14:solidFill>
                    <w14:schemeClr w14:val="tx1"/>
                  </w14:solidFill>
                </w14:textFill>
              </w:rPr>
            </w:pPr>
          </w:p>
        </w:tc>
        <w:tc>
          <w:tcPr>
            <w:tcW w:w="1226" w:type="dxa"/>
            <w:vMerge w:val="continue"/>
            <w:vAlign w:val="center"/>
          </w:tcPr>
          <w:p w14:paraId="36DA4088">
            <w:pPr>
              <w:jc w:val="center"/>
              <w:rPr>
                <w:b/>
                <w:color w:val="000000" w:themeColor="text1"/>
                <w:sz w:val="18"/>
                <w:szCs w:val="18"/>
                <w14:textFill>
                  <w14:solidFill>
                    <w14:schemeClr w14:val="tx1"/>
                  </w14:solidFill>
                </w14:textFill>
              </w:rPr>
            </w:pPr>
          </w:p>
        </w:tc>
        <w:tc>
          <w:tcPr>
            <w:tcW w:w="3516" w:type="dxa"/>
            <w:vAlign w:val="center"/>
          </w:tcPr>
          <w:p w14:paraId="7562E142">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081" w:type="dxa"/>
            <w:vAlign w:val="center"/>
          </w:tcPr>
          <w:p w14:paraId="39797CB5">
            <w:pPr>
              <w:jc w:val="center"/>
              <w:rPr>
                <w:color w:val="000000" w:themeColor="text1"/>
                <w:sz w:val="18"/>
                <w:szCs w:val="18"/>
                <w14:textFill>
                  <w14:solidFill>
                    <w14:schemeClr w14:val="tx1"/>
                  </w14:solidFill>
                </w14:textFill>
              </w:rPr>
            </w:pPr>
          </w:p>
        </w:tc>
        <w:tc>
          <w:tcPr>
            <w:tcW w:w="709" w:type="dxa"/>
            <w:vAlign w:val="center"/>
          </w:tcPr>
          <w:p w14:paraId="4BBA813E">
            <w:pPr>
              <w:jc w:val="center"/>
              <w:rPr>
                <w:color w:val="000000" w:themeColor="text1"/>
                <w:sz w:val="18"/>
                <w:szCs w:val="18"/>
                <w14:textFill>
                  <w14:solidFill>
                    <w14:schemeClr w14:val="tx1"/>
                  </w14:solidFill>
                </w14:textFill>
              </w:rPr>
            </w:pPr>
          </w:p>
        </w:tc>
        <w:tc>
          <w:tcPr>
            <w:tcW w:w="709" w:type="dxa"/>
            <w:vAlign w:val="center"/>
          </w:tcPr>
          <w:p w14:paraId="190A78FC">
            <w:pPr>
              <w:jc w:val="center"/>
              <w:rPr>
                <w:color w:val="000000" w:themeColor="text1"/>
                <w:sz w:val="18"/>
                <w:szCs w:val="18"/>
                <w14:textFill>
                  <w14:solidFill>
                    <w14:schemeClr w14:val="tx1"/>
                  </w14:solidFill>
                </w14:textFill>
              </w:rPr>
            </w:pPr>
            <w:r>
              <w:rPr>
                <w:rFonts w:hint="eastAsia"/>
                <w:sz w:val="18"/>
                <w:szCs w:val="18"/>
              </w:rPr>
              <w:t>6</w:t>
            </w:r>
          </w:p>
        </w:tc>
        <w:tc>
          <w:tcPr>
            <w:tcW w:w="1045" w:type="dxa"/>
            <w:vMerge w:val="continue"/>
          </w:tcPr>
          <w:p w14:paraId="61C21476">
            <w:pPr>
              <w:jc w:val="center"/>
              <w:rPr>
                <w:color w:val="000000" w:themeColor="text1"/>
                <w:sz w:val="18"/>
                <w:szCs w:val="18"/>
                <w14:textFill>
                  <w14:solidFill>
                    <w14:schemeClr w14:val="tx1"/>
                  </w14:solidFill>
                </w14:textFill>
              </w:rPr>
            </w:pPr>
          </w:p>
        </w:tc>
      </w:tr>
      <w:tr w14:paraId="3D5DD4C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0ED4971">
            <w:pPr>
              <w:rPr>
                <w:color w:val="000000" w:themeColor="text1"/>
                <w:sz w:val="18"/>
                <w:szCs w:val="18"/>
                <w14:textFill>
                  <w14:solidFill>
                    <w14:schemeClr w14:val="tx1"/>
                  </w14:solidFill>
                </w14:textFill>
              </w:rPr>
            </w:pPr>
          </w:p>
        </w:tc>
        <w:tc>
          <w:tcPr>
            <w:tcW w:w="1226" w:type="dxa"/>
            <w:vMerge w:val="continue"/>
          </w:tcPr>
          <w:p w14:paraId="425FAFC2">
            <w:pPr>
              <w:jc w:val="center"/>
              <w:rPr>
                <w:color w:val="000000" w:themeColor="text1"/>
                <w:sz w:val="18"/>
                <w:szCs w:val="18"/>
                <w14:textFill>
                  <w14:solidFill>
                    <w14:schemeClr w14:val="tx1"/>
                  </w14:solidFill>
                </w14:textFill>
              </w:rPr>
            </w:pPr>
          </w:p>
        </w:tc>
        <w:tc>
          <w:tcPr>
            <w:tcW w:w="3516" w:type="dxa"/>
            <w:vAlign w:val="center"/>
          </w:tcPr>
          <w:p w14:paraId="02B936C2">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081" w:type="dxa"/>
            <w:vAlign w:val="center"/>
          </w:tcPr>
          <w:p w14:paraId="3B50720B">
            <w:pPr>
              <w:jc w:val="center"/>
              <w:rPr>
                <w:color w:val="000000" w:themeColor="text1"/>
                <w:sz w:val="18"/>
                <w:szCs w:val="18"/>
                <w14:textFill>
                  <w14:solidFill>
                    <w14:schemeClr w14:val="tx1"/>
                  </w14:solidFill>
                </w14:textFill>
              </w:rPr>
            </w:pPr>
          </w:p>
        </w:tc>
        <w:tc>
          <w:tcPr>
            <w:tcW w:w="709" w:type="dxa"/>
            <w:vAlign w:val="center"/>
          </w:tcPr>
          <w:p w14:paraId="15A7E91C">
            <w:pPr>
              <w:jc w:val="center"/>
              <w:rPr>
                <w:color w:val="000000" w:themeColor="text1"/>
                <w:sz w:val="18"/>
                <w:szCs w:val="18"/>
                <w14:textFill>
                  <w14:solidFill>
                    <w14:schemeClr w14:val="tx1"/>
                  </w14:solidFill>
                </w14:textFill>
              </w:rPr>
            </w:pPr>
          </w:p>
        </w:tc>
        <w:tc>
          <w:tcPr>
            <w:tcW w:w="709" w:type="dxa"/>
            <w:vAlign w:val="center"/>
          </w:tcPr>
          <w:p w14:paraId="7F4AD93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193322CE">
            <w:pPr>
              <w:jc w:val="center"/>
              <w:rPr>
                <w:color w:val="000000" w:themeColor="text1"/>
                <w:sz w:val="18"/>
                <w:szCs w:val="18"/>
                <w14:textFill>
                  <w14:solidFill>
                    <w14:schemeClr w14:val="tx1"/>
                  </w14:solidFill>
                </w14:textFill>
              </w:rPr>
            </w:pPr>
          </w:p>
        </w:tc>
      </w:tr>
      <w:tr w14:paraId="157001D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5BD7823">
            <w:pPr>
              <w:rPr>
                <w:color w:val="000000" w:themeColor="text1"/>
                <w:sz w:val="18"/>
                <w:szCs w:val="18"/>
                <w14:textFill>
                  <w14:solidFill>
                    <w14:schemeClr w14:val="tx1"/>
                  </w14:solidFill>
                </w14:textFill>
              </w:rPr>
            </w:pPr>
          </w:p>
        </w:tc>
        <w:tc>
          <w:tcPr>
            <w:tcW w:w="1226" w:type="dxa"/>
            <w:vMerge w:val="continue"/>
          </w:tcPr>
          <w:p w14:paraId="04B0E7D2">
            <w:pPr>
              <w:jc w:val="center"/>
              <w:rPr>
                <w:color w:val="000000" w:themeColor="text1"/>
                <w:sz w:val="18"/>
                <w:szCs w:val="18"/>
                <w14:textFill>
                  <w14:solidFill>
                    <w14:schemeClr w14:val="tx1"/>
                  </w14:solidFill>
                </w14:textFill>
              </w:rPr>
            </w:pPr>
          </w:p>
        </w:tc>
        <w:tc>
          <w:tcPr>
            <w:tcW w:w="3516" w:type="dxa"/>
            <w:vAlign w:val="center"/>
          </w:tcPr>
          <w:p w14:paraId="14821914">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0E3A23C1">
            <w:pPr>
              <w:jc w:val="center"/>
              <w:rPr>
                <w:color w:val="000000" w:themeColor="text1"/>
                <w:sz w:val="18"/>
                <w:szCs w:val="18"/>
                <w14:textFill>
                  <w14:solidFill>
                    <w14:schemeClr w14:val="tx1"/>
                  </w14:solidFill>
                </w14:textFill>
              </w:rPr>
            </w:pPr>
          </w:p>
        </w:tc>
        <w:tc>
          <w:tcPr>
            <w:tcW w:w="709" w:type="dxa"/>
            <w:vAlign w:val="center"/>
          </w:tcPr>
          <w:p w14:paraId="33326CE7">
            <w:pPr>
              <w:jc w:val="center"/>
              <w:rPr>
                <w:color w:val="000000" w:themeColor="text1"/>
                <w:sz w:val="18"/>
                <w:szCs w:val="18"/>
                <w14:textFill>
                  <w14:solidFill>
                    <w14:schemeClr w14:val="tx1"/>
                  </w14:solidFill>
                </w14:textFill>
              </w:rPr>
            </w:pPr>
          </w:p>
        </w:tc>
        <w:tc>
          <w:tcPr>
            <w:tcW w:w="709" w:type="dxa"/>
            <w:vAlign w:val="center"/>
          </w:tcPr>
          <w:p w14:paraId="5785F39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4E2D6D91">
            <w:pPr>
              <w:jc w:val="center"/>
              <w:rPr>
                <w:color w:val="000000" w:themeColor="text1"/>
                <w:sz w:val="18"/>
                <w:szCs w:val="18"/>
                <w14:textFill>
                  <w14:solidFill>
                    <w14:schemeClr w14:val="tx1"/>
                  </w14:solidFill>
                </w14:textFill>
              </w:rPr>
            </w:pPr>
          </w:p>
        </w:tc>
      </w:tr>
    </w:tbl>
    <w:p w14:paraId="14FE9688">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79B6DC94">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633077BF">
      <w:pPr>
        <w:spacing w:line="440" w:lineRule="exact"/>
        <w:ind w:firstLine="480" w:firstLineChars="200"/>
        <w:rPr>
          <w:rFonts w:eastAsiaTheme="minorEastAsia"/>
          <w:bCs/>
          <w:i w:val="0"/>
          <w:iCs w:val="0"/>
          <w:color w:val="auto"/>
          <w:sz w:val="24"/>
        </w:rPr>
      </w:pPr>
      <w:r>
        <w:rPr>
          <w:rFonts w:eastAsiaTheme="minorEastAsia"/>
          <w:bCs/>
          <w:i w:val="0"/>
          <w:iCs w:val="0"/>
          <w:color w:val="auto"/>
          <w:sz w:val="24"/>
        </w:rPr>
        <w:t>1. 非学位课中的方向选修课模块由各培养单位自行设置，并给出具体选修学分要求。</w:t>
      </w:r>
    </w:p>
    <w:bookmarkEnd w:id="0"/>
    <w:bookmarkEnd w:id="1"/>
    <w:p w14:paraId="1D2113C0">
      <w:pPr>
        <w:spacing w:line="440" w:lineRule="exact"/>
        <w:ind w:firstLine="480" w:firstLineChars="200"/>
        <w:rPr>
          <w:rFonts w:eastAsiaTheme="minorEastAsia"/>
          <w:bCs/>
          <w:i w:val="0"/>
          <w:iCs w:val="0"/>
          <w:color w:val="auto"/>
          <w:sz w:val="24"/>
        </w:rPr>
      </w:pPr>
      <w:r>
        <w:rPr>
          <w:rFonts w:eastAsiaTheme="minorEastAsia"/>
          <w:bCs/>
          <w:i w:val="0"/>
          <w:iCs w:val="0"/>
          <w:color w:val="auto"/>
          <w:sz w:val="24"/>
        </w:rPr>
        <w:t>2. 毕业总学分：</w:t>
      </w:r>
      <w:r>
        <w:rPr>
          <w:rFonts w:hint="eastAsia" w:eastAsiaTheme="minorEastAsia"/>
          <w:bCs/>
          <w:i w:val="0"/>
          <w:iCs w:val="0"/>
          <w:color w:val="auto"/>
          <w:sz w:val="24"/>
        </w:rPr>
        <w:t>学位课</w:t>
      </w:r>
      <w:r>
        <w:rPr>
          <w:rFonts w:eastAsiaTheme="minorEastAsia"/>
          <w:bCs/>
          <w:i w:val="0"/>
          <w:iCs w:val="0"/>
          <w:color w:val="auto"/>
          <w:sz w:val="24"/>
        </w:rPr>
        <w:t>+</w:t>
      </w:r>
      <w:r>
        <w:rPr>
          <w:rFonts w:hint="eastAsia" w:eastAsiaTheme="minorEastAsia"/>
          <w:bCs/>
          <w:i w:val="0"/>
          <w:iCs w:val="0"/>
          <w:color w:val="auto"/>
          <w:sz w:val="24"/>
        </w:rPr>
        <w:t>非学位课</w:t>
      </w:r>
      <w:r>
        <w:rPr>
          <w:rFonts w:eastAsiaTheme="minorEastAsia"/>
          <w:bCs/>
          <w:i w:val="0"/>
          <w:iCs w:val="0"/>
          <w:color w:val="auto"/>
          <w:sz w:val="24"/>
        </w:rPr>
        <w:t>+必修环节。</w:t>
      </w:r>
    </w:p>
    <w:p w14:paraId="148C9BCB">
      <w:pPr>
        <w:rPr>
          <w:i/>
          <w:iCs/>
          <w:color w:val="FF000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7B72AC"/>
    <w:rsid w:val="04976DAD"/>
    <w:rsid w:val="05750421"/>
    <w:rsid w:val="0826684D"/>
    <w:rsid w:val="0F075DB7"/>
    <w:rsid w:val="1745454E"/>
    <w:rsid w:val="195E4F06"/>
    <w:rsid w:val="1BF65F2A"/>
    <w:rsid w:val="1E885A39"/>
    <w:rsid w:val="1EFF6E54"/>
    <w:rsid w:val="1F6A59FF"/>
    <w:rsid w:val="233B7BD9"/>
    <w:rsid w:val="25AA42A7"/>
    <w:rsid w:val="27632015"/>
    <w:rsid w:val="2B1C0A72"/>
    <w:rsid w:val="2C5E73CD"/>
    <w:rsid w:val="2C747585"/>
    <w:rsid w:val="2E1B14D5"/>
    <w:rsid w:val="3C566C8A"/>
    <w:rsid w:val="3DEB1E1A"/>
    <w:rsid w:val="46F73741"/>
    <w:rsid w:val="470B7EE1"/>
    <w:rsid w:val="49953227"/>
    <w:rsid w:val="4A301A0D"/>
    <w:rsid w:val="55164036"/>
    <w:rsid w:val="575776FA"/>
    <w:rsid w:val="58E90E6F"/>
    <w:rsid w:val="5EA20CD3"/>
    <w:rsid w:val="5F4F0CE2"/>
    <w:rsid w:val="609D2A9F"/>
    <w:rsid w:val="627E7362"/>
    <w:rsid w:val="6A1B50FF"/>
    <w:rsid w:val="6FE45FBD"/>
    <w:rsid w:val="7DCE09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4471</Words>
  <Characters>4688</Characters>
  <Lines>0</Lines>
  <Paragraphs>0</Paragraphs>
  <TotalTime>0</TotalTime>
  <ScaleCrop>false</ScaleCrop>
  <LinksUpToDate>false</LinksUpToDate>
  <CharactersWithSpaces>4699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2025-04-25T02:45:00Z</dcterms:created>
  <dc:creator>Administrator</dc:creator>
  <cp:lastModifiedBy>许诺/ty</cp:lastModifiedBy>
  <dcterms:modified xsi:type="dcterms:W3CDTF">2025-06-24T02:46:43Z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eyJoZGlkIjoiMjgwZjczMGExMzViMTFhYzEzZjJjYmUxOTlkOTA2MzQiLCJ1c2VySWQiOiIzNjQ0ODYzMjMifQ==</vt:lpwstr>
  </property>
  <property fmtid="{D5CDD505-2E9C-101B-9397-08002B2CF9AE}" pid="4" name="ICV">
    <vt:lpwstr>25DDF8BF925C4EEF934127DE29DF6A8D_13</vt:lpwstr>
  </property>
</Properties>
</file>