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F9600">
      <w:pPr>
        <w:ind w:left="321" w:leftChars="153" w:right="227"/>
        <w:jc w:val="center"/>
        <w:rPr>
          <w:rFonts w:eastAsia="黑体"/>
          <w:b/>
          <w:bCs/>
          <w:color w:val="auto"/>
          <w:sz w:val="32"/>
          <w:szCs w:val="32"/>
          <w:highlight w:val="none"/>
        </w:rPr>
      </w:pPr>
      <w:bookmarkStart w:id="0" w:name="OLE_LINK6"/>
      <w:bookmarkStart w:id="1" w:name="OLE_LINK7"/>
      <w:r>
        <w:rPr>
          <w:rFonts w:hint="eastAsia" w:eastAsia="黑体"/>
          <w:b/>
          <w:bCs/>
          <w:color w:val="auto"/>
          <w:sz w:val="32"/>
          <w:szCs w:val="32"/>
          <w:highlight w:val="none"/>
          <w:lang w:eastAsia="zh-CN"/>
        </w:rPr>
        <w:t>生物与医药</w:t>
      </w:r>
      <w:r>
        <w:rPr>
          <w:rFonts w:eastAsia="黑体"/>
          <w:b/>
          <w:bCs/>
          <w:color w:val="auto"/>
          <w:sz w:val="32"/>
          <w:szCs w:val="32"/>
          <w:highlight w:val="none"/>
        </w:rPr>
        <w:t>专业全日制专业学位硕士研究生培养方案</w:t>
      </w:r>
    </w:p>
    <w:p w14:paraId="02A1FB2C">
      <w:pPr>
        <w:ind w:left="321" w:leftChars="153" w:right="227"/>
        <w:jc w:val="center"/>
        <w:rPr>
          <w:rFonts w:eastAsia="黑体"/>
          <w:b/>
          <w:bCs/>
          <w:color w:val="auto"/>
          <w:sz w:val="28"/>
          <w:szCs w:val="28"/>
          <w:highlight w:val="none"/>
        </w:rPr>
      </w:pPr>
      <w:r>
        <w:rPr>
          <w:rFonts w:eastAsia="黑体"/>
          <w:b/>
          <w:bCs/>
          <w:color w:val="auto"/>
          <w:sz w:val="28"/>
          <w:szCs w:val="28"/>
          <w:highlight w:val="none"/>
        </w:rPr>
        <w:t>（</w:t>
      </w:r>
      <w:r>
        <w:rPr>
          <w:rFonts w:hint="eastAsia" w:eastAsia="黑体"/>
          <w:b/>
          <w:bCs/>
          <w:color w:val="auto"/>
          <w:sz w:val="28"/>
          <w:szCs w:val="28"/>
          <w:highlight w:val="none"/>
          <w:lang w:eastAsia="zh-CN"/>
        </w:rPr>
        <w:t>质量技术监督</w:t>
      </w:r>
      <w:r>
        <w:rPr>
          <w:rFonts w:eastAsia="黑体"/>
          <w:b/>
          <w:bCs/>
          <w:color w:val="auto"/>
          <w:sz w:val="28"/>
          <w:szCs w:val="28"/>
          <w:highlight w:val="none"/>
        </w:rPr>
        <w:t>学院)</w:t>
      </w:r>
    </w:p>
    <w:p w14:paraId="7AD21D42">
      <w:pPr>
        <w:spacing w:line="360" w:lineRule="auto"/>
        <w:ind w:firstLine="560"/>
        <w:rPr>
          <w:rFonts w:eastAsia="黑体"/>
          <w:bCs/>
          <w:color w:val="auto"/>
          <w:sz w:val="28"/>
          <w:szCs w:val="28"/>
          <w:highlight w:val="none"/>
        </w:rPr>
      </w:pPr>
      <w:r>
        <w:rPr>
          <w:rFonts w:eastAsia="黑体"/>
          <w:bCs/>
          <w:color w:val="auto"/>
          <w:sz w:val="28"/>
          <w:szCs w:val="28"/>
          <w:highlight w:val="none"/>
        </w:rPr>
        <w:t>一、专业名称、代码</w:t>
      </w:r>
    </w:p>
    <w:p w14:paraId="0B39189C">
      <w:pPr>
        <w:widowControl/>
        <w:spacing w:line="360" w:lineRule="auto"/>
        <w:ind w:firstLine="960" w:firstLineChars="400"/>
        <w:jc w:val="left"/>
        <w:rPr>
          <w:rFonts w:hint="eastAsia" w:eastAsia="宋体"/>
          <w:color w:val="auto"/>
          <w:kern w:val="0"/>
          <w:sz w:val="18"/>
          <w:szCs w:val="18"/>
          <w:highlight w:val="none"/>
          <w:lang w:eastAsia="zh-CN"/>
        </w:rPr>
      </w:pPr>
      <w:r>
        <w:rPr>
          <w:color w:val="auto"/>
          <w:kern w:val="0"/>
          <w:sz w:val="24"/>
          <w:highlight w:val="none"/>
        </w:rPr>
        <w:t>专业名称：</w:t>
      </w:r>
      <w:r>
        <w:rPr>
          <w:rFonts w:hint="eastAsia"/>
          <w:color w:val="auto"/>
          <w:kern w:val="0"/>
          <w:sz w:val="24"/>
          <w:highlight w:val="none"/>
          <w:lang w:eastAsia="zh-CN"/>
        </w:rPr>
        <w:t>生物与医药</w:t>
      </w:r>
    </w:p>
    <w:p w14:paraId="49C0F88C">
      <w:pPr>
        <w:widowControl/>
        <w:spacing w:line="360" w:lineRule="auto"/>
        <w:ind w:firstLine="960" w:firstLineChars="400"/>
        <w:jc w:val="left"/>
        <w:rPr>
          <w:rFonts w:hint="default" w:eastAsia="宋体"/>
          <w:color w:val="auto"/>
          <w:kern w:val="0"/>
          <w:sz w:val="18"/>
          <w:szCs w:val="18"/>
          <w:highlight w:val="none"/>
          <w:lang w:val="en-US" w:eastAsia="zh-CN"/>
        </w:rPr>
      </w:pPr>
      <w:r>
        <w:rPr>
          <w:color w:val="auto"/>
          <w:kern w:val="0"/>
          <w:sz w:val="24"/>
          <w:highlight w:val="none"/>
        </w:rPr>
        <w:t>专业代码：</w:t>
      </w:r>
      <w:r>
        <w:rPr>
          <w:rFonts w:hint="eastAsia"/>
          <w:color w:val="auto"/>
          <w:kern w:val="0"/>
          <w:sz w:val="24"/>
          <w:highlight w:val="none"/>
          <w:lang w:val="en-US" w:eastAsia="zh-CN"/>
        </w:rPr>
        <w:t>086000</w:t>
      </w:r>
    </w:p>
    <w:p w14:paraId="64C77968">
      <w:pPr>
        <w:spacing w:line="360" w:lineRule="auto"/>
        <w:ind w:firstLine="560" w:firstLineChars="200"/>
        <w:rPr>
          <w:rFonts w:eastAsia="黑体"/>
          <w:bCs/>
          <w:i/>
          <w:color w:val="auto"/>
          <w:sz w:val="28"/>
          <w:szCs w:val="28"/>
          <w:highlight w:val="none"/>
        </w:rPr>
      </w:pPr>
      <w:r>
        <w:rPr>
          <w:rFonts w:eastAsia="黑体"/>
          <w:bCs/>
          <w:color w:val="auto"/>
          <w:sz w:val="28"/>
          <w:szCs w:val="28"/>
          <w:highlight w:val="none"/>
        </w:rPr>
        <w:t>二、专业简介</w:t>
      </w:r>
    </w:p>
    <w:p w14:paraId="6D1E5EF8">
      <w:pPr>
        <w:spacing w:line="360" w:lineRule="auto"/>
        <w:ind w:firstLine="480" w:firstLineChars="200"/>
        <w:rPr>
          <w:rFonts w:eastAsiaTheme="minorEastAsia"/>
          <w:i/>
          <w:color w:val="auto"/>
          <w:sz w:val="24"/>
          <w:highlight w:val="none"/>
        </w:rPr>
      </w:pPr>
      <w:r>
        <w:rPr>
          <w:rFonts w:hint="eastAsia" w:asciiTheme="minorEastAsia" w:hAnsiTheme="minorEastAsia" w:eastAsiaTheme="minorEastAsia"/>
          <w:color w:val="auto"/>
          <w:sz w:val="24"/>
          <w:highlight w:val="none"/>
        </w:rPr>
        <w:t>以习近平新时代中国特色社会主义思想为指导，全面贯彻党的教育方针，深入贯彻全国教育大会和全国研究生教育会议精神，落实立德树人根本任务，服务国家重大战略需求和区域社会经济发展</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b w:val="0"/>
          <w:bCs w:val="0"/>
          <w:color w:val="auto"/>
          <w:sz w:val="24"/>
          <w:highlight w:val="none"/>
        </w:rPr>
        <w:t>生物与医药专业学位包括食品</w:t>
      </w:r>
      <w:r>
        <w:rPr>
          <w:rFonts w:hint="eastAsia" w:asciiTheme="minorEastAsia" w:hAnsiTheme="minorEastAsia" w:eastAsiaTheme="minorEastAsia"/>
          <w:b w:val="0"/>
          <w:bCs w:val="0"/>
          <w:color w:val="auto"/>
          <w:sz w:val="24"/>
          <w:highlight w:val="none"/>
          <w:lang w:val="en-US" w:eastAsia="zh-CN"/>
        </w:rPr>
        <w:t>质量</w:t>
      </w:r>
      <w:r>
        <w:rPr>
          <w:rFonts w:hint="eastAsia" w:asciiTheme="minorEastAsia" w:hAnsiTheme="minorEastAsia" w:eastAsiaTheme="minorEastAsia"/>
          <w:b w:val="0"/>
          <w:bCs w:val="0"/>
          <w:color w:val="auto"/>
          <w:sz w:val="24"/>
          <w:highlight w:val="none"/>
          <w:lang w:eastAsia="zh-CN"/>
        </w:rPr>
        <w:t>检测技术</w:t>
      </w:r>
      <w:r>
        <w:rPr>
          <w:rFonts w:hint="eastAsia" w:asciiTheme="minorEastAsia" w:hAnsiTheme="minorEastAsia" w:eastAsiaTheme="minorEastAsia"/>
          <w:b w:val="0"/>
          <w:bCs w:val="0"/>
          <w:color w:val="auto"/>
          <w:sz w:val="24"/>
          <w:highlight w:val="none"/>
        </w:rPr>
        <w:t>、生物医药分析技术与仪器、</w:t>
      </w:r>
      <w:r>
        <w:rPr>
          <w:rFonts w:hint="eastAsia" w:asciiTheme="minorEastAsia" w:hAnsiTheme="minorEastAsia" w:eastAsiaTheme="minorEastAsia"/>
          <w:b w:val="0"/>
          <w:bCs w:val="0"/>
          <w:color w:val="auto"/>
          <w:sz w:val="24"/>
          <w:highlight w:val="none"/>
          <w:lang w:eastAsia="zh-CN"/>
        </w:rPr>
        <w:t>医药</w:t>
      </w:r>
      <w:r>
        <w:rPr>
          <w:rFonts w:hint="eastAsia" w:asciiTheme="minorEastAsia" w:hAnsiTheme="minorEastAsia" w:eastAsiaTheme="minorEastAsia"/>
          <w:b w:val="0"/>
          <w:bCs w:val="0"/>
          <w:color w:val="auto"/>
          <w:sz w:val="24"/>
          <w:highlight w:val="none"/>
        </w:rPr>
        <w:t>产品质量控制与评价</w:t>
      </w:r>
      <w:r>
        <w:rPr>
          <w:rFonts w:hint="eastAsia" w:asciiTheme="minorEastAsia" w:hAnsiTheme="minorEastAsia" w:eastAsiaTheme="minorEastAsia"/>
          <w:b w:val="0"/>
          <w:bCs w:val="0"/>
          <w:color w:val="auto"/>
          <w:sz w:val="24"/>
          <w:highlight w:val="none"/>
          <w:lang w:val="en-US" w:eastAsia="zh-CN"/>
        </w:rPr>
        <w:t>三</w:t>
      </w:r>
      <w:r>
        <w:rPr>
          <w:rFonts w:hint="eastAsia" w:asciiTheme="minorEastAsia" w:hAnsiTheme="minorEastAsia" w:eastAsiaTheme="minorEastAsia"/>
          <w:b w:val="0"/>
          <w:bCs w:val="0"/>
          <w:color w:val="auto"/>
          <w:sz w:val="24"/>
          <w:highlight w:val="none"/>
        </w:rPr>
        <w:t>个特色方向，紧密结合国家对生物与医药学科</w:t>
      </w:r>
      <w:r>
        <w:rPr>
          <w:rFonts w:hint="eastAsia" w:asciiTheme="minorEastAsia" w:hAnsiTheme="minorEastAsia" w:eastAsiaTheme="minorEastAsia"/>
          <w:b w:val="0"/>
          <w:bCs w:val="0"/>
          <w:color w:val="auto"/>
          <w:sz w:val="24"/>
          <w:highlight w:val="none"/>
          <w:lang w:val="en-US" w:eastAsia="zh-CN"/>
        </w:rPr>
        <w:t>和</w:t>
      </w:r>
      <w:r>
        <w:rPr>
          <w:rFonts w:hint="eastAsia" w:asciiTheme="minorEastAsia" w:hAnsiTheme="minorEastAsia" w:eastAsiaTheme="minorEastAsia"/>
          <w:b w:val="0"/>
          <w:bCs w:val="0"/>
          <w:color w:val="auto"/>
          <w:sz w:val="24"/>
          <w:highlight w:val="none"/>
        </w:rPr>
        <w:t>国家质量基础（计量、检验检测、标准、认证认可）的重大战略需求开展深入研究，基于多学科、多技能交叉技术平台，发挥质量技术监督学院的工科优势；结合瞄准当前食品</w:t>
      </w:r>
      <w:r>
        <w:rPr>
          <w:rFonts w:hint="eastAsia" w:asciiTheme="minorEastAsia" w:hAnsiTheme="minorEastAsia" w:eastAsiaTheme="minorEastAsia"/>
          <w:b w:val="0"/>
          <w:bCs w:val="0"/>
          <w:color w:val="auto"/>
          <w:sz w:val="24"/>
          <w:highlight w:val="none"/>
          <w:lang w:val="en-US" w:eastAsia="zh-CN"/>
        </w:rPr>
        <w:t>&amp;</w:t>
      </w:r>
      <w:r>
        <w:rPr>
          <w:rFonts w:hint="eastAsia" w:asciiTheme="minorEastAsia" w:hAnsiTheme="minorEastAsia" w:eastAsiaTheme="minorEastAsia"/>
          <w:b w:val="0"/>
          <w:bCs w:val="0"/>
          <w:color w:val="auto"/>
          <w:sz w:val="24"/>
          <w:highlight w:val="none"/>
        </w:rPr>
        <w:t>药品质量安全、疾病诊断、医药产业</w:t>
      </w:r>
      <w:r>
        <w:rPr>
          <w:rFonts w:hint="eastAsia" w:asciiTheme="minorEastAsia" w:hAnsiTheme="minorEastAsia" w:eastAsiaTheme="minorEastAsia"/>
          <w:b w:val="0"/>
          <w:bCs w:val="0"/>
          <w:color w:val="auto"/>
          <w:sz w:val="24"/>
          <w:highlight w:val="none"/>
          <w:lang w:val="en-US" w:eastAsia="zh-CN"/>
        </w:rPr>
        <w:t>等</w:t>
      </w:r>
      <w:r>
        <w:rPr>
          <w:rFonts w:hint="eastAsia" w:asciiTheme="minorEastAsia" w:hAnsiTheme="minorEastAsia" w:eastAsiaTheme="minorEastAsia"/>
          <w:b w:val="0"/>
          <w:bCs w:val="0"/>
          <w:color w:val="auto"/>
          <w:sz w:val="24"/>
          <w:highlight w:val="none"/>
        </w:rPr>
        <w:t>热点领域，加强</w:t>
      </w:r>
      <w:r>
        <w:rPr>
          <w:rFonts w:hint="eastAsia" w:asciiTheme="minorEastAsia" w:hAnsiTheme="minorEastAsia" w:eastAsiaTheme="minorEastAsia"/>
          <w:b w:val="0"/>
          <w:bCs w:val="0"/>
          <w:color w:val="auto"/>
          <w:sz w:val="24"/>
          <w:highlight w:val="none"/>
          <w:lang w:val="en-US" w:eastAsia="zh-CN"/>
        </w:rPr>
        <w:t>数智化检测、</w:t>
      </w:r>
      <w:r>
        <w:rPr>
          <w:rFonts w:hint="eastAsia" w:asciiTheme="minorEastAsia" w:hAnsiTheme="minorEastAsia" w:eastAsiaTheme="minorEastAsia"/>
          <w:b w:val="0"/>
          <w:bCs w:val="0"/>
          <w:color w:val="auto"/>
          <w:sz w:val="24"/>
          <w:highlight w:val="none"/>
        </w:rPr>
        <w:t>智能传感、生物、材料、物理、化学等各领域交叉融合，围绕</w:t>
      </w:r>
      <w:r>
        <w:rPr>
          <w:rFonts w:hint="eastAsia" w:asciiTheme="minorEastAsia" w:hAnsiTheme="minorEastAsia" w:eastAsiaTheme="minorEastAsia"/>
          <w:b/>
          <w:bCs/>
          <w:color w:val="auto"/>
          <w:sz w:val="24"/>
          <w:highlight w:val="none"/>
        </w:rPr>
        <w:t>生物计量</w:t>
      </w:r>
      <w:r>
        <w:rPr>
          <w:rFonts w:hint="eastAsia" w:asciiTheme="minorEastAsia" w:hAnsiTheme="minorEastAsia" w:eastAsiaTheme="minorEastAsia"/>
          <w:b/>
          <w:bCs/>
          <w:color w:val="auto"/>
          <w:sz w:val="24"/>
          <w:highlight w:val="none"/>
          <w:lang w:eastAsia="zh-CN"/>
        </w:rPr>
        <w:t>、</w:t>
      </w:r>
      <w:r>
        <w:rPr>
          <w:rFonts w:hint="eastAsia" w:asciiTheme="minorEastAsia" w:hAnsiTheme="minorEastAsia" w:eastAsiaTheme="minorEastAsia"/>
          <w:b/>
          <w:bCs/>
          <w:color w:val="auto"/>
          <w:sz w:val="24"/>
          <w:highlight w:val="none"/>
        </w:rPr>
        <w:t>食</w:t>
      </w:r>
      <w:r>
        <w:rPr>
          <w:rFonts w:hint="eastAsia" w:asciiTheme="minorEastAsia" w:hAnsiTheme="minorEastAsia" w:eastAsiaTheme="minorEastAsia"/>
          <w:b/>
          <w:bCs/>
          <w:color w:val="auto"/>
          <w:sz w:val="24"/>
          <w:highlight w:val="none"/>
          <w:lang w:val="en-US" w:eastAsia="zh-CN"/>
        </w:rPr>
        <w:t>品&amp;药品质量</w:t>
      </w:r>
      <w:r>
        <w:rPr>
          <w:rFonts w:hint="eastAsia" w:asciiTheme="minorEastAsia" w:hAnsiTheme="minorEastAsia" w:eastAsiaTheme="minorEastAsia"/>
          <w:b/>
          <w:bCs/>
          <w:color w:val="auto"/>
          <w:sz w:val="24"/>
          <w:highlight w:val="none"/>
        </w:rPr>
        <w:t>安全</w:t>
      </w:r>
      <w:r>
        <w:rPr>
          <w:rFonts w:hint="eastAsia" w:asciiTheme="minorEastAsia" w:hAnsiTheme="minorEastAsia" w:eastAsiaTheme="minorEastAsia"/>
          <w:b w:val="0"/>
          <w:bCs w:val="0"/>
          <w:color w:val="auto"/>
          <w:sz w:val="24"/>
          <w:highlight w:val="none"/>
        </w:rPr>
        <w:t>等方面开展前沿应用与基础研究</w:t>
      </w:r>
      <w:r>
        <w:rPr>
          <w:rFonts w:hint="eastAsia" w:asciiTheme="minorEastAsia" w:hAnsiTheme="minorEastAsia" w:eastAsiaTheme="minorEastAsia"/>
          <w:b w:val="0"/>
          <w:bCs w:val="0"/>
          <w:color w:val="auto"/>
          <w:sz w:val="24"/>
          <w:highlight w:val="none"/>
          <w:lang w:eastAsia="zh-CN"/>
        </w:rPr>
        <w:t>，</w:t>
      </w:r>
      <w:r>
        <w:rPr>
          <w:rFonts w:hint="eastAsia" w:asciiTheme="minorEastAsia" w:hAnsiTheme="minorEastAsia" w:eastAsiaTheme="minorEastAsia"/>
          <w:b w:val="0"/>
          <w:bCs w:val="0"/>
          <w:color w:val="auto"/>
          <w:sz w:val="24"/>
          <w:highlight w:val="none"/>
        </w:rPr>
        <w:t>形成了计量、质量控制、标准</w:t>
      </w:r>
      <w:r>
        <w:rPr>
          <w:rFonts w:hint="eastAsia" w:asciiTheme="minorEastAsia" w:hAnsiTheme="minorEastAsia" w:eastAsiaTheme="minorEastAsia"/>
          <w:b w:val="0"/>
          <w:bCs w:val="0"/>
          <w:color w:val="auto"/>
          <w:sz w:val="24"/>
          <w:highlight w:val="none"/>
          <w:lang w:val="en-US" w:eastAsia="zh-CN"/>
        </w:rPr>
        <w:t>化</w:t>
      </w:r>
      <w:r>
        <w:rPr>
          <w:rFonts w:hint="eastAsia" w:asciiTheme="minorEastAsia" w:hAnsiTheme="minorEastAsia" w:eastAsiaTheme="minorEastAsia"/>
          <w:b w:val="0"/>
          <w:bCs w:val="0"/>
          <w:color w:val="auto"/>
          <w:sz w:val="24"/>
          <w:highlight w:val="none"/>
        </w:rPr>
        <w:t>协调发展的人才培养体系。</w:t>
      </w:r>
      <w:r>
        <w:rPr>
          <w:rFonts w:hint="eastAsia" w:asciiTheme="minorEastAsia" w:hAnsiTheme="minorEastAsia" w:eastAsiaTheme="minorEastAsia"/>
          <w:color w:val="auto"/>
          <w:sz w:val="24"/>
          <w:highlight w:val="none"/>
        </w:rPr>
        <w:t>坚持用习近平新时代中国特色社会主义思想铸魂育人，扎实推进党的创新理论进教材、进课堂、进头脑，加强思想政治教育，提升研究生思想政治水平。围绕本学科专业人才培养目标，科学构建育人体系，践行社会主义核心价值观。</w:t>
      </w:r>
    </w:p>
    <w:p w14:paraId="3C7659B2">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三、研究方向</w:t>
      </w:r>
    </w:p>
    <w:p w14:paraId="76B3657B">
      <w:pPr>
        <w:spacing w:line="360" w:lineRule="auto"/>
        <w:ind w:firstLine="482" w:firstLineChars="200"/>
        <w:rPr>
          <w:rFonts w:hint="eastAsia" w:asciiTheme="minorEastAsia" w:hAnsiTheme="minorEastAsia" w:eastAsiaTheme="minorEastAsia"/>
          <w:b/>
          <w:bCs/>
          <w:color w:val="auto"/>
          <w:sz w:val="24"/>
          <w:highlight w:val="none"/>
          <w:lang w:eastAsia="zh-CN"/>
        </w:rPr>
      </w:pPr>
      <w:r>
        <w:rPr>
          <w:rFonts w:asciiTheme="minorEastAsia" w:hAnsiTheme="minorEastAsia" w:eastAsiaTheme="minorEastAsia"/>
          <w:b/>
          <w:bCs/>
          <w:color w:val="auto"/>
          <w:sz w:val="24"/>
          <w:highlight w:val="none"/>
        </w:rPr>
        <w:t>1</w:t>
      </w:r>
      <w:r>
        <w:rPr>
          <w:rFonts w:hint="eastAsia" w:asciiTheme="minorEastAsia" w:hAnsiTheme="minorEastAsia" w:eastAsiaTheme="minorEastAsia"/>
          <w:b/>
          <w:bCs/>
          <w:color w:val="auto"/>
          <w:sz w:val="24"/>
          <w:highlight w:val="none"/>
        </w:rPr>
        <w:t>. 食品质量</w:t>
      </w:r>
      <w:r>
        <w:rPr>
          <w:rFonts w:hint="eastAsia" w:asciiTheme="minorEastAsia" w:hAnsiTheme="minorEastAsia" w:eastAsiaTheme="minorEastAsia"/>
          <w:b/>
          <w:bCs/>
          <w:color w:val="auto"/>
          <w:sz w:val="24"/>
          <w:highlight w:val="none"/>
          <w:lang w:eastAsia="zh-CN"/>
        </w:rPr>
        <w:t>检测</w:t>
      </w:r>
      <w:r>
        <w:rPr>
          <w:rFonts w:hint="eastAsia" w:asciiTheme="minorEastAsia" w:hAnsiTheme="minorEastAsia" w:eastAsiaTheme="minorEastAsia"/>
          <w:b/>
          <w:bCs/>
          <w:color w:val="auto"/>
          <w:sz w:val="24"/>
          <w:highlight w:val="none"/>
          <w:lang w:val="en-US" w:eastAsia="zh-CN"/>
        </w:rPr>
        <w:t>技术</w:t>
      </w:r>
    </w:p>
    <w:p w14:paraId="25201F8A">
      <w:pPr>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本方向围绕国家食品质量与安全领域中计量检测及标准化体系建设的需求，重点在食品质量检测方法及仪器、食品质量安全控制、食品生产及质量管理、食品原产地鉴别方法等领域展开研究，具有鲜明的质量管控特色。以分析化学和质量管理学为基础，融合统计学、计量学、生物学、电子信息</w:t>
      </w:r>
      <w:r>
        <w:rPr>
          <w:rFonts w:hint="eastAsia" w:asciiTheme="minorEastAsia" w:hAnsiTheme="minorEastAsia" w:eastAsiaTheme="minorEastAsia"/>
          <w:color w:val="auto"/>
          <w:sz w:val="24"/>
          <w:highlight w:val="none"/>
          <w:lang w:val="en-US" w:eastAsia="zh-CN"/>
        </w:rPr>
        <w:t>学</w:t>
      </w:r>
      <w:r>
        <w:rPr>
          <w:rFonts w:hint="eastAsia" w:asciiTheme="minorEastAsia" w:hAnsiTheme="minorEastAsia" w:eastAsiaTheme="minorEastAsia"/>
          <w:color w:val="auto"/>
          <w:sz w:val="24"/>
          <w:highlight w:val="none"/>
          <w:lang w:eastAsia="zh-CN"/>
        </w:rPr>
        <w:t>、</w:t>
      </w:r>
      <w:r>
        <w:rPr>
          <w:rFonts w:hint="eastAsia" w:asciiTheme="minorEastAsia" w:hAnsiTheme="minorEastAsia" w:eastAsiaTheme="minorEastAsia"/>
          <w:color w:val="auto"/>
          <w:sz w:val="24"/>
          <w:highlight w:val="none"/>
          <w:lang w:val="en-US" w:eastAsia="zh-CN"/>
        </w:rPr>
        <w:t>人工智能</w:t>
      </w:r>
      <w:r>
        <w:rPr>
          <w:rFonts w:hint="eastAsia" w:asciiTheme="minorEastAsia" w:hAnsiTheme="minorEastAsia" w:eastAsiaTheme="minorEastAsia"/>
          <w:color w:val="auto"/>
          <w:sz w:val="24"/>
          <w:highlight w:val="none"/>
        </w:rPr>
        <w:t>等学科知识，在食品违禁和危害</w:t>
      </w:r>
      <w:r>
        <w:rPr>
          <w:rFonts w:hint="eastAsia" w:asciiTheme="minorEastAsia" w:hAnsiTheme="minorEastAsia" w:eastAsiaTheme="minorEastAsia"/>
          <w:color w:val="auto"/>
          <w:sz w:val="24"/>
          <w:highlight w:val="none"/>
          <w:lang w:val="en-US" w:eastAsia="zh-CN"/>
        </w:rPr>
        <w:t>物</w:t>
      </w:r>
      <w:r>
        <w:rPr>
          <w:rFonts w:hint="eastAsia" w:asciiTheme="minorEastAsia" w:hAnsiTheme="minorEastAsia" w:eastAsiaTheme="minorEastAsia"/>
          <w:color w:val="auto"/>
          <w:sz w:val="24"/>
          <w:highlight w:val="none"/>
        </w:rPr>
        <w:t>残留成分痕量分析、食品质量控制关键技术、地理标志产品产地溯源方法等特色研究课题中展开实训，培养一批基础扎实、视野开阔的食品质量管控领域专业人才。</w:t>
      </w:r>
    </w:p>
    <w:p w14:paraId="6C59976E">
      <w:pPr>
        <w:spacing w:line="360" w:lineRule="auto"/>
        <w:ind w:firstLine="482" w:firstLineChars="200"/>
        <w:rPr>
          <w:rFonts w:asciiTheme="minorEastAsia" w:hAnsiTheme="minorEastAsia" w:eastAsiaTheme="minorEastAsia"/>
          <w:b/>
          <w:bCs/>
          <w:color w:val="auto"/>
          <w:sz w:val="24"/>
          <w:highlight w:val="none"/>
        </w:rPr>
      </w:pPr>
      <w:r>
        <w:rPr>
          <w:rFonts w:asciiTheme="minorEastAsia" w:hAnsiTheme="minorEastAsia" w:eastAsiaTheme="minorEastAsia"/>
          <w:b/>
          <w:bCs/>
          <w:color w:val="auto"/>
          <w:sz w:val="24"/>
          <w:highlight w:val="none"/>
        </w:rPr>
        <w:t>2.</w:t>
      </w:r>
      <w:r>
        <w:rPr>
          <w:rFonts w:hint="eastAsia" w:asciiTheme="minorEastAsia" w:hAnsiTheme="minorEastAsia" w:eastAsiaTheme="minorEastAsia"/>
          <w:b/>
          <w:bCs/>
          <w:color w:val="auto"/>
          <w:sz w:val="24"/>
          <w:highlight w:val="none"/>
        </w:rPr>
        <w:t xml:space="preserve"> 生物医药分析技术与仪器</w:t>
      </w:r>
    </w:p>
    <w:p w14:paraId="1FD36AB8">
      <w:pPr>
        <w:spacing w:line="360" w:lineRule="auto"/>
        <w:ind w:firstLine="480" w:firstLineChars="200"/>
        <w:rPr>
          <w:rFonts w:eastAsiaTheme="minorEastAsia"/>
          <w:color w:val="auto"/>
          <w:sz w:val="24"/>
          <w:highlight w:val="none"/>
        </w:rPr>
      </w:pPr>
      <w:r>
        <w:rPr>
          <w:rFonts w:hint="eastAsia" w:eastAsiaTheme="minorEastAsia"/>
          <w:color w:val="auto"/>
          <w:sz w:val="24"/>
          <w:highlight w:val="none"/>
        </w:rPr>
        <w:t>本方向围绕国家</w:t>
      </w:r>
      <w:r>
        <w:rPr>
          <w:rFonts w:hint="eastAsia" w:eastAsiaTheme="minorEastAsia"/>
          <w:color w:val="auto"/>
          <w:sz w:val="24"/>
          <w:highlight w:val="none"/>
          <w:lang w:eastAsia="zh-CN"/>
        </w:rPr>
        <w:t>生物医药</w:t>
      </w:r>
      <w:r>
        <w:rPr>
          <w:rFonts w:hint="eastAsia" w:eastAsiaTheme="minorEastAsia"/>
          <w:color w:val="auto"/>
          <w:sz w:val="24"/>
          <w:highlight w:val="none"/>
        </w:rPr>
        <w:t>安全发展规划提出的重要方向，结合最新产业及技术发展需求，重点开展生物药品的评价技术及危害控制方法、重大疾病体外诊断检测和质量评价研究。以生物化学与仪器分析为基础，融合仪器科学与技术、光学、材料科学等理工多学科交叉技术，结合微流控分析芯片和纳米光学传感器技术，构建新型智能化、集成化、微型化生物传感系统，致力于培养具有生物医药专业基础扎实、理论功底深厚、实践能力强的高层次教学科研与工程技术人才。</w:t>
      </w:r>
    </w:p>
    <w:p w14:paraId="786F577A">
      <w:pPr>
        <w:spacing w:line="360" w:lineRule="auto"/>
        <w:ind w:firstLine="482" w:firstLineChars="200"/>
        <w:rPr>
          <w:rFonts w:asciiTheme="minorEastAsia" w:hAnsiTheme="minorEastAsia" w:eastAsiaTheme="minorEastAsia"/>
          <w:b/>
          <w:bCs/>
          <w:color w:val="auto"/>
          <w:sz w:val="24"/>
          <w:highlight w:val="none"/>
        </w:rPr>
      </w:pPr>
      <w:r>
        <w:rPr>
          <w:rFonts w:asciiTheme="minorEastAsia" w:hAnsiTheme="minorEastAsia" w:eastAsiaTheme="minorEastAsia"/>
          <w:b/>
          <w:bCs/>
          <w:color w:val="auto"/>
          <w:sz w:val="24"/>
          <w:highlight w:val="none"/>
        </w:rPr>
        <w:t>3</w:t>
      </w:r>
      <w:r>
        <w:rPr>
          <w:rFonts w:hint="eastAsia" w:asciiTheme="minorEastAsia" w:hAnsiTheme="minorEastAsia" w:eastAsiaTheme="minorEastAsia"/>
          <w:b/>
          <w:bCs/>
          <w:color w:val="auto"/>
          <w:sz w:val="24"/>
          <w:highlight w:val="none"/>
        </w:rPr>
        <w:t>. 医药产品质量控制与评价</w:t>
      </w:r>
    </w:p>
    <w:p w14:paraId="747F5F84">
      <w:pPr>
        <w:spacing w:line="360" w:lineRule="auto"/>
        <w:ind w:firstLine="480" w:firstLineChars="200"/>
        <w:rPr>
          <w:rFonts w:eastAsiaTheme="minorEastAsia"/>
          <w:i/>
          <w:color w:val="auto"/>
          <w:sz w:val="24"/>
          <w:highlight w:val="none"/>
        </w:rPr>
      </w:pPr>
      <w:r>
        <w:rPr>
          <w:rFonts w:hint="eastAsia" w:asciiTheme="minorEastAsia" w:hAnsiTheme="minorEastAsia" w:eastAsiaTheme="minorEastAsia"/>
          <w:color w:val="auto"/>
          <w:sz w:val="24"/>
          <w:highlight w:val="none"/>
        </w:rPr>
        <w:t>本方向围绕医药质量控制分析，运用现代分析技术和手段（分析化学、中药化学、理化学、生物化学、化学计量学、生物信息学），研究适合医药质量评价，安全控制和风险评估的质量技术。以医药产品规范化、标准化、现代化为目标，涵盖色谱检测技术、光谱检测技术、电化学检测技术、模拟计算、大数据分析与人工智能技术等综合应用。研究包括农兽药残留及重金属检测技术、中药材掺杂快速检验技术、医药计量标准化、医药废弃物处理过程质量评价和风险评估，完善和提升医药及民族药质量控制研究技术体系。致力于培养</w:t>
      </w:r>
      <w:r>
        <w:rPr>
          <w:rFonts w:hint="eastAsia" w:eastAsiaTheme="minorEastAsia"/>
          <w:color w:val="auto"/>
          <w:sz w:val="24"/>
          <w:highlight w:val="none"/>
        </w:rPr>
        <w:t>理论基础扎实、具有生物计量思维，</w:t>
      </w:r>
      <w:r>
        <w:rPr>
          <w:rFonts w:hint="eastAsia" w:asciiTheme="minorEastAsia" w:hAnsiTheme="minorEastAsia" w:eastAsiaTheme="minorEastAsia"/>
          <w:color w:val="auto"/>
          <w:sz w:val="24"/>
          <w:highlight w:val="none"/>
        </w:rPr>
        <w:t>科研能力强，且掌握医药产品质量评价与控制方法的研究应用型人才。</w:t>
      </w:r>
    </w:p>
    <w:p w14:paraId="78EF2E27">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四、学制及学习年限</w:t>
      </w:r>
    </w:p>
    <w:p w14:paraId="6DCBA6D4">
      <w:pPr>
        <w:spacing w:line="360" w:lineRule="auto"/>
        <w:ind w:firstLine="480" w:firstLineChars="200"/>
        <w:rPr>
          <w:rFonts w:eastAsiaTheme="minorEastAsia"/>
          <w:i/>
          <w:color w:val="auto"/>
          <w:sz w:val="24"/>
          <w:highlight w:val="none"/>
        </w:rPr>
      </w:pPr>
      <w:r>
        <w:rPr>
          <w:rFonts w:eastAsiaTheme="minorEastAsia"/>
          <w:color w:val="auto"/>
          <w:sz w:val="24"/>
          <w:highlight w:val="none"/>
        </w:rPr>
        <w:t>本专业学制为3年，在校最长学习年限（含休学）不超过6年。</w:t>
      </w:r>
    </w:p>
    <w:p w14:paraId="6E676E5B">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五、培养目标</w:t>
      </w:r>
    </w:p>
    <w:p w14:paraId="5DCD03A7">
      <w:pPr>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1.树立正确的中国特色社会主义核心价值观，拥护中国共产党的领导，具有坚定的理想信念，高尚的道德情操，优良的学术作风，高度的社会责任感，努力借助于本专业知识服务于科技进步和社会发展。</w:t>
      </w:r>
    </w:p>
    <w:p w14:paraId="504F96F8">
      <w:pPr>
        <w:spacing w:line="360" w:lineRule="auto"/>
        <w:ind w:firstLine="480" w:firstLineChars="20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2.应在生物与医药领域具有独立从事科学研究工作的能力以及团队合作能力，有严谨求实的科学作风。了解学科领域的发展方向及国际的学术研究前沿，能够从事理论和实验研究，具有发现问题、分析问题和解决问题的能力，具有独立从事科学研究和技术开发的能力，并做成具有相对独立的研究成果。培养具有良好的基础理论、扎实的专业技能、突出的实践能力和优秀的综合素质的高层次专业技能型人才。</w:t>
      </w:r>
    </w:p>
    <w:p w14:paraId="3A0A8E0E">
      <w:pPr>
        <w:spacing w:line="360" w:lineRule="auto"/>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3.至少掌握一门外国语，能熟练阅读本专业的外文资料，具有撰写学术论文和进行国际学术交流的能力。</w:t>
      </w:r>
    </w:p>
    <w:p w14:paraId="0D3CEA5A">
      <w:pPr>
        <w:spacing w:line="360" w:lineRule="auto"/>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4.具有良好的团队意识和团队合作精神</w:t>
      </w:r>
      <w:r>
        <w:rPr>
          <w:rFonts w:ascii="Tahoma" w:hAnsi="Tahoma" w:cs="Tahoma" w:eastAsiaTheme="minorEastAsia"/>
          <w:color w:val="auto"/>
          <w:sz w:val="24"/>
          <w:highlight w:val="none"/>
        </w:rPr>
        <w:t>﻿</w:t>
      </w:r>
      <w:r>
        <w:rPr>
          <w:rFonts w:hint="eastAsia" w:asciiTheme="minorEastAsia" w:hAnsiTheme="minorEastAsia" w:eastAsiaTheme="minorEastAsia"/>
          <w:color w:val="auto"/>
          <w:sz w:val="24"/>
          <w:highlight w:val="none"/>
        </w:rPr>
        <w:t>，恪守学术道德规范。</w:t>
      </w:r>
    </w:p>
    <w:p w14:paraId="3AEEBA09">
      <w:pPr>
        <w:spacing w:line="360" w:lineRule="auto"/>
        <w:ind w:firstLine="480"/>
        <w:rPr>
          <w:rFonts w:asciiTheme="minorEastAsia" w:hAnsiTheme="minorEastAsia" w:eastAsiaTheme="minorEastAsia"/>
          <w:color w:val="auto"/>
          <w:sz w:val="24"/>
          <w:highlight w:val="none"/>
        </w:rPr>
      </w:pPr>
      <w:r>
        <w:rPr>
          <w:rFonts w:hint="eastAsia" w:asciiTheme="minorEastAsia" w:hAnsiTheme="minorEastAsia" w:eastAsiaTheme="minorEastAsia"/>
          <w:color w:val="auto"/>
          <w:sz w:val="24"/>
          <w:highlight w:val="none"/>
        </w:rPr>
        <w:t>5.具有健康的身体和良好的心理素质。</w:t>
      </w:r>
    </w:p>
    <w:p w14:paraId="3068B3AE">
      <w:pPr>
        <w:spacing w:line="360" w:lineRule="auto"/>
        <w:ind w:firstLine="480"/>
        <w:rPr>
          <w:rFonts w:eastAsiaTheme="minorEastAsia"/>
          <w:i/>
          <w:color w:val="auto"/>
          <w:sz w:val="24"/>
          <w:highlight w:val="none"/>
        </w:rPr>
      </w:pPr>
      <w:r>
        <w:rPr>
          <w:rFonts w:hint="eastAsia" w:asciiTheme="minorEastAsia" w:hAnsiTheme="minorEastAsia" w:eastAsiaTheme="minorEastAsia"/>
          <w:color w:val="auto"/>
          <w:sz w:val="24"/>
          <w:highlight w:val="none"/>
        </w:rPr>
        <w:t>6.培养德智体美劳全面发展的社会主义事业接班人。</w:t>
      </w:r>
    </w:p>
    <w:p w14:paraId="737A079A">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六、培养方式</w:t>
      </w:r>
    </w:p>
    <w:p w14:paraId="5E76D2C1">
      <w:pPr>
        <w:spacing w:line="360" w:lineRule="auto"/>
        <w:ind w:firstLine="480"/>
        <w:rPr>
          <w:rFonts w:hint="default" w:asciiTheme="minorEastAsia" w:hAnsiTheme="minorEastAsia" w:eastAsiaTheme="minorEastAsia"/>
          <w:bCs/>
          <w:i w:val="0"/>
          <w:iCs/>
          <w:color w:val="auto"/>
          <w:sz w:val="24"/>
          <w:highlight w:val="none"/>
          <w:lang w:val="en-US" w:eastAsia="zh-CN"/>
        </w:rPr>
      </w:pPr>
      <w:r>
        <w:rPr>
          <w:rFonts w:hint="eastAsia" w:asciiTheme="minorEastAsia" w:hAnsiTheme="minorEastAsia" w:eastAsiaTheme="minorEastAsia"/>
          <w:color w:val="auto"/>
          <w:sz w:val="24"/>
          <w:highlight w:val="none"/>
          <w:lang w:val="en-US" w:eastAsia="zh-CN"/>
        </w:rPr>
        <w:t>以导师负责制为核心，导师作为第一责任人，全面把控培养质量。组建由领域内权威专家及行业骨干构成的指导小组，提供精准化指导。结合国家质量基础领域重大需求，指导研究生制定课程学习计划，夯实学科专业基础，并在学位论文选题、开题、撰写等环节，融入行业实践与学科前沿动态，将严谨求实的治学态度与精益求精的工匠精神贯穿培养全程。</w:t>
      </w:r>
    </w:p>
    <w:p w14:paraId="10BA5FC7">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七、</w:t>
      </w:r>
      <w:r>
        <w:rPr>
          <w:rFonts w:eastAsia="黑体"/>
          <w:bCs/>
          <w:color w:val="auto"/>
          <w:sz w:val="28"/>
          <w:szCs w:val="28"/>
          <w:highlight w:val="none"/>
        </w:rPr>
        <w:t>中期筛选</w:t>
      </w:r>
    </w:p>
    <w:p w14:paraId="4E277B59">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在完成培养方案规定的课程学习、考核成绩合格、获得规定的学分后，按照《河北大学研究生中期筛选管理办法》（校政字〔2021〕15号）的相关规定，组织开展中期筛选工作。</w:t>
      </w:r>
    </w:p>
    <w:p w14:paraId="49C0B294">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八</w:t>
      </w:r>
      <w:r>
        <w:rPr>
          <w:rFonts w:eastAsia="黑体"/>
          <w:bCs/>
          <w:color w:val="auto"/>
          <w:sz w:val="28"/>
          <w:szCs w:val="28"/>
          <w:highlight w:val="none"/>
        </w:rPr>
        <w:t>、学位（毕业）论文</w:t>
      </w:r>
    </w:p>
    <w:p w14:paraId="6B93763F">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i w:val="0"/>
          <w:iCs w:val="0"/>
          <w:color w:val="auto"/>
          <w:kern w:val="0"/>
          <w:sz w:val="24"/>
          <w:highlight w:val="none"/>
          <w:u w:val="none"/>
          <w:lang w:val="en-US" w:eastAsia="zh-CN"/>
        </w:rPr>
      </w:pPr>
      <w:r>
        <w:rPr>
          <w:bCs/>
          <w:color w:val="auto"/>
          <w:kern w:val="0"/>
          <w:sz w:val="24"/>
          <w:highlight w:val="none"/>
        </w:rPr>
        <w:t>1.总体要求：</w:t>
      </w:r>
      <w:r>
        <w:rPr>
          <w:color w:val="auto"/>
          <w:kern w:val="0"/>
          <w:sz w:val="24"/>
          <w:highlight w:val="none"/>
        </w:rPr>
        <w:t>按照《河北大学关于开展2025版研究生培养方案修订工作的指导意见》（校政字</w:t>
      </w:r>
      <w:r>
        <w:rPr>
          <w:rFonts w:eastAsiaTheme="minorEastAsia"/>
          <w:bCs/>
          <w:color w:val="auto"/>
          <w:sz w:val="24"/>
          <w:highlight w:val="none"/>
        </w:rPr>
        <w:t>〔2025〕</w:t>
      </w:r>
      <w:r>
        <w:rPr>
          <w:rFonts w:hint="eastAsia" w:eastAsiaTheme="minorEastAsia"/>
          <w:bCs/>
          <w:color w:val="auto"/>
          <w:sz w:val="24"/>
          <w:highlight w:val="none"/>
          <w:lang w:val="en-US" w:eastAsia="zh-CN"/>
        </w:rPr>
        <w:t>9</w:t>
      </w:r>
      <w:r>
        <w:rPr>
          <w:rFonts w:eastAsiaTheme="minorEastAsia"/>
          <w:bCs/>
          <w:color w:val="auto"/>
          <w:sz w:val="24"/>
          <w:highlight w:val="none"/>
        </w:rPr>
        <w:t>号</w:t>
      </w:r>
      <w:r>
        <w:rPr>
          <w:color w:val="auto"/>
          <w:kern w:val="0"/>
          <w:sz w:val="24"/>
          <w:highlight w:val="none"/>
        </w:rPr>
        <w:t>）规定，硕士研究生论文开题与答辩时间间隔原则上不少于12个月。</w:t>
      </w:r>
      <w:r>
        <w:rPr>
          <w:i w:val="0"/>
          <w:iCs w:val="0"/>
          <w:color w:val="auto"/>
          <w:kern w:val="0"/>
          <w:sz w:val="24"/>
          <w:highlight w:val="none"/>
          <w:u w:val="none"/>
        </w:rPr>
        <w:t>学位（毕业）论文应当表明作者具有独立从事学术研究工作的能力，鼓励硕士研究生参与科学研究，取得创新性成果</w:t>
      </w:r>
      <w:r>
        <w:rPr>
          <w:rFonts w:hint="eastAsia"/>
          <w:i w:val="0"/>
          <w:iCs w:val="0"/>
          <w:color w:val="auto"/>
          <w:kern w:val="0"/>
          <w:sz w:val="24"/>
          <w:highlight w:val="none"/>
          <w:u w:val="none"/>
          <w:lang w:eastAsia="zh-CN"/>
        </w:rPr>
        <w:t>。</w:t>
      </w:r>
    </w:p>
    <w:p w14:paraId="571F53F1">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i w:val="0"/>
          <w:iCs w:val="0"/>
          <w:color w:val="auto"/>
          <w:kern w:val="0"/>
          <w:sz w:val="24"/>
          <w:highlight w:val="none"/>
        </w:rPr>
      </w:pPr>
      <w:r>
        <w:rPr>
          <w:bCs/>
          <w:i w:val="0"/>
          <w:iCs w:val="0"/>
          <w:color w:val="auto"/>
          <w:kern w:val="0"/>
          <w:sz w:val="24"/>
          <w:highlight w:val="none"/>
        </w:rPr>
        <w:t>2.开题：</w:t>
      </w:r>
      <w:r>
        <w:rPr>
          <w:i w:val="0"/>
          <w:iCs w:val="0"/>
          <w:color w:val="auto"/>
          <w:kern w:val="0"/>
          <w:sz w:val="24"/>
          <w:highlight w:val="none"/>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3576DD3">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i w:val="0"/>
          <w:iCs w:val="0"/>
          <w:color w:val="auto"/>
          <w:kern w:val="0"/>
          <w:sz w:val="24"/>
          <w:highlight w:val="none"/>
          <w:lang w:eastAsia="zh-CN"/>
        </w:rPr>
      </w:pPr>
      <w:r>
        <w:rPr>
          <w:i w:val="0"/>
          <w:iCs w:val="0"/>
          <w:color w:val="auto"/>
          <w:kern w:val="0"/>
          <w:sz w:val="24"/>
          <w:highlight w:val="none"/>
        </w:rPr>
        <w:t>原则上在入学后第3学期（最迟不超过第4学期）完成开题。开题由3-5名具有高级专业技术职务人员参加，以学术报告的方式进行。</w:t>
      </w:r>
      <w:r>
        <w:rPr>
          <w:rFonts w:hint="eastAsia"/>
          <w:i w:val="0"/>
          <w:iCs w:val="0"/>
          <w:color w:val="auto"/>
          <w:kern w:val="0"/>
          <w:sz w:val="24"/>
          <w:highlight w:val="none"/>
          <w:lang w:eastAsia="zh-CN"/>
        </w:rPr>
        <w:t>具体参照《</w:t>
      </w:r>
      <w:r>
        <w:rPr>
          <w:i w:val="0"/>
          <w:iCs w:val="0"/>
          <w:color w:val="auto"/>
          <w:kern w:val="0"/>
          <w:sz w:val="24"/>
          <w:highlight w:val="none"/>
        </w:rPr>
        <w:t>河北大学硕士研究生开题报告相关要求</w:t>
      </w:r>
      <w:r>
        <w:rPr>
          <w:rFonts w:hint="eastAsia"/>
          <w:i w:val="0"/>
          <w:iCs w:val="0"/>
          <w:color w:val="auto"/>
          <w:kern w:val="0"/>
          <w:sz w:val="24"/>
          <w:highlight w:val="none"/>
          <w:lang w:eastAsia="zh-CN"/>
        </w:rPr>
        <w:t>》执行。</w:t>
      </w:r>
    </w:p>
    <w:p w14:paraId="7B532D3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eastAsiaTheme="minorEastAsia"/>
          <w:bCs/>
          <w:i w:val="0"/>
          <w:iCs w:val="0"/>
          <w:color w:val="auto"/>
          <w:sz w:val="24"/>
          <w:highlight w:val="none"/>
        </w:rPr>
      </w:pPr>
      <w:r>
        <w:rPr>
          <w:rFonts w:hint="eastAsia"/>
          <w:bCs/>
          <w:i w:val="0"/>
          <w:iCs w:val="0"/>
          <w:color w:val="auto"/>
          <w:kern w:val="0"/>
          <w:sz w:val="24"/>
          <w:highlight w:val="none"/>
          <w:lang w:val="en-US" w:eastAsia="zh-CN"/>
        </w:rPr>
        <w:t>3.</w:t>
      </w:r>
      <w:r>
        <w:rPr>
          <w:bCs/>
          <w:i w:val="0"/>
          <w:iCs w:val="0"/>
          <w:color w:val="auto"/>
          <w:kern w:val="0"/>
          <w:sz w:val="24"/>
          <w:highlight w:val="none"/>
        </w:rPr>
        <w:t>中期进展报告：</w:t>
      </w:r>
      <w:r>
        <w:rPr>
          <w:rFonts w:eastAsiaTheme="minorEastAsia"/>
          <w:bCs/>
          <w:i w:val="0"/>
          <w:iCs w:val="0"/>
          <w:color w:val="auto"/>
          <w:sz w:val="24"/>
          <w:highlight w:val="none"/>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2F3578E">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eastAsiaTheme="minorEastAsia"/>
          <w:b w:val="0"/>
          <w:bCs w:val="0"/>
          <w:i w:val="0"/>
          <w:iCs w:val="0"/>
          <w:color w:val="auto"/>
          <w:sz w:val="24"/>
          <w:highlight w:val="none"/>
        </w:rPr>
      </w:pPr>
      <w:r>
        <w:rPr>
          <w:rFonts w:hint="eastAsia"/>
          <w:bCs/>
          <w:i w:val="0"/>
          <w:iCs w:val="0"/>
          <w:color w:val="auto"/>
          <w:kern w:val="0"/>
          <w:sz w:val="24"/>
          <w:highlight w:val="none"/>
          <w:lang w:val="en-US" w:eastAsia="zh-CN"/>
        </w:rPr>
        <w:t>4.</w:t>
      </w:r>
      <w:r>
        <w:rPr>
          <w:bCs/>
          <w:i w:val="0"/>
          <w:iCs w:val="0"/>
          <w:color w:val="auto"/>
          <w:kern w:val="0"/>
          <w:sz w:val="24"/>
          <w:highlight w:val="none"/>
        </w:rPr>
        <w:t>学位申请：</w:t>
      </w:r>
      <w:r>
        <w:rPr>
          <w:rFonts w:eastAsiaTheme="minorEastAsia"/>
          <w:bCs/>
          <w:i w:val="0"/>
          <w:iCs w:val="0"/>
          <w:color w:val="auto"/>
          <w:sz w:val="24"/>
          <w:highlight w:val="none"/>
        </w:rPr>
        <w:t>达到学位授予条件的申请人，经导师同意后，应于答辩前三个月，向学位评定分委员会提出学位申请，提交学位申请材料</w:t>
      </w:r>
      <w:r>
        <w:rPr>
          <w:rFonts w:hint="eastAsia" w:eastAsiaTheme="minorEastAsia"/>
          <w:bCs/>
          <w:i w:val="0"/>
          <w:iCs w:val="0"/>
          <w:color w:val="auto"/>
          <w:sz w:val="24"/>
          <w:highlight w:val="none"/>
          <w:lang w:eastAsia="zh-CN"/>
        </w:rPr>
        <w:t>，</w:t>
      </w:r>
      <w:r>
        <w:rPr>
          <w:rFonts w:hint="eastAsia" w:ascii="宋体" w:hAnsi="宋体" w:eastAsia="宋体" w:cs="宋体"/>
          <w:b w:val="0"/>
          <w:bCs w:val="0"/>
          <w:i w:val="0"/>
          <w:iCs w:val="0"/>
          <w:caps w:val="0"/>
          <w:color w:val="auto"/>
          <w:spacing w:val="0"/>
          <w:sz w:val="24"/>
          <w:szCs w:val="24"/>
          <w:highlight w:val="none"/>
          <w:shd w:val="clear" w:fill="FFFFFF"/>
        </w:rPr>
        <w:t>经</w:t>
      </w:r>
      <w:r>
        <w:rPr>
          <w:rFonts w:hint="eastAsia" w:ascii="宋体" w:hAnsi="宋体" w:cs="宋体"/>
          <w:b w:val="0"/>
          <w:bCs w:val="0"/>
          <w:i w:val="0"/>
          <w:iCs w:val="0"/>
          <w:caps w:val="0"/>
          <w:color w:val="auto"/>
          <w:spacing w:val="0"/>
          <w:sz w:val="24"/>
          <w:szCs w:val="24"/>
          <w:highlight w:val="none"/>
          <w:shd w:val="clear" w:fill="FFFFFF"/>
          <w:lang w:eastAsia="zh-CN"/>
        </w:rPr>
        <w:t>学院</w:t>
      </w:r>
      <w:r>
        <w:rPr>
          <w:rFonts w:hint="eastAsia" w:ascii="宋体" w:hAnsi="宋体" w:eastAsia="宋体" w:cs="宋体"/>
          <w:b w:val="0"/>
          <w:bCs w:val="0"/>
          <w:i w:val="0"/>
          <w:iCs w:val="0"/>
          <w:caps w:val="0"/>
          <w:color w:val="auto"/>
          <w:spacing w:val="0"/>
          <w:sz w:val="24"/>
          <w:szCs w:val="24"/>
          <w:highlight w:val="none"/>
          <w:shd w:val="clear" w:fill="FFFFFF"/>
        </w:rPr>
        <w:t>审查通过后，可进入学位申请流程。学位申请未通过者，须至少半年后才能再次提交学位申请。</w:t>
      </w:r>
    </w:p>
    <w:p w14:paraId="1898FAFD">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eastAsiaTheme="minorEastAsia"/>
          <w:bCs/>
          <w:i w:val="0"/>
          <w:iCs w:val="0"/>
          <w:color w:val="auto"/>
          <w:sz w:val="24"/>
          <w:highlight w:val="none"/>
          <w:lang w:eastAsia="zh-CN"/>
        </w:rPr>
      </w:pPr>
      <w:r>
        <w:rPr>
          <w:rFonts w:hint="eastAsia"/>
          <w:bCs/>
          <w:i w:val="0"/>
          <w:iCs w:val="0"/>
          <w:color w:val="auto"/>
          <w:kern w:val="0"/>
          <w:sz w:val="24"/>
          <w:highlight w:val="none"/>
          <w:lang w:val="en-US" w:eastAsia="zh-CN"/>
        </w:rPr>
        <w:t>5.</w:t>
      </w:r>
      <w:r>
        <w:rPr>
          <w:bCs/>
          <w:i w:val="0"/>
          <w:iCs w:val="0"/>
          <w:color w:val="auto"/>
          <w:kern w:val="0"/>
          <w:sz w:val="24"/>
          <w:highlight w:val="none"/>
        </w:rPr>
        <w:t>预答辩：</w:t>
      </w:r>
      <w:r>
        <w:rPr>
          <w:rFonts w:eastAsiaTheme="minorEastAsia"/>
          <w:bCs/>
          <w:i w:val="0"/>
          <w:iCs w:val="0"/>
          <w:color w:val="auto"/>
          <w:sz w:val="24"/>
          <w:highlight w:val="none"/>
        </w:rPr>
        <w:t>学位申请人须进行学位论文预答辩。预答辩通过者，方可进入学位论文评阅、学位论文答辩等环节。学位（毕业）论文预答辩在正式答辩前3个月进行。</w:t>
      </w:r>
      <w:r>
        <w:rPr>
          <w:rFonts w:hint="eastAsia" w:eastAsiaTheme="minorEastAsia"/>
          <w:bCs/>
          <w:i w:val="0"/>
          <w:iCs w:val="0"/>
          <w:color w:val="auto"/>
          <w:sz w:val="24"/>
          <w:highlight w:val="none"/>
          <w:lang w:eastAsia="zh-CN"/>
        </w:rPr>
        <w:t>具体实施按照《关于进一步加强研究生学位申请及学位论文预答辩工作的通知》执行。</w:t>
      </w:r>
    </w:p>
    <w:p w14:paraId="2BCB00F5">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i w:val="0"/>
          <w:iCs w:val="0"/>
          <w:color w:val="auto"/>
          <w:kern w:val="0"/>
          <w:sz w:val="24"/>
          <w:highlight w:val="none"/>
        </w:rPr>
      </w:pPr>
      <w:r>
        <w:rPr>
          <w:bCs/>
          <w:i w:val="0"/>
          <w:iCs w:val="0"/>
          <w:color w:val="auto"/>
          <w:kern w:val="0"/>
          <w:sz w:val="24"/>
          <w:highlight w:val="none"/>
        </w:rPr>
        <w:t>6.论文评阅：</w:t>
      </w:r>
      <w:r>
        <w:rPr>
          <w:i w:val="0"/>
          <w:iCs w:val="0"/>
          <w:color w:val="auto"/>
          <w:kern w:val="0"/>
          <w:sz w:val="24"/>
          <w:highlight w:val="none"/>
        </w:rPr>
        <w:t>学位（毕业）论文在获得导师组认可，经</w:t>
      </w:r>
      <w:r>
        <w:rPr>
          <w:rFonts w:hint="eastAsia"/>
          <w:i w:val="0"/>
          <w:iCs w:val="0"/>
          <w:color w:val="auto"/>
          <w:kern w:val="0"/>
          <w:sz w:val="24"/>
          <w:highlight w:val="none"/>
          <w:lang w:eastAsia="zh-CN"/>
        </w:rPr>
        <w:t>学院</w:t>
      </w:r>
      <w:r>
        <w:rPr>
          <w:i w:val="0"/>
          <w:iCs w:val="0"/>
          <w:color w:val="auto"/>
          <w:kern w:val="0"/>
          <w:sz w:val="24"/>
          <w:highlight w:val="none"/>
        </w:rPr>
        <w:t>形式审查合格，并通过预答辩，方可提出进入评阅程序的申请。论文评阅在正式答辩前40天由研究生提出，由</w:t>
      </w:r>
      <w:r>
        <w:rPr>
          <w:rFonts w:hint="eastAsia"/>
          <w:i w:val="0"/>
          <w:iCs w:val="0"/>
          <w:color w:val="auto"/>
          <w:kern w:val="0"/>
          <w:sz w:val="24"/>
          <w:highlight w:val="none"/>
          <w:lang w:eastAsia="zh-CN"/>
        </w:rPr>
        <w:t>学院</w:t>
      </w:r>
      <w:r>
        <w:rPr>
          <w:i w:val="0"/>
          <w:iCs w:val="0"/>
          <w:color w:val="auto"/>
          <w:kern w:val="0"/>
          <w:sz w:val="24"/>
          <w:highlight w:val="none"/>
        </w:rPr>
        <w:t>依据相关规定进行匿名评审。评阅结果及异议处理按照《河北大学研究生学位论文或者实践成果评审管理办法》（校政字〔2025〕8号）</w:t>
      </w:r>
      <w:r>
        <w:rPr>
          <w:rFonts w:hint="eastAsia"/>
          <w:i w:val="0"/>
          <w:iCs w:val="0"/>
          <w:color w:val="auto"/>
          <w:kern w:val="0"/>
          <w:sz w:val="24"/>
          <w:highlight w:val="none"/>
          <w:lang w:eastAsia="zh-CN"/>
        </w:rPr>
        <w:t>、《质量技术监督学院硕士研究生学位论文评审实施办法》</w:t>
      </w:r>
      <w:r>
        <w:rPr>
          <w:i w:val="0"/>
          <w:iCs w:val="0"/>
          <w:color w:val="auto"/>
          <w:kern w:val="0"/>
          <w:sz w:val="24"/>
          <w:highlight w:val="none"/>
        </w:rPr>
        <w:t>执行。</w:t>
      </w:r>
    </w:p>
    <w:p w14:paraId="2B43D0F2">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eastAsiaTheme="minorEastAsia"/>
          <w:i/>
          <w:color w:val="auto"/>
          <w:sz w:val="24"/>
          <w:highlight w:val="none"/>
        </w:rPr>
      </w:pPr>
      <w:r>
        <w:rPr>
          <w:bCs/>
          <w:color w:val="auto"/>
          <w:kern w:val="0"/>
          <w:sz w:val="24"/>
          <w:highlight w:val="none"/>
        </w:rPr>
        <w:t>7.答辩：学位（毕业）论文答辩按照</w:t>
      </w:r>
      <w:r>
        <w:rPr>
          <w:color w:val="auto"/>
          <w:kern w:val="0"/>
          <w:sz w:val="24"/>
          <w:highlight w:val="none"/>
        </w:rPr>
        <w:t>《河北大学博士、硕士学位授予工作实施细则》（校政字〔2025〕7号）执行。</w:t>
      </w:r>
    </w:p>
    <w:p w14:paraId="7D39B7CA">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九</w:t>
      </w:r>
      <w:r>
        <w:rPr>
          <w:rFonts w:eastAsia="黑体"/>
          <w:bCs/>
          <w:color w:val="auto"/>
          <w:sz w:val="28"/>
          <w:szCs w:val="28"/>
          <w:highlight w:val="none"/>
        </w:rPr>
        <w:t>、毕业条件</w:t>
      </w:r>
    </w:p>
    <w:p w14:paraId="78F72E77">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1. 课程学习。研究生在规定修业年限内完成培养方案规定的课程学习，考核成绩合格，获得规定的学分。</w:t>
      </w:r>
    </w:p>
    <w:p w14:paraId="766A405B">
      <w:pPr>
        <w:spacing w:line="360" w:lineRule="auto"/>
        <w:ind w:firstLine="480" w:firstLineChars="200"/>
        <w:rPr>
          <w:rFonts w:hint="eastAsia"/>
          <w:bCs/>
          <w:color w:val="auto"/>
          <w:sz w:val="24"/>
          <w:highlight w:val="none"/>
        </w:rPr>
      </w:pPr>
      <w:r>
        <w:rPr>
          <w:rFonts w:eastAsiaTheme="minorEastAsia"/>
          <w:bCs/>
          <w:color w:val="auto"/>
          <w:sz w:val="24"/>
          <w:highlight w:val="none"/>
        </w:rPr>
        <w:t xml:space="preserve">2. </w:t>
      </w:r>
      <w:r>
        <w:rPr>
          <w:bCs/>
          <w:color w:val="auto"/>
          <w:sz w:val="24"/>
          <w:highlight w:val="none"/>
        </w:rPr>
        <w:t>实践活动。</w:t>
      </w:r>
      <w:r>
        <w:rPr>
          <w:rFonts w:hint="eastAsia"/>
          <w:bCs/>
          <w:color w:val="auto"/>
          <w:sz w:val="24"/>
          <w:highlight w:val="none"/>
        </w:rPr>
        <w:t>实践活动包括但不限于教学实践、科研实践、管理实践、社会调查、智库建言、创新创业、学科竞赛等。</w:t>
      </w:r>
    </w:p>
    <w:p w14:paraId="17394A54">
      <w:pPr>
        <w:spacing w:line="360" w:lineRule="auto"/>
        <w:ind w:firstLine="480" w:firstLineChars="200"/>
        <w:rPr>
          <w:bCs/>
          <w:color w:val="auto"/>
          <w:kern w:val="0"/>
          <w:sz w:val="24"/>
          <w:highlight w:val="none"/>
        </w:rPr>
      </w:pPr>
      <w:r>
        <w:rPr>
          <w:bCs/>
          <w:color w:val="auto"/>
          <w:kern w:val="0"/>
          <w:sz w:val="24"/>
          <w:highlight w:val="none"/>
        </w:rPr>
        <w:t>实践活动：参与本专业相关的社会实践，由相关单位出具相关实践证明材料；或组织开展与本专业相关的调查、考察等活动，并提交相关报告。</w:t>
      </w:r>
    </w:p>
    <w:p w14:paraId="3A52E428">
      <w:pPr>
        <w:spacing w:line="360" w:lineRule="auto"/>
        <w:ind w:firstLine="480" w:firstLineChars="200"/>
        <w:rPr>
          <w:rFonts w:eastAsiaTheme="minorEastAsia"/>
          <w:bCs/>
          <w:color w:val="auto"/>
          <w:sz w:val="24"/>
          <w:highlight w:val="none"/>
        </w:rPr>
      </w:pPr>
      <w:r>
        <w:rPr>
          <w:rFonts w:eastAsiaTheme="minorEastAsia"/>
          <w:color w:val="auto"/>
          <w:sz w:val="24"/>
          <w:highlight w:val="none"/>
        </w:rPr>
        <w:t>3. 符合提前毕业条件的研究生，可按照学校相关规定</w:t>
      </w:r>
      <w:r>
        <w:rPr>
          <w:rFonts w:eastAsiaTheme="minorEastAsia"/>
          <w:bCs/>
          <w:color w:val="auto"/>
          <w:sz w:val="24"/>
          <w:highlight w:val="none"/>
        </w:rPr>
        <w:t>申请</w:t>
      </w:r>
      <w:r>
        <w:rPr>
          <w:rFonts w:eastAsiaTheme="minorEastAsia"/>
          <w:color w:val="auto"/>
          <w:sz w:val="24"/>
          <w:highlight w:val="none"/>
        </w:rPr>
        <w:t>提前毕业。</w:t>
      </w:r>
    </w:p>
    <w:p w14:paraId="10021D9E">
      <w:pPr>
        <w:spacing w:line="360" w:lineRule="auto"/>
        <w:ind w:firstLine="480" w:firstLineChars="200"/>
        <w:rPr>
          <w:rFonts w:hint="eastAsia" w:eastAsia="黑体"/>
          <w:bCs/>
          <w:color w:val="auto"/>
          <w:sz w:val="28"/>
          <w:szCs w:val="28"/>
          <w:highlight w:val="none"/>
        </w:rPr>
      </w:pPr>
      <w:r>
        <w:rPr>
          <w:rFonts w:eastAsiaTheme="minorEastAsia"/>
          <w:bCs/>
          <w:color w:val="auto"/>
          <w:sz w:val="24"/>
          <w:highlight w:val="none"/>
        </w:rPr>
        <w:t>4. 论文答辩。学位（毕业）论文经专家评审合格、通过学位（毕业）答辩，符合毕业资格审查后，准予毕业。</w:t>
      </w:r>
    </w:p>
    <w:p w14:paraId="4142C3FE">
      <w:pPr>
        <w:spacing w:line="360" w:lineRule="auto"/>
        <w:ind w:firstLine="560" w:firstLineChars="200"/>
        <w:rPr>
          <w:rFonts w:eastAsia="黑体"/>
          <w:bCs/>
          <w:color w:val="auto"/>
          <w:sz w:val="28"/>
          <w:szCs w:val="28"/>
          <w:highlight w:val="none"/>
        </w:rPr>
      </w:pPr>
      <w:r>
        <w:rPr>
          <w:rFonts w:hint="eastAsia" w:eastAsia="黑体"/>
          <w:bCs/>
          <w:color w:val="auto"/>
          <w:sz w:val="28"/>
          <w:szCs w:val="28"/>
          <w:highlight w:val="none"/>
        </w:rPr>
        <w:t>十</w:t>
      </w:r>
      <w:r>
        <w:rPr>
          <w:rFonts w:eastAsia="黑体"/>
          <w:bCs/>
          <w:color w:val="auto"/>
          <w:sz w:val="28"/>
          <w:szCs w:val="28"/>
          <w:highlight w:val="none"/>
        </w:rPr>
        <w:t>、创新性成果</w:t>
      </w:r>
    </w:p>
    <w:p w14:paraId="40024477">
      <w:pPr>
        <w:spacing w:line="360" w:lineRule="auto"/>
        <w:ind w:firstLine="480" w:firstLineChars="200"/>
        <w:rPr>
          <w:rFonts w:eastAsia="黑体"/>
          <w:bCs/>
          <w:color w:val="auto"/>
          <w:sz w:val="28"/>
          <w:szCs w:val="28"/>
          <w:highlight w:val="none"/>
        </w:rPr>
      </w:pPr>
      <w:r>
        <w:rPr>
          <w:rFonts w:hint="eastAsia" w:eastAsiaTheme="minorEastAsia"/>
          <w:bCs/>
          <w:color w:val="auto"/>
          <w:sz w:val="24"/>
          <w:highlight w:val="none"/>
          <w:lang w:eastAsia="zh-CN"/>
        </w:rPr>
        <w:t>按照《河北大学质量技术监督学院关于研究生申请学位取得创新性成果的规定》执行。</w:t>
      </w:r>
    </w:p>
    <w:p w14:paraId="02DE2507">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十一、学位授予</w:t>
      </w:r>
    </w:p>
    <w:p w14:paraId="6793A1BC">
      <w:pPr>
        <w:spacing w:line="360" w:lineRule="auto"/>
        <w:ind w:firstLine="480" w:firstLineChars="200"/>
        <w:rPr>
          <w:rFonts w:eastAsiaTheme="minorEastAsia"/>
          <w:bCs/>
          <w:color w:val="auto"/>
          <w:sz w:val="24"/>
          <w:highlight w:val="none"/>
        </w:rPr>
      </w:pPr>
      <w:r>
        <w:rPr>
          <w:rFonts w:eastAsiaTheme="minorEastAsia"/>
          <w:bCs/>
          <w:color w:val="auto"/>
          <w:sz w:val="24"/>
          <w:highlight w:val="none"/>
        </w:rPr>
        <w:t>研究生通过毕业资格审查，</w:t>
      </w:r>
      <w:r>
        <w:rPr>
          <w:color w:val="auto"/>
          <w:kern w:val="0"/>
          <w:sz w:val="24"/>
          <w:highlight w:val="none"/>
        </w:rPr>
        <w:t>满足本</w:t>
      </w:r>
      <w:r>
        <w:rPr>
          <w:rFonts w:hint="eastAsia" w:eastAsiaTheme="minorEastAsia"/>
          <w:bCs/>
          <w:color w:val="auto"/>
          <w:sz w:val="24"/>
          <w:highlight w:val="none"/>
          <w:lang w:eastAsia="zh-CN"/>
        </w:rPr>
        <w:t>学院</w:t>
      </w:r>
      <w:r>
        <w:rPr>
          <w:color w:val="auto"/>
          <w:kern w:val="0"/>
          <w:sz w:val="24"/>
          <w:highlight w:val="none"/>
        </w:rPr>
        <w:t>制定的创新性成果要求，</w:t>
      </w:r>
      <w:r>
        <w:rPr>
          <w:rFonts w:eastAsiaTheme="minorEastAsia"/>
          <w:bCs/>
          <w:color w:val="auto"/>
          <w:sz w:val="24"/>
          <w:highlight w:val="none"/>
        </w:rPr>
        <w:t>符合</w:t>
      </w:r>
      <w:r>
        <w:rPr>
          <w:color w:val="auto"/>
          <w:kern w:val="0"/>
          <w:sz w:val="24"/>
          <w:highlight w:val="none"/>
        </w:rPr>
        <w:t>《河北大学博士、硕士学位授予工作实施细则》（校政字〔2025〕7号）</w:t>
      </w:r>
      <w:r>
        <w:rPr>
          <w:rFonts w:eastAsiaTheme="minorEastAsia"/>
          <w:bCs/>
          <w:color w:val="auto"/>
          <w:sz w:val="24"/>
          <w:highlight w:val="none"/>
        </w:rPr>
        <w:t>的有关规定，达到学校学位授予标准，经学校学位评定委员会审议，授予硕士学位。</w:t>
      </w:r>
    </w:p>
    <w:p w14:paraId="486135F4">
      <w:pPr>
        <w:spacing w:line="360" w:lineRule="auto"/>
        <w:ind w:firstLine="560" w:firstLineChars="200"/>
        <w:rPr>
          <w:rFonts w:eastAsia="黑体"/>
          <w:bCs/>
          <w:color w:val="auto"/>
          <w:sz w:val="28"/>
          <w:szCs w:val="28"/>
          <w:highlight w:val="none"/>
        </w:rPr>
      </w:pPr>
      <w:r>
        <w:rPr>
          <w:rFonts w:eastAsia="黑体"/>
          <w:bCs/>
          <w:color w:val="auto"/>
          <w:sz w:val="28"/>
          <w:szCs w:val="28"/>
          <w:highlight w:val="none"/>
        </w:rPr>
        <w:t>十</w:t>
      </w:r>
      <w:r>
        <w:rPr>
          <w:rFonts w:hint="eastAsia" w:eastAsia="黑体"/>
          <w:bCs/>
          <w:color w:val="auto"/>
          <w:sz w:val="28"/>
          <w:szCs w:val="28"/>
          <w:highlight w:val="none"/>
        </w:rPr>
        <w:t>二</w:t>
      </w:r>
      <w:r>
        <w:rPr>
          <w:rFonts w:eastAsia="黑体"/>
          <w:bCs/>
          <w:color w:val="auto"/>
          <w:sz w:val="28"/>
          <w:szCs w:val="28"/>
          <w:highlight w:val="none"/>
        </w:rPr>
        <w:t>、学分及课程设置</w:t>
      </w:r>
    </w:p>
    <w:p w14:paraId="1B42A9D1">
      <w:pPr>
        <w:spacing w:line="360" w:lineRule="auto"/>
        <w:ind w:firstLine="480" w:firstLineChars="200"/>
        <w:rPr>
          <w:rFonts w:eastAsiaTheme="minorEastAsia"/>
          <w:i w:val="0"/>
          <w:iCs w:val="0"/>
          <w:color w:val="auto"/>
          <w:sz w:val="24"/>
          <w:highlight w:val="none"/>
        </w:rPr>
      </w:pPr>
      <w:r>
        <w:rPr>
          <w:rFonts w:eastAsiaTheme="minorEastAsia"/>
          <w:i w:val="0"/>
          <w:iCs w:val="0"/>
          <w:color w:val="auto"/>
          <w:sz w:val="24"/>
          <w:highlight w:val="none"/>
        </w:rPr>
        <w:t>本专业最低毕业学分为</w:t>
      </w:r>
      <w:r>
        <w:rPr>
          <w:rFonts w:hint="eastAsia" w:eastAsiaTheme="minorEastAsia"/>
          <w:i w:val="0"/>
          <w:iCs w:val="0"/>
          <w:color w:val="auto"/>
          <w:sz w:val="24"/>
          <w:highlight w:val="none"/>
          <w:lang w:val="en-US" w:eastAsia="zh-CN"/>
        </w:rPr>
        <w:t>24</w:t>
      </w:r>
      <w:r>
        <w:rPr>
          <w:rFonts w:eastAsiaTheme="minorEastAsia"/>
          <w:i w:val="0"/>
          <w:iCs w:val="0"/>
          <w:color w:val="auto"/>
          <w:sz w:val="24"/>
          <w:highlight w:val="none"/>
        </w:rPr>
        <w:t>分，其中学位课</w:t>
      </w:r>
      <w:r>
        <w:rPr>
          <w:rFonts w:hint="eastAsia" w:eastAsiaTheme="minorEastAsia"/>
          <w:i w:val="0"/>
          <w:iCs w:val="0"/>
          <w:color w:val="auto"/>
          <w:sz w:val="24"/>
          <w:highlight w:val="none"/>
          <w:lang w:val="en-US" w:eastAsia="zh-CN"/>
        </w:rPr>
        <w:t>13</w:t>
      </w:r>
      <w:r>
        <w:rPr>
          <w:rFonts w:eastAsiaTheme="minorEastAsia"/>
          <w:i w:val="0"/>
          <w:iCs w:val="0"/>
          <w:color w:val="auto"/>
          <w:sz w:val="24"/>
          <w:highlight w:val="none"/>
        </w:rPr>
        <w:t>学分，非学位课</w:t>
      </w:r>
      <w:r>
        <w:rPr>
          <w:rFonts w:hint="eastAsia" w:eastAsiaTheme="minorEastAsia"/>
          <w:i w:val="0"/>
          <w:iCs w:val="0"/>
          <w:color w:val="auto"/>
          <w:sz w:val="24"/>
          <w:highlight w:val="none"/>
          <w:lang w:val="en-US" w:eastAsia="zh-CN"/>
        </w:rPr>
        <w:t>10</w:t>
      </w:r>
      <w:r>
        <w:rPr>
          <w:rFonts w:eastAsiaTheme="minorEastAsia"/>
          <w:i w:val="0"/>
          <w:iCs w:val="0"/>
          <w:color w:val="auto"/>
          <w:sz w:val="24"/>
          <w:highlight w:val="none"/>
        </w:rPr>
        <w:t>学分，必修环节</w:t>
      </w:r>
      <w:r>
        <w:rPr>
          <w:rFonts w:hint="eastAsia" w:eastAsiaTheme="minorEastAsia"/>
          <w:i w:val="0"/>
          <w:iCs w:val="0"/>
          <w:color w:val="auto"/>
          <w:sz w:val="24"/>
          <w:highlight w:val="none"/>
          <w:lang w:val="en-US" w:eastAsia="zh-CN"/>
        </w:rPr>
        <w:t>1</w:t>
      </w:r>
      <w:r>
        <w:rPr>
          <w:rFonts w:eastAsiaTheme="minorEastAsia"/>
          <w:i w:val="0"/>
          <w:iCs w:val="0"/>
          <w:color w:val="auto"/>
          <w:sz w:val="24"/>
          <w:highlight w:val="none"/>
        </w:rPr>
        <w:t>分。</w:t>
      </w:r>
    </w:p>
    <w:p w14:paraId="73FB8AB2">
      <w:pPr>
        <w:spacing w:line="360" w:lineRule="auto"/>
        <w:rPr>
          <w:i w:val="0"/>
          <w:iCs w:val="0"/>
          <w:color w:val="auto"/>
          <w:sz w:val="24"/>
          <w:highlight w:val="none"/>
        </w:rPr>
      </w:pPr>
      <w:r>
        <w:rPr>
          <w:rFonts w:eastAsiaTheme="minorEastAsia"/>
          <w:i w:val="0"/>
          <w:iCs w:val="0"/>
          <w:color w:val="auto"/>
          <w:sz w:val="24"/>
          <w:highlight w:val="none"/>
        </w:rPr>
        <w:t xml:space="preserve">    课程考试不设补考环节，</w:t>
      </w:r>
      <w:r>
        <w:rPr>
          <w:i w:val="0"/>
          <w:iCs w:val="0"/>
          <w:color w:val="auto"/>
          <w:sz w:val="24"/>
          <w:highlight w:val="none"/>
        </w:rPr>
        <w:t>考试成绩低于60分的需重修。</w:t>
      </w:r>
    </w:p>
    <w:p w14:paraId="2B5AC12F">
      <w:pPr>
        <w:spacing w:line="360" w:lineRule="auto"/>
        <w:ind w:firstLine="480"/>
        <w:rPr>
          <w:rFonts w:eastAsiaTheme="minorEastAsia"/>
          <w:i/>
          <w:color w:val="auto"/>
          <w:sz w:val="24"/>
          <w:highlight w:val="none"/>
        </w:rPr>
      </w:pPr>
      <w:r>
        <w:rPr>
          <w:rFonts w:hint="eastAsia"/>
          <w:color w:val="auto"/>
          <w:sz w:val="24"/>
          <w:highlight w:val="none"/>
        </w:rPr>
        <w:t>课程考核方式包括考试和考查，可以采用口试、笔试或写读书报告、论文的形式。无论采取何种考核方式，均应能真实反映学生对所学课程掌握的程度及运用知识的能力，成绩均按百分制成绩评定。</w:t>
      </w:r>
    </w:p>
    <w:p w14:paraId="137F082D">
      <w:pPr>
        <w:spacing w:after="156" w:afterLines="50" w:line="440" w:lineRule="exact"/>
        <w:ind w:firstLine="482" w:firstLineChars="200"/>
        <w:jc w:val="center"/>
        <w:rPr>
          <w:rFonts w:eastAsiaTheme="minorEastAsia"/>
          <w:b/>
          <w:bCs/>
          <w:color w:val="auto"/>
          <w:sz w:val="24"/>
          <w:highlight w:val="none"/>
        </w:rPr>
      </w:pPr>
      <w:r>
        <w:rPr>
          <w:rFonts w:hint="eastAsia" w:eastAsiaTheme="minorEastAsia"/>
          <w:b/>
          <w:bCs/>
          <w:color w:val="auto"/>
          <w:sz w:val="24"/>
          <w:highlight w:val="none"/>
          <w:lang w:eastAsia="zh-CN"/>
        </w:rPr>
        <w:t>生物与医药</w:t>
      </w:r>
      <w:r>
        <w:rPr>
          <w:rFonts w:eastAsiaTheme="minorEastAsia"/>
          <w:b/>
          <w:bCs/>
          <w:color w:val="auto"/>
          <w:sz w:val="24"/>
          <w:highlight w:val="none"/>
        </w:rPr>
        <w:t>专业全日制专业学位硕士研究生课程及培养环节设置一览表</w:t>
      </w:r>
    </w:p>
    <w:tbl>
      <w:tblPr>
        <w:tblStyle w:val="2"/>
        <w:tblW w:w="9541"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413"/>
        <w:gridCol w:w="3912"/>
        <w:gridCol w:w="1081"/>
        <w:gridCol w:w="709"/>
        <w:gridCol w:w="709"/>
        <w:gridCol w:w="1146"/>
      </w:tblGrid>
      <w:tr w14:paraId="346470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984" w:type="dxa"/>
            <w:gridSpan w:val="2"/>
            <w:vAlign w:val="center"/>
          </w:tcPr>
          <w:p w14:paraId="1273E3A1">
            <w:pPr>
              <w:jc w:val="center"/>
              <w:rPr>
                <w:b/>
                <w:color w:val="auto"/>
                <w:szCs w:val="21"/>
                <w:highlight w:val="none"/>
              </w:rPr>
            </w:pPr>
            <w:r>
              <w:rPr>
                <w:b/>
                <w:color w:val="auto"/>
                <w:szCs w:val="21"/>
                <w:highlight w:val="none"/>
              </w:rPr>
              <w:t>课程类别</w:t>
            </w:r>
          </w:p>
        </w:tc>
        <w:tc>
          <w:tcPr>
            <w:tcW w:w="3912" w:type="dxa"/>
            <w:vAlign w:val="center"/>
          </w:tcPr>
          <w:p w14:paraId="60A84863">
            <w:pPr>
              <w:jc w:val="center"/>
              <w:rPr>
                <w:b/>
                <w:color w:val="auto"/>
                <w:szCs w:val="21"/>
                <w:highlight w:val="none"/>
              </w:rPr>
            </w:pPr>
            <w:r>
              <w:rPr>
                <w:b/>
                <w:color w:val="auto"/>
                <w:szCs w:val="21"/>
                <w:highlight w:val="none"/>
              </w:rPr>
              <w:t>课程说明</w:t>
            </w:r>
          </w:p>
        </w:tc>
        <w:tc>
          <w:tcPr>
            <w:tcW w:w="1081" w:type="dxa"/>
            <w:vAlign w:val="center"/>
          </w:tcPr>
          <w:p w14:paraId="669070DC">
            <w:pPr>
              <w:jc w:val="center"/>
              <w:rPr>
                <w:b/>
                <w:color w:val="auto"/>
                <w:szCs w:val="21"/>
                <w:highlight w:val="none"/>
              </w:rPr>
            </w:pPr>
            <w:r>
              <w:rPr>
                <w:b/>
                <w:color w:val="auto"/>
                <w:szCs w:val="21"/>
                <w:highlight w:val="none"/>
              </w:rPr>
              <w:t>课程号</w:t>
            </w:r>
          </w:p>
        </w:tc>
        <w:tc>
          <w:tcPr>
            <w:tcW w:w="709" w:type="dxa"/>
            <w:vAlign w:val="center"/>
          </w:tcPr>
          <w:p w14:paraId="096F74FA">
            <w:pPr>
              <w:jc w:val="center"/>
              <w:rPr>
                <w:b/>
                <w:color w:val="auto"/>
                <w:szCs w:val="21"/>
                <w:highlight w:val="none"/>
              </w:rPr>
            </w:pPr>
            <w:r>
              <w:rPr>
                <w:b/>
                <w:color w:val="auto"/>
                <w:szCs w:val="21"/>
                <w:highlight w:val="none"/>
              </w:rPr>
              <w:t>学分</w:t>
            </w:r>
          </w:p>
        </w:tc>
        <w:tc>
          <w:tcPr>
            <w:tcW w:w="709" w:type="dxa"/>
            <w:vAlign w:val="center"/>
          </w:tcPr>
          <w:p w14:paraId="66035D84">
            <w:pPr>
              <w:jc w:val="center"/>
              <w:rPr>
                <w:b/>
                <w:color w:val="auto"/>
                <w:szCs w:val="21"/>
                <w:highlight w:val="none"/>
              </w:rPr>
            </w:pPr>
            <w:r>
              <w:rPr>
                <w:b/>
                <w:color w:val="auto"/>
                <w:szCs w:val="21"/>
                <w:highlight w:val="none"/>
              </w:rPr>
              <w:t>学期</w:t>
            </w:r>
          </w:p>
        </w:tc>
        <w:tc>
          <w:tcPr>
            <w:tcW w:w="1146" w:type="dxa"/>
            <w:vAlign w:val="center"/>
          </w:tcPr>
          <w:p w14:paraId="113F6262">
            <w:pPr>
              <w:jc w:val="center"/>
              <w:rPr>
                <w:b/>
                <w:color w:val="auto"/>
                <w:szCs w:val="21"/>
                <w:highlight w:val="none"/>
              </w:rPr>
            </w:pPr>
            <w:r>
              <w:rPr>
                <w:rFonts w:hint="eastAsia"/>
                <w:b/>
                <w:color w:val="auto"/>
                <w:szCs w:val="21"/>
                <w:highlight w:val="none"/>
              </w:rPr>
              <w:t>备注</w:t>
            </w:r>
          </w:p>
        </w:tc>
      </w:tr>
      <w:tr w14:paraId="190898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7B9842A5">
            <w:pPr>
              <w:jc w:val="center"/>
              <w:rPr>
                <w:b/>
                <w:color w:val="auto"/>
                <w:sz w:val="18"/>
                <w:szCs w:val="18"/>
                <w:highlight w:val="none"/>
              </w:rPr>
            </w:pPr>
            <w:r>
              <w:rPr>
                <w:b/>
                <w:color w:val="auto"/>
                <w:sz w:val="18"/>
                <w:szCs w:val="18"/>
                <w:highlight w:val="none"/>
              </w:rPr>
              <w:t>学位课</w:t>
            </w:r>
          </w:p>
          <w:p w14:paraId="5A6D613F">
            <w:pPr>
              <w:jc w:val="center"/>
              <w:rPr>
                <w:rFonts w:hint="default" w:eastAsia="宋体"/>
                <w:b/>
                <w:color w:val="auto"/>
                <w:sz w:val="18"/>
                <w:szCs w:val="18"/>
                <w:highlight w:val="none"/>
                <w:lang w:val="en-US" w:eastAsia="zh-CN"/>
              </w:rPr>
            </w:pPr>
            <w:r>
              <w:rPr>
                <w:rFonts w:hint="eastAsia"/>
                <w:b/>
                <w:color w:val="auto"/>
                <w:sz w:val="18"/>
                <w:szCs w:val="18"/>
                <w:highlight w:val="none"/>
                <w:lang w:val="en-US" w:eastAsia="zh-CN"/>
              </w:rPr>
              <w:t>13分</w:t>
            </w:r>
          </w:p>
          <w:p w14:paraId="6830D8D5">
            <w:pPr>
              <w:jc w:val="center"/>
              <w:rPr>
                <w:b/>
                <w:color w:val="auto"/>
                <w:sz w:val="18"/>
                <w:szCs w:val="18"/>
                <w:highlight w:val="none"/>
              </w:rPr>
            </w:pPr>
          </w:p>
        </w:tc>
        <w:tc>
          <w:tcPr>
            <w:tcW w:w="1413" w:type="dxa"/>
            <w:vMerge w:val="restart"/>
            <w:vAlign w:val="center"/>
          </w:tcPr>
          <w:p w14:paraId="23694E81">
            <w:pPr>
              <w:jc w:val="center"/>
              <w:rPr>
                <w:b/>
                <w:color w:val="auto"/>
                <w:sz w:val="18"/>
                <w:szCs w:val="18"/>
                <w:highlight w:val="none"/>
              </w:rPr>
            </w:pPr>
            <w:r>
              <w:rPr>
                <w:b/>
                <w:color w:val="auto"/>
                <w:sz w:val="18"/>
                <w:szCs w:val="18"/>
                <w:highlight w:val="none"/>
              </w:rPr>
              <w:t>公共必修课</w:t>
            </w:r>
          </w:p>
          <w:p w14:paraId="47CBD411">
            <w:pPr>
              <w:jc w:val="center"/>
              <w:rPr>
                <w:b/>
                <w:color w:val="auto"/>
                <w:sz w:val="18"/>
                <w:szCs w:val="18"/>
                <w:highlight w:val="none"/>
              </w:rPr>
            </w:pPr>
            <w:r>
              <w:rPr>
                <w:b/>
                <w:color w:val="auto"/>
                <w:sz w:val="18"/>
                <w:szCs w:val="18"/>
                <w:highlight w:val="none"/>
              </w:rPr>
              <w:t>（</w:t>
            </w:r>
            <w:r>
              <w:rPr>
                <w:rFonts w:hint="eastAsia"/>
                <w:b/>
                <w:color w:val="auto"/>
                <w:sz w:val="18"/>
                <w:szCs w:val="18"/>
                <w:highlight w:val="none"/>
              </w:rPr>
              <w:t>4</w:t>
            </w:r>
            <w:r>
              <w:rPr>
                <w:b/>
                <w:color w:val="auto"/>
                <w:sz w:val="18"/>
                <w:szCs w:val="18"/>
                <w:highlight w:val="none"/>
              </w:rPr>
              <w:t>学分）</w:t>
            </w:r>
          </w:p>
        </w:tc>
        <w:tc>
          <w:tcPr>
            <w:tcW w:w="3912" w:type="dxa"/>
            <w:vAlign w:val="center"/>
          </w:tcPr>
          <w:p w14:paraId="52D614CF">
            <w:pPr>
              <w:rPr>
                <w:color w:val="auto"/>
                <w:sz w:val="18"/>
                <w:szCs w:val="18"/>
                <w:highlight w:val="none"/>
              </w:rPr>
            </w:pPr>
            <w:r>
              <w:rPr>
                <w:rFonts w:hint="eastAsia"/>
                <w:color w:val="auto"/>
                <w:sz w:val="18"/>
                <w:szCs w:val="18"/>
                <w:highlight w:val="none"/>
              </w:rPr>
              <w:t>新时代</w:t>
            </w:r>
            <w:r>
              <w:rPr>
                <w:color w:val="auto"/>
                <w:sz w:val="18"/>
                <w:szCs w:val="18"/>
                <w:highlight w:val="none"/>
              </w:rPr>
              <w:t>中国特色社会主义理论与实践</w:t>
            </w:r>
          </w:p>
        </w:tc>
        <w:tc>
          <w:tcPr>
            <w:tcW w:w="1081" w:type="dxa"/>
            <w:vAlign w:val="center"/>
          </w:tcPr>
          <w:p w14:paraId="0E1B32EE">
            <w:pPr>
              <w:jc w:val="center"/>
              <w:rPr>
                <w:color w:val="auto"/>
                <w:sz w:val="18"/>
                <w:szCs w:val="18"/>
                <w:highlight w:val="none"/>
              </w:rPr>
            </w:pPr>
            <w:r>
              <w:rPr>
                <w:color w:val="auto"/>
                <w:sz w:val="18"/>
                <w:szCs w:val="18"/>
                <w:highlight w:val="none"/>
              </w:rPr>
              <w:t>T</w:t>
            </w:r>
            <w:r>
              <w:rPr>
                <w:rFonts w:hint="eastAsia"/>
                <w:color w:val="auto"/>
                <w:sz w:val="18"/>
                <w:szCs w:val="18"/>
                <w:highlight w:val="none"/>
              </w:rPr>
              <w:t>S</w:t>
            </w:r>
            <w:r>
              <w:rPr>
                <w:color w:val="auto"/>
                <w:sz w:val="18"/>
                <w:szCs w:val="18"/>
                <w:highlight w:val="none"/>
              </w:rPr>
              <w:t>0000001</w:t>
            </w:r>
          </w:p>
        </w:tc>
        <w:tc>
          <w:tcPr>
            <w:tcW w:w="709" w:type="dxa"/>
            <w:vAlign w:val="center"/>
          </w:tcPr>
          <w:p w14:paraId="6D0BC8BF">
            <w:pPr>
              <w:jc w:val="center"/>
              <w:rPr>
                <w:color w:val="auto"/>
                <w:sz w:val="18"/>
                <w:szCs w:val="18"/>
                <w:highlight w:val="none"/>
              </w:rPr>
            </w:pPr>
            <w:r>
              <w:rPr>
                <w:color w:val="auto"/>
                <w:sz w:val="18"/>
                <w:szCs w:val="18"/>
                <w:highlight w:val="none"/>
              </w:rPr>
              <w:t>2</w:t>
            </w:r>
          </w:p>
        </w:tc>
        <w:tc>
          <w:tcPr>
            <w:tcW w:w="709" w:type="dxa"/>
            <w:vAlign w:val="center"/>
          </w:tcPr>
          <w:p w14:paraId="2373272C">
            <w:pPr>
              <w:jc w:val="center"/>
              <w:rPr>
                <w:color w:val="auto"/>
                <w:sz w:val="18"/>
                <w:szCs w:val="18"/>
                <w:highlight w:val="none"/>
              </w:rPr>
            </w:pPr>
            <w:r>
              <w:rPr>
                <w:color w:val="auto"/>
                <w:sz w:val="18"/>
                <w:szCs w:val="18"/>
                <w:highlight w:val="none"/>
              </w:rPr>
              <w:t>1</w:t>
            </w:r>
          </w:p>
        </w:tc>
        <w:tc>
          <w:tcPr>
            <w:tcW w:w="1146" w:type="dxa"/>
            <w:vAlign w:val="center"/>
          </w:tcPr>
          <w:p w14:paraId="6C741E9C">
            <w:pPr>
              <w:jc w:val="center"/>
              <w:rPr>
                <w:color w:val="auto"/>
                <w:sz w:val="18"/>
                <w:szCs w:val="18"/>
                <w:highlight w:val="none"/>
              </w:rPr>
            </w:pPr>
            <w:r>
              <w:rPr>
                <w:rFonts w:hint="eastAsia"/>
                <w:color w:val="auto"/>
                <w:sz w:val="18"/>
                <w:szCs w:val="18"/>
                <w:highlight w:val="none"/>
              </w:rPr>
              <w:t>考查</w:t>
            </w:r>
          </w:p>
        </w:tc>
      </w:tr>
      <w:tr w14:paraId="377542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3347E781">
            <w:pPr>
              <w:jc w:val="center"/>
              <w:rPr>
                <w:b/>
                <w:color w:val="auto"/>
                <w:sz w:val="18"/>
                <w:szCs w:val="18"/>
                <w:highlight w:val="none"/>
              </w:rPr>
            </w:pPr>
          </w:p>
        </w:tc>
        <w:tc>
          <w:tcPr>
            <w:tcW w:w="1413" w:type="dxa"/>
            <w:vMerge w:val="continue"/>
            <w:vAlign w:val="center"/>
          </w:tcPr>
          <w:p w14:paraId="45B3A773">
            <w:pPr>
              <w:jc w:val="center"/>
              <w:rPr>
                <w:b/>
                <w:color w:val="auto"/>
                <w:sz w:val="18"/>
                <w:szCs w:val="18"/>
                <w:highlight w:val="none"/>
              </w:rPr>
            </w:pPr>
          </w:p>
        </w:tc>
        <w:tc>
          <w:tcPr>
            <w:tcW w:w="3912" w:type="dxa"/>
            <w:vAlign w:val="center"/>
          </w:tcPr>
          <w:p w14:paraId="50AA8520">
            <w:pPr>
              <w:rPr>
                <w:color w:val="auto"/>
                <w:sz w:val="18"/>
                <w:szCs w:val="18"/>
                <w:highlight w:val="none"/>
              </w:rPr>
            </w:pPr>
            <w:r>
              <w:rPr>
                <w:rFonts w:hint="eastAsia"/>
                <w:color w:val="auto"/>
                <w:sz w:val="18"/>
                <w:szCs w:val="18"/>
                <w:highlight w:val="none"/>
              </w:rPr>
              <w:t>通用学术英语</w:t>
            </w:r>
          </w:p>
        </w:tc>
        <w:tc>
          <w:tcPr>
            <w:tcW w:w="1081" w:type="dxa"/>
            <w:vAlign w:val="center"/>
          </w:tcPr>
          <w:p w14:paraId="428286B8">
            <w:pPr>
              <w:jc w:val="center"/>
              <w:rPr>
                <w:color w:val="auto"/>
                <w:sz w:val="18"/>
                <w:szCs w:val="18"/>
                <w:highlight w:val="none"/>
              </w:rPr>
            </w:pPr>
            <w:r>
              <w:rPr>
                <w:color w:val="auto"/>
                <w:sz w:val="18"/>
                <w:szCs w:val="18"/>
                <w:highlight w:val="none"/>
              </w:rPr>
              <w:t>T</w:t>
            </w:r>
            <w:r>
              <w:rPr>
                <w:rFonts w:hint="eastAsia"/>
                <w:color w:val="auto"/>
                <w:sz w:val="18"/>
                <w:szCs w:val="18"/>
                <w:highlight w:val="none"/>
              </w:rPr>
              <w:t>S</w:t>
            </w:r>
            <w:r>
              <w:rPr>
                <w:color w:val="auto"/>
                <w:sz w:val="18"/>
                <w:szCs w:val="18"/>
                <w:highlight w:val="none"/>
              </w:rPr>
              <w:t>00000</w:t>
            </w:r>
            <w:r>
              <w:rPr>
                <w:rFonts w:hint="eastAsia"/>
                <w:color w:val="auto"/>
                <w:sz w:val="18"/>
                <w:szCs w:val="18"/>
                <w:highlight w:val="none"/>
              </w:rPr>
              <w:t>02</w:t>
            </w:r>
          </w:p>
        </w:tc>
        <w:tc>
          <w:tcPr>
            <w:tcW w:w="709" w:type="dxa"/>
            <w:vAlign w:val="center"/>
          </w:tcPr>
          <w:p w14:paraId="01E51111">
            <w:pPr>
              <w:jc w:val="center"/>
              <w:rPr>
                <w:color w:val="auto"/>
                <w:sz w:val="18"/>
                <w:szCs w:val="18"/>
                <w:highlight w:val="none"/>
              </w:rPr>
            </w:pPr>
            <w:r>
              <w:rPr>
                <w:rFonts w:hint="eastAsia"/>
                <w:color w:val="auto"/>
                <w:sz w:val="18"/>
                <w:szCs w:val="18"/>
                <w:highlight w:val="none"/>
              </w:rPr>
              <w:t>2</w:t>
            </w:r>
          </w:p>
        </w:tc>
        <w:tc>
          <w:tcPr>
            <w:tcW w:w="709" w:type="dxa"/>
            <w:vAlign w:val="center"/>
          </w:tcPr>
          <w:p w14:paraId="265215F6">
            <w:pPr>
              <w:jc w:val="center"/>
              <w:rPr>
                <w:color w:val="auto"/>
                <w:sz w:val="18"/>
                <w:szCs w:val="18"/>
                <w:highlight w:val="none"/>
              </w:rPr>
            </w:pPr>
            <w:r>
              <w:rPr>
                <w:color w:val="auto"/>
                <w:sz w:val="18"/>
                <w:szCs w:val="18"/>
                <w:highlight w:val="none"/>
              </w:rPr>
              <w:t>1</w:t>
            </w:r>
          </w:p>
        </w:tc>
        <w:tc>
          <w:tcPr>
            <w:tcW w:w="1146" w:type="dxa"/>
            <w:vAlign w:val="center"/>
          </w:tcPr>
          <w:p w14:paraId="29D2061B">
            <w:pPr>
              <w:jc w:val="center"/>
              <w:rPr>
                <w:color w:val="auto"/>
                <w:sz w:val="18"/>
                <w:szCs w:val="18"/>
                <w:highlight w:val="none"/>
              </w:rPr>
            </w:pPr>
            <w:r>
              <w:rPr>
                <w:rFonts w:hint="eastAsia"/>
                <w:color w:val="auto"/>
                <w:sz w:val="18"/>
                <w:szCs w:val="18"/>
                <w:highlight w:val="none"/>
              </w:rPr>
              <w:t>考查</w:t>
            </w:r>
          </w:p>
        </w:tc>
      </w:tr>
      <w:tr w14:paraId="0994FA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99C6F8C">
            <w:pPr>
              <w:jc w:val="center"/>
              <w:rPr>
                <w:b/>
                <w:color w:val="auto"/>
                <w:sz w:val="18"/>
                <w:szCs w:val="18"/>
                <w:highlight w:val="none"/>
              </w:rPr>
            </w:pPr>
          </w:p>
        </w:tc>
        <w:tc>
          <w:tcPr>
            <w:tcW w:w="1413" w:type="dxa"/>
            <w:vMerge w:val="restart"/>
            <w:vAlign w:val="center"/>
          </w:tcPr>
          <w:p w14:paraId="4D5FCC9F">
            <w:pPr>
              <w:jc w:val="center"/>
              <w:rPr>
                <w:rFonts w:hint="eastAsia"/>
                <w:b/>
                <w:color w:val="auto"/>
                <w:sz w:val="18"/>
                <w:szCs w:val="18"/>
                <w:highlight w:val="none"/>
                <w:lang w:eastAsia="zh-CN"/>
              </w:rPr>
            </w:pPr>
            <w:r>
              <w:rPr>
                <w:rFonts w:hint="eastAsia"/>
                <w:b/>
                <w:color w:val="auto"/>
                <w:sz w:val="18"/>
                <w:szCs w:val="18"/>
                <w:highlight w:val="none"/>
                <w:lang w:eastAsia="zh-CN"/>
              </w:rPr>
              <w:t>学科基础课</w:t>
            </w:r>
          </w:p>
          <w:p w14:paraId="5E0C9963">
            <w:pPr>
              <w:jc w:val="center"/>
              <w:rPr>
                <w:color w:val="auto"/>
                <w:highlight w:val="none"/>
              </w:rPr>
            </w:pPr>
            <w:r>
              <w:rPr>
                <w:b/>
                <w:color w:val="auto"/>
                <w:sz w:val="18"/>
                <w:szCs w:val="18"/>
                <w:highlight w:val="none"/>
              </w:rPr>
              <w:t>（</w:t>
            </w:r>
            <w:r>
              <w:rPr>
                <w:rFonts w:hint="eastAsia"/>
                <w:b/>
                <w:color w:val="auto"/>
                <w:sz w:val="18"/>
                <w:szCs w:val="18"/>
                <w:highlight w:val="none"/>
                <w:lang w:val="en-US" w:eastAsia="zh-CN"/>
              </w:rPr>
              <w:t>5</w:t>
            </w:r>
            <w:r>
              <w:rPr>
                <w:b/>
                <w:color w:val="auto"/>
                <w:sz w:val="18"/>
                <w:szCs w:val="18"/>
                <w:highlight w:val="none"/>
              </w:rPr>
              <w:t>学分）</w:t>
            </w:r>
          </w:p>
        </w:tc>
        <w:tc>
          <w:tcPr>
            <w:tcW w:w="3912" w:type="dxa"/>
            <w:vAlign w:val="center"/>
          </w:tcPr>
          <w:p w14:paraId="239D545E">
            <w:pPr>
              <w:rPr>
                <w:color w:val="auto"/>
                <w:sz w:val="18"/>
                <w:szCs w:val="18"/>
                <w:highlight w:val="none"/>
              </w:rPr>
            </w:pPr>
            <w:r>
              <w:rPr>
                <w:color w:val="auto"/>
                <w:sz w:val="18"/>
                <w:szCs w:val="18"/>
                <w:highlight w:val="none"/>
              </w:rPr>
              <w:t>学术道德与论文写作</w:t>
            </w:r>
          </w:p>
        </w:tc>
        <w:tc>
          <w:tcPr>
            <w:tcW w:w="1081" w:type="dxa"/>
            <w:vAlign w:val="center"/>
          </w:tcPr>
          <w:p w14:paraId="13EE817D">
            <w:pPr>
              <w:jc w:val="center"/>
              <w:rPr>
                <w:rFonts w:hint="eastAsia" w:eastAsia="宋体"/>
                <w:color w:val="auto"/>
                <w:sz w:val="18"/>
                <w:szCs w:val="18"/>
                <w:highlight w:val="none"/>
                <w:lang w:val="en-US" w:eastAsia="zh-CN"/>
              </w:rPr>
            </w:pPr>
            <w:r>
              <w:rPr>
                <w:rFonts w:hint="eastAsia"/>
                <w:color w:val="auto"/>
                <w:sz w:val="18"/>
                <w:szCs w:val="18"/>
                <w:highlight w:val="none"/>
              </w:rPr>
              <w:t>XS150100</w:t>
            </w:r>
            <w:r>
              <w:rPr>
                <w:rFonts w:hint="eastAsia"/>
                <w:color w:val="auto"/>
                <w:sz w:val="18"/>
                <w:szCs w:val="18"/>
                <w:highlight w:val="none"/>
                <w:lang w:val="en-US" w:eastAsia="zh-CN"/>
              </w:rPr>
              <w:t>9</w:t>
            </w:r>
          </w:p>
        </w:tc>
        <w:tc>
          <w:tcPr>
            <w:tcW w:w="709" w:type="dxa"/>
            <w:vAlign w:val="center"/>
          </w:tcPr>
          <w:p w14:paraId="46F5381A">
            <w:pPr>
              <w:jc w:val="center"/>
              <w:rPr>
                <w:color w:val="auto"/>
                <w:sz w:val="18"/>
                <w:szCs w:val="18"/>
                <w:highlight w:val="none"/>
              </w:rPr>
            </w:pPr>
            <w:r>
              <w:rPr>
                <w:rFonts w:hint="eastAsia"/>
                <w:color w:val="auto"/>
                <w:sz w:val="18"/>
                <w:szCs w:val="18"/>
                <w:highlight w:val="none"/>
              </w:rPr>
              <w:t>1</w:t>
            </w:r>
          </w:p>
        </w:tc>
        <w:tc>
          <w:tcPr>
            <w:tcW w:w="709" w:type="dxa"/>
            <w:vAlign w:val="center"/>
          </w:tcPr>
          <w:p w14:paraId="546BF4B5">
            <w:pPr>
              <w:jc w:val="center"/>
              <w:rPr>
                <w:color w:val="auto"/>
                <w:sz w:val="18"/>
                <w:szCs w:val="18"/>
                <w:highlight w:val="none"/>
              </w:rPr>
            </w:pPr>
            <w:r>
              <w:rPr>
                <w:rFonts w:hint="eastAsia"/>
                <w:color w:val="auto"/>
                <w:sz w:val="18"/>
                <w:szCs w:val="18"/>
                <w:highlight w:val="none"/>
              </w:rPr>
              <w:t>1</w:t>
            </w:r>
          </w:p>
        </w:tc>
        <w:tc>
          <w:tcPr>
            <w:tcW w:w="1146" w:type="dxa"/>
            <w:vAlign w:val="center"/>
          </w:tcPr>
          <w:p w14:paraId="02BD8059">
            <w:pPr>
              <w:jc w:val="center"/>
              <w:rPr>
                <w:color w:val="auto"/>
                <w:sz w:val="18"/>
                <w:szCs w:val="18"/>
                <w:highlight w:val="none"/>
              </w:rPr>
            </w:pPr>
            <w:r>
              <w:rPr>
                <w:rFonts w:hint="eastAsia"/>
                <w:color w:val="auto"/>
                <w:sz w:val="18"/>
                <w:szCs w:val="18"/>
                <w:highlight w:val="none"/>
              </w:rPr>
              <w:t>考查</w:t>
            </w:r>
          </w:p>
        </w:tc>
      </w:tr>
      <w:tr w14:paraId="3F8001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D28D292">
            <w:pPr>
              <w:jc w:val="center"/>
              <w:rPr>
                <w:b/>
                <w:color w:val="auto"/>
                <w:sz w:val="18"/>
                <w:szCs w:val="18"/>
                <w:highlight w:val="none"/>
              </w:rPr>
            </w:pPr>
          </w:p>
        </w:tc>
        <w:tc>
          <w:tcPr>
            <w:tcW w:w="1413" w:type="dxa"/>
            <w:vMerge w:val="continue"/>
            <w:vAlign w:val="center"/>
          </w:tcPr>
          <w:p w14:paraId="6BD135CC">
            <w:pPr>
              <w:jc w:val="center"/>
              <w:rPr>
                <w:b/>
                <w:color w:val="auto"/>
                <w:sz w:val="18"/>
                <w:szCs w:val="18"/>
                <w:highlight w:val="none"/>
              </w:rPr>
            </w:pPr>
          </w:p>
        </w:tc>
        <w:tc>
          <w:tcPr>
            <w:tcW w:w="3912" w:type="dxa"/>
            <w:vAlign w:val="center"/>
          </w:tcPr>
          <w:p w14:paraId="7AE84ADE">
            <w:pPr>
              <w:adjustRightInd w:val="0"/>
              <w:snapToGrid w:val="0"/>
              <w:rPr>
                <w:color w:val="auto"/>
                <w:sz w:val="18"/>
                <w:szCs w:val="18"/>
                <w:highlight w:val="none"/>
              </w:rPr>
            </w:pPr>
            <w:r>
              <w:rPr>
                <w:rFonts w:hint="eastAsia"/>
                <w:color w:val="auto"/>
                <w:sz w:val="18"/>
                <w:szCs w:val="18"/>
                <w:highlight w:val="none"/>
              </w:rPr>
              <w:t>现代光学信息处理技术导论</w:t>
            </w:r>
          </w:p>
        </w:tc>
        <w:tc>
          <w:tcPr>
            <w:tcW w:w="1081" w:type="dxa"/>
            <w:vAlign w:val="center"/>
          </w:tcPr>
          <w:p w14:paraId="2F623C67">
            <w:pPr>
              <w:jc w:val="center"/>
              <w:rPr>
                <w:color w:val="auto"/>
                <w:sz w:val="18"/>
                <w:szCs w:val="18"/>
                <w:highlight w:val="none"/>
              </w:rPr>
            </w:pPr>
            <w:r>
              <w:rPr>
                <w:rFonts w:hint="eastAsia"/>
                <w:color w:val="auto"/>
                <w:sz w:val="18"/>
                <w:szCs w:val="18"/>
                <w:highlight w:val="none"/>
              </w:rPr>
              <w:t>ZS1506001</w:t>
            </w:r>
          </w:p>
        </w:tc>
        <w:tc>
          <w:tcPr>
            <w:tcW w:w="709" w:type="dxa"/>
            <w:vAlign w:val="center"/>
          </w:tcPr>
          <w:p w14:paraId="3F8530A7">
            <w:pPr>
              <w:jc w:val="center"/>
              <w:rPr>
                <w:color w:val="auto"/>
                <w:sz w:val="18"/>
                <w:szCs w:val="18"/>
                <w:highlight w:val="none"/>
              </w:rPr>
            </w:pPr>
            <w:r>
              <w:rPr>
                <w:rFonts w:hint="eastAsia"/>
                <w:color w:val="auto"/>
                <w:sz w:val="18"/>
                <w:szCs w:val="18"/>
                <w:highlight w:val="none"/>
              </w:rPr>
              <w:t>2</w:t>
            </w:r>
          </w:p>
        </w:tc>
        <w:tc>
          <w:tcPr>
            <w:tcW w:w="709" w:type="dxa"/>
            <w:vAlign w:val="center"/>
          </w:tcPr>
          <w:p w14:paraId="0BAEB40E">
            <w:pPr>
              <w:jc w:val="center"/>
              <w:rPr>
                <w:color w:val="auto"/>
                <w:sz w:val="18"/>
                <w:szCs w:val="18"/>
                <w:highlight w:val="none"/>
              </w:rPr>
            </w:pPr>
            <w:r>
              <w:rPr>
                <w:rFonts w:hint="eastAsia"/>
                <w:color w:val="auto"/>
                <w:sz w:val="18"/>
                <w:szCs w:val="18"/>
                <w:highlight w:val="none"/>
              </w:rPr>
              <w:t>1</w:t>
            </w:r>
          </w:p>
        </w:tc>
        <w:tc>
          <w:tcPr>
            <w:tcW w:w="1146" w:type="dxa"/>
            <w:vAlign w:val="center"/>
          </w:tcPr>
          <w:p w14:paraId="50BA7A35">
            <w:pPr>
              <w:jc w:val="center"/>
              <w:rPr>
                <w:color w:val="auto"/>
                <w:sz w:val="18"/>
                <w:szCs w:val="18"/>
                <w:highlight w:val="none"/>
              </w:rPr>
            </w:pPr>
            <w:r>
              <w:rPr>
                <w:rFonts w:hint="eastAsia"/>
                <w:color w:val="auto"/>
                <w:sz w:val="18"/>
                <w:szCs w:val="18"/>
                <w:highlight w:val="none"/>
              </w:rPr>
              <w:t>考试</w:t>
            </w:r>
          </w:p>
        </w:tc>
      </w:tr>
      <w:tr w14:paraId="3E02E7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52E181E">
            <w:pPr>
              <w:jc w:val="center"/>
              <w:rPr>
                <w:b/>
                <w:color w:val="auto"/>
                <w:sz w:val="18"/>
                <w:szCs w:val="18"/>
                <w:highlight w:val="none"/>
              </w:rPr>
            </w:pPr>
          </w:p>
        </w:tc>
        <w:tc>
          <w:tcPr>
            <w:tcW w:w="1413" w:type="dxa"/>
            <w:vMerge w:val="continue"/>
            <w:tcBorders>
              <w:bottom w:val="single" w:color="auto" w:sz="4" w:space="0"/>
            </w:tcBorders>
            <w:vAlign w:val="center"/>
          </w:tcPr>
          <w:p w14:paraId="418B03B2">
            <w:pPr>
              <w:jc w:val="center"/>
              <w:rPr>
                <w:b/>
                <w:color w:val="auto"/>
                <w:sz w:val="18"/>
                <w:szCs w:val="18"/>
                <w:highlight w:val="none"/>
              </w:rPr>
            </w:pPr>
          </w:p>
        </w:tc>
        <w:tc>
          <w:tcPr>
            <w:tcW w:w="3912" w:type="dxa"/>
            <w:tcBorders>
              <w:bottom w:val="single" w:color="auto" w:sz="4" w:space="0"/>
            </w:tcBorders>
            <w:vAlign w:val="center"/>
          </w:tcPr>
          <w:p w14:paraId="5BFA60F7">
            <w:pPr>
              <w:adjustRightInd w:val="0"/>
              <w:snapToGrid w:val="0"/>
              <w:rPr>
                <w:rFonts w:hint="eastAsia"/>
                <w:color w:val="auto"/>
                <w:sz w:val="18"/>
                <w:szCs w:val="18"/>
                <w:highlight w:val="none"/>
              </w:rPr>
            </w:pPr>
            <w:r>
              <w:rPr>
                <w:rFonts w:hint="eastAsia"/>
                <w:color w:val="auto"/>
                <w:sz w:val="18"/>
                <w:szCs w:val="18"/>
                <w:highlight w:val="none"/>
                <w:lang w:val="en-US" w:eastAsia="zh-CN"/>
              </w:rPr>
              <w:t>生物医用材料制备与表征</w:t>
            </w:r>
          </w:p>
        </w:tc>
        <w:tc>
          <w:tcPr>
            <w:tcW w:w="1081" w:type="dxa"/>
            <w:shd w:val="clear" w:color="auto" w:fill="auto"/>
            <w:vAlign w:val="center"/>
          </w:tcPr>
          <w:p w14:paraId="0FDD58E9">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ZS150600</w:t>
            </w:r>
            <w:r>
              <w:rPr>
                <w:rFonts w:hint="eastAsia"/>
                <w:color w:val="auto"/>
                <w:sz w:val="18"/>
                <w:szCs w:val="18"/>
                <w:highlight w:val="none"/>
                <w:lang w:val="en-US" w:eastAsia="zh-CN"/>
              </w:rPr>
              <w:t>4</w:t>
            </w:r>
          </w:p>
        </w:tc>
        <w:tc>
          <w:tcPr>
            <w:tcW w:w="709" w:type="dxa"/>
            <w:shd w:val="clear" w:color="auto" w:fill="auto"/>
            <w:vAlign w:val="center"/>
          </w:tcPr>
          <w:p w14:paraId="728186B6">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1662E46C">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shd w:val="clear" w:color="auto" w:fill="auto"/>
            <w:vAlign w:val="center"/>
          </w:tcPr>
          <w:p w14:paraId="7180038A">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考试</w:t>
            </w:r>
          </w:p>
        </w:tc>
      </w:tr>
      <w:tr w14:paraId="2FC385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C408E1D">
            <w:pPr>
              <w:jc w:val="center"/>
              <w:rPr>
                <w:b/>
                <w:color w:val="auto"/>
                <w:sz w:val="18"/>
                <w:szCs w:val="18"/>
                <w:highlight w:val="none"/>
              </w:rPr>
            </w:pPr>
          </w:p>
        </w:tc>
        <w:tc>
          <w:tcPr>
            <w:tcW w:w="1413" w:type="dxa"/>
            <w:vMerge w:val="restart"/>
            <w:tcBorders>
              <w:top w:val="single" w:color="auto" w:sz="4" w:space="0"/>
            </w:tcBorders>
            <w:vAlign w:val="center"/>
          </w:tcPr>
          <w:p w14:paraId="53B9B5BE">
            <w:pPr>
              <w:jc w:val="center"/>
              <w:rPr>
                <w:rFonts w:hint="eastAsia" w:eastAsia="宋体"/>
                <w:b/>
                <w:color w:val="auto"/>
                <w:sz w:val="18"/>
                <w:szCs w:val="18"/>
                <w:highlight w:val="none"/>
                <w:lang w:eastAsia="zh-CN"/>
              </w:rPr>
            </w:pPr>
            <w:r>
              <w:rPr>
                <w:rFonts w:hint="eastAsia"/>
                <w:b/>
                <w:color w:val="auto"/>
                <w:sz w:val="18"/>
                <w:szCs w:val="18"/>
                <w:highlight w:val="none"/>
                <w:lang w:eastAsia="zh-CN"/>
              </w:rPr>
              <w:t>专业必修课</w:t>
            </w:r>
          </w:p>
          <w:p w14:paraId="2CDBB766">
            <w:pPr>
              <w:jc w:val="center"/>
              <w:rPr>
                <w:b/>
                <w:color w:val="auto"/>
                <w:sz w:val="18"/>
                <w:szCs w:val="18"/>
                <w:highlight w:val="none"/>
              </w:rPr>
            </w:pPr>
            <w:r>
              <w:rPr>
                <w:b/>
                <w:color w:val="auto"/>
                <w:sz w:val="18"/>
                <w:szCs w:val="18"/>
                <w:highlight w:val="none"/>
              </w:rPr>
              <w:t>（</w:t>
            </w:r>
            <w:r>
              <w:rPr>
                <w:rFonts w:hint="eastAsia"/>
                <w:b/>
                <w:color w:val="auto"/>
                <w:sz w:val="18"/>
                <w:szCs w:val="18"/>
                <w:highlight w:val="none"/>
                <w:lang w:val="en-US" w:eastAsia="zh-CN"/>
              </w:rPr>
              <w:t>4</w:t>
            </w:r>
            <w:r>
              <w:rPr>
                <w:b/>
                <w:color w:val="auto"/>
                <w:sz w:val="18"/>
                <w:szCs w:val="18"/>
                <w:highlight w:val="none"/>
              </w:rPr>
              <w:t>学分）</w:t>
            </w:r>
          </w:p>
        </w:tc>
        <w:tc>
          <w:tcPr>
            <w:tcW w:w="3912" w:type="dxa"/>
            <w:tcBorders>
              <w:top w:val="single" w:color="auto" w:sz="4" w:space="0"/>
            </w:tcBorders>
            <w:vAlign w:val="center"/>
          </w:tcPr>
          <w:p w14:paraId="06410FAB">
            <w:pPr>
              <w:adjustRightInd w:val="0"/>
              <w:snapToGrid w:val="0"/>
              <w:rPr>
                <w:color w:val="auto"/>
                <w:sz w:val="18"/>
                <w:szCs w:val="18"/>
                <w:highlight w:val="none"/>
              </w:rPr>
            </w:pPr>
            <w:r>
              <w:rPr>
                <w:rFonts w:hint="eastAsia"/>
                <w:color w:val="auto"/>
                <w:sz w:val="18"/>
                <w:szCs w:val="18"/>
                <w:highlight w:val="none"/>
              </w:rPr>
              <w:t>机器学习</w:t>
            </w:r>
          </w:p>
        </w:tc>
        <w:tc>
          <w:tcPr>
            <w:tcW w:w="1081" w:type="dxa"/>
            <w:vAlign w:val="center"/>
          </w:tcPr>
          <w:p w14:paraId="007EB51B">
            <w:pPr>
              <w:jc w:val="center"/>
              <w:rPr>
                <w:rFonts w:hint="eastAsia" w:eastAsia="宋体"/>
                <w:color w:val="auto"/>
                <w:sz w:val="18"/>
                <w:szCs w:val="18"/>
                <w:highlight w:val="none"/>
                <w:lang w:eastAsia="zh-CN"/>
              </w:rPr>
            </w:pPr>
            <w:r>
              <w:rPr>
                <w:rFonts w:hint="eastAsia"/>
                <w:color w:val="auto"/>
                <w:sz w:val="18"/>
                <w:szCs w:val="18"/>
                <w:highlight w:val="none"/>
              </w:rPr>
              <w:t>ZS150600</w:t>
            </w:r>
            <w:r>
              <w:rPr>
                <w:rFonts w:hint="eastAsia"/>
                <w:color w:val="auto"/>
                <w:sz w:val="18"/>
                <w:szCs w:val="18"/>
                <w:highlight w:val="none"/>
                <w:lang w:val="en-US" w:eastAsia="zh-CN"/>
              </w:rPr>
              <w:t>3</w:t>
            </w:r>
          </w:p>
        </w:tc>
        <w:tc>
          <w:tcPr>
            <w:tcW w:w="709" w:type="dxa"/>
            <w:vAlign w:val="center"/>
          </w:tcPr>
          <w:p w14:paraId="7A73B4A0">
            <w:pPr>
              <w:jc w:val="center"/>
              <w:rPr>
                <w:color w:val="auto"/>
                <w:sz w:val="18"/>
                <w:szCs w:val="18"/>
                <w:highlight w:val="none"/>
              </w:rPr>
            </w:pPr>
            <w:r>
              <w:rPr>
                <w:rFonts w:hint="eastAsia"/>
                <w:color w:val="auto"/>
                <w:sz w:val="18"/>
                <w:szCs w:val="18"/>
                <w:highlight w:val="none"/>
              </w:rPr>
              <w:t>2</w:t>
            </w:r>
          </w:p>
        </w:tc>
        <w:tc>
          <w:tcPr>
            <w:tcW w:w="709" w:type="dxa"/>
            <w:vAlign w:val="center"/>
          </w:tcPr>
          <w:p w14:paraId="6D7379CA">
            <w:pPr>
              <w:jc w:val="center"/>
              <w:rPr>
                <w:color w:val="auto"/>
                <w:sz w:val="18"/>
                <w:szCs w:val="18"/>
                <w:highlight w:val="none"/>
              </w:rPr>
            </w:pPr>
            <w:r>
              <w:rPr>
                <w:rFonts w:hint="eastAsia"/>
                <w:color w:val="auto"/>
                <w:sz w:val="18"/>
                <w:szCs w:val="18"/>
                <w:highlight w:val="none"/>
              </w:rPr>
              <w:t>1</w:t>
            </w:r>
          </w:p>
        </w:tc>
        <w:tc>
          <w:tcPr>
            <w:tcW w:w="1146" w:type="dxa"/>
            <w:vAlign w:val="center"/>
          </w:tcPr>
          <w:p w14:paraId="7C93BB90">
            <w:pPr>
              <w:jc w:val="center"/>
              <w:rPr>
                <w:color w:val="auto"/>
                <w:sz w:val="18"/>
                <w:szCs w:val="18"/>
                <w:highlight w:val="none"/>
              </w:rPr>
            </w:pPr>
            <w:r>
              <w:rPr>
                <w:rFonts w:hint="eastAsia"/>
                <w:color w:val="auto"/>
                <w:sz w:val="18"/>
                <w:szCs w:val="18"/>
                <w:highlight w:val="none"/>
              </w:rPr>
              <w:t>考试</w:t>
            </w:r>
          </w:p>
        </w:tc>
      </w:tr>
      <w:tr w14:paraId="1031ED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D4331B3">
            <w:pPr>
              <w:jc w:val="center"/>
              <w:rPr>
                <w:b/>
                <w:color w:val="auto"/>
                <w:sz w:val="18"/>
                <w:szCs w:val="18"/>
                <w:highlight w:val="none"/>
              </w:rPr>
            </w:pPr>
          </w:p>
        </w:tc>
        <w:tc>
          <w:tcPr>
            <w:tcW w:w="1413" w:type="dxa"/>
            <w:vMerge w:val="continue"/>
            <w:vAlign w:val="center"/>
          </w:tcPr>
          <w:p w14:paraId="7AF35D73">
            <w:pPr>
              <w:jc w:val="center"/>
              <w:rPr>
                <w:b/>
                <w:color w:val="auto"/>
                <w:sz w:val="18"/>
                <w:szCs w:val="18"/>
                <w:highlight w:val="none"/>
              </w:rPr>
            </w:pPr>
          </w:p>
        </w:tc>
        <w:tc>
          <w:tcPr>
            <w:tcW w:w="3912" w:type="dxa"/>
            <w:vAlign w:val="center"/>
          </w:tcPr>
          <w:p w14:paraId="0E929837">
            <w:pPr>
              <w:adjustRightInd w:val="0"/>
              <w:snapToGrid w:val="0"/>
              <w:rPr>
                <w:color w:val="auto"/>
                <w:sz w:val="18"/>
                <w:szCs w:val="18"/>
                <w:highlight w:val="none"/>
              </w:rPr>
            </w:pPr>
            <w:r>
              <w:rPr>
                <w:rFonts w:hint="eastAsia"/>
                <w:color w:val="auto"/>
                <w:sz w:val="18"/>
                <w:szCs w:val="18"/>
                <w:highlight w:val="none"/>
              </w:rPr>
              <w:t>误差与不确定度理论及应用</w:t>
            </w:r>
          </w:p>
        </w:tc>
        <w:tc>
          <w:tcPr>
            <w:tcW w:w="1081" w:type="dxa"/>
            <w:vAlign w:val="center"/>
          </w:tcPr>
          <w:p w14:paraId="13A79D21">
            <w:pPr>
              <w:jc w:val="center"/>
              <w:rPr>
                <w:color w:val="auto"/>
                <w:sz w:val="18"/>
                <w:szCs w:val="18"/>
                <w:highlight w:val="none"/>
              </w:rPr>
            </w:pPr>
            <w:r>
              <w:rPr>
                <w:rFonts w:hint="eastAsia"/>
                <w:color w:val="auto"/>
                <w:sz w:val="18"/>
                <w:szCs w:val="18"/>
                <w:highlight w:val="none"/>
              </w:rPr>
              <w:t>XS1501008</w:t>
            </w:r>
          </w:p>
        </w:tc>
        <w:tc>
          <w:tcPr>
            <w:tcW w:w="709" w:type="dxa"/>
            <w:vAlign w:val="center"/>
          </w:tcPr>
          <w:p w14:paraId="4B7BDA43">
            <w:pPr>
              <w:jc w:val="center"/>
              <w:rPr>
                <w:color w:val="auto"/>
                <w:sz w:val="18"/>
                <w:szCs w:val="18"/>
                <w:highlight w:val="none"/>
              </w:rPr>
            </w:pPr>
            <w:r>
              <w:rPr>
                <w:rFonts w:hint="eastAsia"/>
                <w:color w:val="auto"/>
                <w:sz w:val="18"/>
                <w:szCs w:val="18"/>
                <w:highlight w:val="none"/>
              </w:rPr>
              <w:t>2</w:t>
            </w:r>
          </w:p>
        </w:tc>
        <w:tc>
          <w:tcPr>
            <w:tcW w:w="709" w:type="dxa"/>
            <w:vAlign w:val="center"/>
          </w:tcPr>
          <w:p w14:paraId="6A9AE0CF">
            <w:pPr>
              <w:jc w:val="center"/>
              <w:rPr>
                <w:color w:val="auto"/>
                <w:sz w:val="18"/>
                <w:szCs w:val="18"/>
                <w:highlight w:val="none"/>
              </w:rPr>
            </w:pPr>
            <w:r>
              <w:rPr>
                <w:rFonts w:hint="eastAsia"/>
                <w:color w:val="auto"/>
                <w:sz w:val="18"/>
                <w:szCs w:val="18"/>
                <w:highlight w:val="none"/>
              </w:rPr>
              <w:t>1</w:t>
            </w:r>
          </w:p>
        </w:tc>
        <w:tc>
          <w:tcPr>
            <w:tcW w:w="1146" w:type="dxa"/>
            <w:vAlign w:val="center"/>
          </w:tcPr>
          <w:p w14:paraId="247E4ED0">
            <w:pPr>
              <w:jc w:val="center"/>
              <w:rPr>
                <w:color w:val="auto"/>
                <w:sz w:val="18"/>
                <w:szCs w:val="18"/>
                <w:highlight w:val="none"/>
              </w:rPr>
            </w:pPr>
            <w:r>
              <w:rPr>
                <w:rFonts w:hint="eastAsia"/>
                <w:color w:val="auto"/>
                <w:sz w:val="18"/>
                <w:szCs w:val="18"/>
                <w:highlight w:val="none"/>
              </w:rPr>
              <w:t>考试</w:t>
            </w:r>
          </w:p>
        </w:tc>
      </w:tr>
      <w:tr w14:paraId="3A8C47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BDA4BDB">
            <w:pPr>
              <w:jc w:val="center"/>
              <w:rPr>
                <w:b/>
                <w:color w:val="auto"/>
                <w:sz w:val="18"/>
                <w:szCs w:val="18"/>
                <w:highlight w:val="none"/>
              </w:rPr>
            </w:pPr>
            <w:r>
              <w:rPr>
                <w:b/>
                <w:color w:val="auto"/>
                <w:sz w:val="18"/>
                <w:szCs w:val="18"/>
                <w:highlight w:val="none"/>
              </w:rPr>
              <w:t>非学位课</w:t>
            </w:r>
          </w:p>
          <w:p w14:paraId="15CEAAE4">
            <w:pPr>
              <w:jc w:val="center"/>
              <w:rPr>
                <w:rFonts w:hint="default"/>
                <w:b/>
                <w:color w:val="auto"/>
                <w:sz w:val="18"/>
                <w:szCs w:val="18"/>
                <w:highlight w:val="none"/>
                <w:lang w:val="en-US" w:eastAsia="zh-CN"/>
              </w:rPr>
            </w:pPr>
            <w:r>
              <w:rPr>
                <w:rFonts w:hint="eastAsia"/>
                <w:b/>
                <w:color w:val="auto"/>
                <w:sz w:val="18"/>
                <w:szCs w:val="18"/>
                <w:highlight w:val="none"/>
                <w:lang w:val="en-US" w:eastAsia="zh-CN"/>
              </w:rPr>
              <w:t>10分</w:t>
            </w:r>
          </w:p>
          <w:p w14:paraId="02F263B9">
            <w:pPr>
              <w:jc w:val="center"/>
              <w:rPr>
                <w:b/>
                <w:color w:val="auto"/>
                <w:sz w:val="18"/>
                <w:szCs w:val="18"/>
                <w:highlight w:val="none"/>
              </w:rPr>
            </w:pPr>
          </w:p>
        </w:tc>
        <w:tc>
          <w:tcPr>
            <w:tcW w:w="1413" w:type="dxa"/>
            <w:vMerge w:val="restart"/>
            <w:vAlign w:val="center"/>
          </w:tcPr>
          <w:p w14:paraId="353C576C">
            <w:pPr>
              <w:jc w:val="center"/>
              <w:rPr>
                <w:b/>
                <w:color w:val="auto"/>
                <w:sz w:val="18"/>
                <w:szCs w:val="18"/>
                <w:highlight w:val="none"/>
              </w:rPr>
            </w:pPr>
            <w:r>
              <w:rPr>
                <w:b/>
                <w:color w:val="auto"/>
                <w:sz w:val="18"/>
                <w:szCs w:val="18"/>
                <w:highlight w:val="none"/>
              </w:rPr>
              <w:t>公共</w:t>
            </w:r>
            <w:r>
              <w:rPr>
                <w:rFonts w:hint="eastAsia"/>
                <w:b/>
                <w:color w:val="auto"/>
                <w:sz w:val="18"/>
                <w:szCs w:val="18"/>
                <w:highlight w:val="none"/>
              </w:rPr>
              <w:t>通识</w:t>
            </w:r>
            <w:r>
              <w:rPr>
                <w:b/>
                <w:color w:val="auto"/>
                <w:sz w:val="18"/>
                <w:szCs w:val="18"/>
                <w:highlight w:val="none"/>
              </w:rPr>
              <w:t>课</w:t>
            </w:r>
          </w:p>
          <w:p w14:paraId="5FBE655F">
            <w:pPr>
              <w:jc w:val="center"/>
              <w:rPr>
                <w:b/>
                <w:color w:val="auto"/>
                <w:sz w:val="18"/>
                <w:szCs w:val="18"/>
                <w:highlight w:val="none"/>
              </w:rPr>
            </w:pPr>
            <w:r>
              <w:rPr>
                <w:b/>
                <w:color w:val="auto"/>
                <w:sz w:val="18"/>
                <w:szCs w:val="18"/>
                <w:highlight w:val="none"/>
              </w:rPr>
              <w:t>（2学分）</w:t>
            </w:r>
          </w:p>
        </w:tc>
        <w:tc>
          <w:tcPr>
            <w:tcW w:w="3912" w:type="dxa"/>
            <w:vAlign w:val="center"/>
          </w:tcPr>
          <w:p w14:paraId="348C239F">
            <w:pPr>
              <w:rPr>
                <w:color w:val="auto"/>
                <w:sz w:val="18"/>
                <w:szCs w:val="18"/>
                <w:highlight w:val="none"/>
              </w:rPr>
            </w:pPr>
            <w:r>
              <w:rPr>
                <w:color w:val="auto"/>
                <w:sz w:val="18"/>
                <w:szCs w:val="18"/>
                <w:highlight w:val="none"/>
              </w:rPr>
              <w:t>《习近平谈治国理政》研读</w:t>
            </w:r>
          </w:p>
        </w:tc>
        <w:tc>
          <w:tcPr>
            <w:tcW w:w="1081" w:type="dxa"/>
            <w:vAlign w:val="center"/>
          </w:tcPr>
          <w:p w14:paraId="6CF1E099">
            <w:pPr>
              <w:jc w:val="center"/>
              <w:rPr>
                <w:color w:val="auto"/>
                <w:sz w:val="18"/>
                <w:szCs w:val="18"/>
                <w:highlight w:val="none"/>
              </w:rPr>
            </w:pPr>
            <w:r>
              <w:rPr>
                <w:color w:val="auto"/>
                <w:sz w:val="18"/>
                <w:szCs w:val="18"/>
                <w:highlight w:val="none"/>
              </w:rPr>
              <w:t>T</w:t>
            </w:r>
            <w:r>
              <w:rPr>
                <w:rFonts w:hint="eastAsia"/>
                <w:color w:val="auto"/>
                <w:sz w:val="18"/>
                <w:szCs w:val="18"/>
                <w:highlight w:val="none"/>
              </w:rPr>
              <w:t>T</w:t>
            </w:r>
            <w:r>
              <w:rPr>
                <w:color w:val="auto"/>
                <w:sz w:val="18"/>
                <w:szCs w:val="18"/>
                <w:highlight w:val="none"/>
              </w:rPr>
              <w:t>0000</w:t>
            </w:r>
            <w:r>
              <w:rPr>
                <w:rFonts w:hint="eastAsia"/>
                <w:color w:val="auto"/>
                <w:sz w:val="18"/>
                <w:szCs w:val="18"/>
                <w:highlight w:val="none"/>
              </w:rPr>
              <w:t>10</w:t>
            </w:r>
            <w:r>
              <w:rPr>
                <w:color w:val="auto"/>
                <w:sz w:val="18"/>
                <w:szCs w:val="18"/>
                <w:highlight w:val="none"/>
              </w:rPr>
              <w:t>1</w:t>
            </w:r>
          </w:p>
        </w:tc>
        <w:tc>
          <w:tcPr>
            <w:tcW w:w="709" w:type="dxa"/>
            <w:vAlign w:val="center"/>
          </w:tcPr>
          <w:p w14:paraId="1212D8E1">
            <w:pPr>
              <w:jc w:val="center"/>
              <w:rPr>
                <w:color w:val="auto"/>
                <w:sz w:val="18"/>
                <w:szCs w:val="18"/>
                <w:highlight w:val="none"/>
              </w:rPr>
            </w:pPr>
            <w:r>
              <w:rPr>
                <w:color w:val="auto"/>
                <w:sz w:val="18"/>
                <w:szCs w:val="18"/>
                <w:highlight w:val="none"/>
              </w:rPr>
              <w:t>1</w:t>
            </w:r>
          </w:p>
        </w:tc>
        <w:tc>
          <w:tcPr>
            <w:tcW w:w="709" w:type="dxa"/>
            <w:vAlign w:val="center"/>
          </w:tcPr>
          <w:p w14:paraId="0F9815C6">
            <w:pPr>
              <w:jc w:val="center"/>
              <w:rPr>
                <w:color w:val="auto"/>
                <w:sz w:val="18"/>
                <w:szCs w:val="18"/>
                <w:highlight w:val="none"/>
              </w:rPr>
            </w:pPr>
            <w:r>
              <w:rPr>
                <w:color w:val="auto"/>
                <w:sz w:val="18"/>
                <w:szCs w:val="18"/>
                <w:highlight w:val="none"/>
              </w:rPr>
              <w:t>2</w:t>
            </w:r>
          </w:p>
        </w:tc>
        <w:tc>
          <w:tcPr>
            <w:tcW w:w="1146" w:type="dxa"/>
            <w:vAlign w:val="center"/>
          </w:tcPr>
          <w:p w14:paraId="042588F5">
            <w:pPr>
              <w:jc w:val="center"/>
              <w:rPr>
                <w:color w:val="auto"/>
                <w:sz w:val="18"/>
                <w:szCs w:val="18"/>
                <w:highlight w:val="none"/>
              </w:rPr>
            </w:pPr>
            <w:r>
              <w:rPr>
                <w:rFonts w:hint="eastAsia"/>
                <w:color w:val="auto"/>
                <w:sz w:val="18"/>
                <w:szCs w:val="18"/>
                <w:highlight w:val="none"/>
              </w:rPr>
              <w:t>通修/考查</w:t>
            </w:r>
          </w:p>
        </w:tc>
      </w:tr>
      <w:tr w14:paraId="4F6427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43FD0AEE">
            <w:pPr>
              <w:jc w:val="center"/>
              <w:rPr>
                <w:b/>
                <w:color w:val="auto"/>
                <w:sz w:val="18"/>
                <w:szCs w:val="18"/>
                <w:highlight w:val="none"/>
              </w:rPr>
            </w:pPr>
          </w:p>
        </w:tc>
        <w:tc>
          <w:tcPr>
            <w:tcW w:w="1413" w:type="dxa"/>
            <w:vMerge w:val="continue"/>
            <w:vAlign w:val="center"/>
          </w:tcPr>
          <w:p w14:paraId="69999AF7">
            <w:pPr>
              <w:jc w:val="center"/>
              <w:rPr>
                <w:b/>
                <w:color w:val="auto"/>
                <w:sz w:val="18"/>
                <w:szCs w:val="18"/>
                <w:highlight w:val="none"/>
              </w:rPr>
            </w:pPr>
          </w:p>
        </w:tc>
        <w:tc>
          <w:tcPr>
            <w:tcW w:w="3912" w:type="dxa"/>
            <w:vAlign w:val="center"/>
          </w:tcPr>
          <w:p w14:paraId="7663C836">
            <w:pPr>
              <w:adjustRightInd w:val="0"/>
              <w:rPr>
                <w:color w:val="auto"/>
                <w:sz w:val="18"/>
                <w:szCs w:val="18"/>
                <w:highlight w:val="none"/>
              </w:rPr>
            </w:pPr>
            <w:r>
              <w:rPr>
                <w:color w:val="auto"/>
                <w:sz w:val="18"/>
                <w:szCs w:val="18"/>
                <w:highlight w:val="none"/>
              </w:rPr>
              <w:t>自然辩证法</w:t>
            </w:r>
            <w:r>
              <w:rPr>
                <w:rFonts w:hint="eastAsia"/>
                <w:color w:val="auto"/>
                <w:sz w:val="18"/>
                <w:szCs w:val="18"/>
                <w:highlight w:val="none"/>
              </w:rPr>
              <w:t>概论</w:t>
            </w:r>
          </w:p>
        </w:tc>
        <w:tc>
          <w:tcPr>
            <w:tcW w:w="1081" w:type="dxa"/>
            <w:vAlign w:val="center"/>
          </w:tcPr>
          <w:p w14:paraId="72988734">
            <w:pPr>
              <w:jc w:val="center"/>
              <w:rPr>
                <w:color w:val="auto"/>
                <w:sz w:val="18"/>
                <w:szCs w:val="18"/>
                <w:highlight w:val="none"/>
              </w:rPr>
            </w:pPr>
            <w:r>
              <w:rPr>
                <w:color w:val="auto"/>
                <w:sz w:val="18"/>
                <w:szCs w:val="18"/>
                <w:highlight w:val="none"/>
              </w:rPr>
              <w:t>T</w:t>
            </w:r>
            <w:r>
              <w:rPr>
                <w:rFonts w:hint="eastAsia"/>
                <w:color w:val="auto"/>
                <w:sz w:val="18"/>
                <w:szCs w:val="18"/>
                <w:highlight w:val="none"/>
              </w:rPr>
              <w:t>S</w:t>
            </w:r>
            <w:r>
              <w:rPr>
                <w:color w:val="auto"/>
                <w:sz w:val="18"/>
                <w:szCs w:val="18"/>
                <w:highlight w:val="none"/>
              </w:rPr>
              <w:t>0000</w:t>
            </w:r>
            <w:r>
              <w:rPr>
                <w:rFonts w:hint="eastAsia"/>
                <w:color w:val="auto"/>
                <w:sz w:val="18"/>
                <w:szCs w:val="18"/>
                <w:highlight w:val="none"/>
              </w:rPr>
              <w:t>102</w:t>
            </w:r>
          </w:p>
        </w:tc>
        <w:tc>
          <w:tcPr>
            <w:tcW w:w="709" w:type="dxa"/>
            <w:vAlign w:val="center"/>
          </w:tcPr>
          <w:p w14:paraId="10148085">
            <w:pPr>
              <w:jc w:val="center"/>
              <w:rPr>
                <w:color w:val="auto"/>
                <w:sz w:val="18"/>
                <w:szCs w:val="18"/>
                <w:highlight w:val="none"/>
              </w:rPr>
            </w:pPr>
            <w:r>
              <w:rPr>
                <w:color w:val="auto"/>
                <w:sz w:val="18"/>
                <w:szCs w:val="18"/>
                <w:highlight w:val="none"/>
              </w:rPr>
              <w:t>1</w:t>
            </w:r>
          </w:p>
        </w:tc>
        <w:tc>
          <w:tcPr>
            <w:tcW w:w="709" w:type="dxa"/>
            <w:vAlign w:val="center"/>
          </w:tcPr>
          <w:p w14:paraId="7DBF2232">
            <w:pPr>
              <w:jc w:val="center"/>
              <w:rPr>
                <w:color w:val="auto"/>
                <w:sz w:val="18"/>
                <w:szCs w:val="18"/>
                <w:highlight w:val="none"/>
              </w:rPr>
            </w:pPr>
            <w:r>
              <w:rPr>
                <w:color w:val="auto"/>
                <w:sz w:val="18"/>
                <w:szCs w:val="18"/>
                <w:highlight w:val="none"/>
              </w:rPr>
              <w:t>2</w:t>
            </w:r>
          </w:p>
        </w:tc>
        <w:tc>
          <w:tcPr>
            <w:tcW w:w="1146" w:type="dxa"/>
            <w:vAlign w:val="center"/>
          </w:tcPr>
          <w:p w14:paraId="79E7B62A">
            <w:pPr>
              <w:jc w:val="center"/>
              <w:rPr>
                <w:color w:val="auto"/>
                <w:sz w:val="18"/>
                <w:szCs w:val="18"/>
                <w:highlight w:val="none"/>
              </w:rPr>
            </w:pPr>
            <w:r>
              <w:rPr>
                <w:rFonts w:hint="eastAsia"/>
                <w:color w:val="auto"/>
                <w:sz w:val="18"/>
                <w:szCs w:val="18"/>
                <w:highlight w:val="none"/>
              </w:rPr>
              <w:t>通修/考查</w:t>
            </w:r>
          </w:p>
        </w:tc>
      </w:tr>
      <w:tr w14:paraId="4F35F0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4" w:hRule="atLeast"/>
          <w:jc w:val="center"/>
        </w:trPr>
        <w:tc>
          <w:tcPr>
            <w:tcW w:w="571" w:type="dxa"/>
            <w:vMerge w:val="continue"/>
          </w:tcPr>
          <w:p w14:paraId="07BE9FB0">
            <w:pPr>
              <w:rPr>
                <w:b/>
                <w:color w:val="auto"/>
                <w:sz w:val="18"/>
                <w:szCs w:val="18"/>
                <w:highlight w:val="none"/>
              </w:rPr>
            </w:pPr>
          </w:p>
        </w:tc>
        <w:tc>
          <w:tcPr>
            <w:tcW w:w="1413" w:type="dxa"/>
            <w:vMerge w:val="restart"/>
            <w:vAlign w:val="center"/>
          </w:tcPr>
          <w:p w14:paraId="40BEFCBC">
            <w:pPr>
              <w:adjustRightInd w:val="0"/>
              <w:snapToGrid w:val="0"/>
              <w:jc w:val="center"/>
              <w:rPr>
                <w:rFonts w:hint="eastAsia"/>
                <w:b/>
                <w:color w:val="auto"/>
                <w:sz w:val="18"/>
                <w:szCs w:val="18"/>
                <w:highlight w:val="none"/>
                <w:lang w:eastAsia="zh-CN"/>
              </w:rPr>
            </w:pPr>
            <w:r>
              <w:rPr>
                <w:rFonts w:hint="eastAsia"/>
                <w:b/>
                <w:color w:val="auto"/>
                <w:sz w:val="18"/>
                <w:szCs w:val="18"/>
                <w:highlight w:val="none"/>
              </w:rPr>
              <w:t>食品</w:t>
            </w:r>
            <w:r>
              <w:rPr>
                <w:rFonts w:hint="eastAsia"/>
                <w:b/>
                <w:color w:val="auto"/>
                <w:sz w:val="18"/>
                <w:szCs w:val="18"/>
                <w:highlight w:val="none"/>
                <w:lang w:eastAsia="zh-CN"/>
              </w:rPr>
              <w:t>质量</w:t>
            </w:r>
            <w:r>
              <w:rPr>
                <w:rFonts w:hint="eastAsia"/>
                <w:b/>
                <w:color w:val="auto"/>
                <w:sz w:val="18"/>
                <w:szCs w:val="18"/>
                <w:highlight w:val="none"/>
              </w:rPr>
              <w:t>检测</w:t>
            </w:r>
            <w:r>
              <w:rPr>
                <w:rFonts w:hint="eastAsia"/>
                <w:b/>
                <w:color w:val="auto"/>
                <w:sz w:val="18"/>
                <w:szCs w:val="18"/>
                <w:highlight w:val="none"/>
                <w:lang w:val="en-US" w:eastAsia="zh-CN"/>
              </w:rPr>
              <w:t>技术</w:t>
            </w:r>
          </w:p>
          <w:p w14:paraId="65A0F20A">
            <w:pPr>
              <w:jc w:val="center"/>
              <w:rPr>
                <w:b/>
                <w:color w:val="auto"/>
                <w:sz w:val="18"/>
                <w:szCs w:val="18"/>
                <w:highlight w:val="none"/>
              </w:rPr>
            </w:pPr>
            <w:r>
              <w:rPr>
                <w:rFonts w:hint="eastAsia"/>
                <w:b/>
                <w:color w:val="auto"/>
                <w:sz w:val="18"/>
                <w:szCs w:val="18"/>
                <w:highlight w:val="none"/>
              </w:rPr>
              <w:t>选修课</w:t>
            </w:r>
          </w:p>
          <w:p w14:paraId="43B9CC71">
            <w:pPr>
              <w:jc w:val="center"/>
              <w:rPr>
                <w:b/>
                <w:color w:val="auto"/>
                <w:sz w:val="18"/>
                <w:szCs w:val="18"/>
                <w:highlight w:val="none"/>
              </w:rPr>
            </w:pPr>
          </w:p>
        </w:tc>
        <w:tc>
          <w:tcPr>
            <w:tcW w:w="3912" w:type="dxa"/>
            <w:shd w:val="clear" w:color="auto" w:fill="auto"/>
            <w:vAlign w:val="center"/>
          </w:tcPr>
          <w:p w14:paraId="451EA1F8">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动态测试信号处理与建模</w:t>
            </w:r>
          </w:p>
        </w:tc>
        <w:tc>
          <w:tcPr>
            <w:tcW w:w="1081" w:type="dxa"/>
            <w:shd w:val="clear" w:color="auto" w:fill="auto"/>
            <w:vAlign w:val="center"/>
          </w:tcPr>
          <w:p w14:paraId="790E836D">
            <w:pPr>
              <w:jc w:val="center"/>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XS1501004</w:t>
            </w:r>
          </w:p>
        </w:tc>
        <w:tc>
          <w:tcPr>
            <w:tcW w:w="709" w:type="dxa"/>
            <w:shd w:val="clear" w:color="auto" w:fill="auto"/>
            <w:vAlign w:val="center"/>
          </w:tcPr>
          <w:p w14:paraId="1E2AFE3B">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14C44701">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restart"/>
            <w:vAlign w:val="center"/>
          </w:tcPr>
          <w:p w14:paraId="30928DC0">
            <w:pPr>
              <w:adjustRightInd w:val="0"/>
              <w:snapToGrid w:val="0"/>
              <w:jc w:val="center"/>
              <w:rPr>
                <w:color w:val="auto"/>
                <w:sz w:val="18"/>
                <w:szCs w:val="18"/>
                <w:highlight w:val="none"/>
              </w:rPr>
            </w:pPr>
            <w:r>
              <w:rPr>
                <w:rFonts w:hint="eastAsia"/>
                <w:color w:val="auto"/>
                <w:sz w:val="18"/>
                <w:szCs w:val="18"/>
                <w:highlight w:val="none"/>
              </w:rPr>
              <w:t>本方向研究生至少选修</w:t>
            </w:r>
          </w:p>
          <w:p w14:paraId="64BBC4C8">
            <w:pPr>
              <w:jc w:val="center"/>
              <w:rPr>
                <w:color w:val="auto"/>
                <w:sz w:val="18"/>
                <w:szCs w:val="18"/>
                <w:highlight w:val="none"/>
              </w:rPr>
            </w:pPr>
            <w:r>
              <w:rPr>
                <w:rFonts w:hint="eastAsia"/>
                <w:color w:val="auto"/>
                <w:sz w:val="18"/>
                <w:szCs w:val="18"/>
                <w:highlight w:val="none"/>
                <w:lang w:val="en-US" w:eastAsia="zh-CN"/>
              </w:rPr>
              <w:t>8</w:t>
            </w:r>
            <w:r>
              <w:rPr>
                <w:rFonts w:hint="eastAsia"/>
                <w:color w:val="auto"/>
                <w:sz w:val="18"/>
                <w:szCs w:val="18"/>
                <w:highlight w:val="none"/>
              </w:rPr>
              <w:t>学分</w:t>
            </w:r>
          </w:p>
        </w:tc>
      </w:tr>
      <w:tr w14:paraId="3D415C7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54" w:hRule="atLeast"/>
          <w:jc w:val="center"/>
        </w:trPr>
        <w:tc>
          <w:tcPr>
            <w:tcW w:w="571" w:type="dxa"/>
            <w:vMerge w:val="continue"/>
          </w:tcPr>
          <w:p w14:paraId="554FACEF">
            <w:pPr>
              <w:rPr>
                <w:b/>
                <w:color w:val="auto"/>
                <w:sz w:val="18"/>
                <w:szCs w:val="18"/>
                <w:highlight w:val="none"/>
              </w:rPr>
            </w:pPr>
          </w:p>
        </w:tc>
        <w:tc>
          <w:tcPr>
            <w:tcW w:w="1413" w:type="dxa"/>
            <w:vMerge w:val="continue"/>
            <w:vAlign w:val="center"/>
          </w:tcPr>
          <w:p w14:paraId="7A327875">
            <w:pPr>
              <w:jc w:val="center"/>
              <w:rPr>
                <w:b/>
                <w:color w:val="auto"/>
                <w:sz w:val="18"/>
                <w:szCs w:val="18"/>
                <w:highlight w:val="none"/>
              </w:rPr>
            </w:pPr>
          </w:p>
        </w:tc>
        <w:tc>
          <w:tcPr>
            <w:tcW w:w="3912" w:type="dxa"/>
            <w:shd w:val="clear" w:color="auto" w:fill="auto"/>
            <w:vAlign w:val="center"/>
          </w:tcPr>
          <w:p w14:paraId="77AAFC52">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新型传感技术及应用</w:t>
            </w:r>
          </w:p>
        </w:tc>
        <w:tc>
          <w:tcPr>
            <w:tcW w:w="1081" w:type="dxa"/>
            <w:shd w:val="clear" w:color="auto" w:fill="auto"/>
            <w:vAlign w:val="center"/>
          </w:tcPr>
          <w:p w14:paraId="39E7955D">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XS1501005</w:t>
            </w:r>
          </w:p>
        </w:tc>
        <w:tc>
          <w:tcPr>
            <w:tcW w:w="709" w:type="dxa"/>
            <w:shd w:val="clear" w:color="auto" w:fill="auto"/>
            <w:vAlign w:val="center"/>
          </w:tcPr>
          <w:p w14:paraId="3FA35B38">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32FBB6E1">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022095D5">
            <w:pPr>
              <w:ind w:firstLine="105" w:firstLineChars="50"/>
              <w:rPr>
                <w:color w:val="auto"/>
                <w:highlight w:val="none"/>
              </w:rPr>
            </w:pPr>
          </w:p>
        </w:tc>
      </w:tr>
      <w:tr w14:paraId="555EEB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3317E0">
            <w:pPr>
              <w:rPr>
                <w:b/>
                <w:color w:val="auto"/>
                <w:sz w:val="18"/>
                <w:szCs w:val="18"/>
                <w:highlight w:val="none"/>
              </w:rPr>
            </w:pPr>
          </w:p>
        </w:tc>
        <w:tc>
          <w:tcPr>
            <w:tcW w:w="1413" w:type="dxa"/>
            <w:vMerge w:val="continue"/>
            <w:vAlign w:val="center"/>
          </w:tcPr>
          <w:p w14:paraId="45703AFC">
            <w:pPr>
              <w:jc w:val="center"/>
              <w:rPr>
                <w:b/>
                <w:color w:val="auto"/>
                <w:sz w:val="18"/>
                <w:szCs w:val="18"/>
                <w:highlight w:val="none"/>
              </w:rPr>
            </w:pPr>
          </w:p>
        </w:tc>
        <w:tc>
          <w:tcPr>
            <w:tcW w:w="3912" w:type="dxa"/>
            <w:shd w:val="clear" w:color="auto" w:fill="auto"/>
            <w:vAlign w:val="center"/>
          </w:tcPr>
          <w:p w14:paraId="1B78BF05">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现代光学测试技术</w:t>
            </w:r>
          </w:p>
        </w:tc>
        <w:tc>
          <w:tcPr>
            <w:tcW w:w="1081" w:type="dxa"/>
            <w:shd w:val="clear" w:color="auto" w:fill="auto"/>
            <w:vAlign w:val="center"/>
          </w:tcPr>
          <w:p w14:paraId="18B33049">
            <w:pPr>
              <w:jc w:val="center"/>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XS1501007</w:t>
            </w:r>
          </w:p>
        </w:tc>
        <w:tc>
          <w:tcPr>
            <w:tcW w:w="709" w:type="dxa"/>
            <w:shd w:val="clear" w:color="auto" w:fill="auto"/>
            <w:vAlign w:val="center"/>
          </w:tcPr>
          <w:p w14:paraId="212BF7A7">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45A91FF3">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45FC7E4A">
            <w:pPr>
              <w:ind w:firstLine="105" w:firstLineChars="50"/>
              <w:rPr>
                <w:color w:val="auto"/>
                <w:highlight w:val="none"/>
              </w:rPr>
            </w:pPr>
          </w:p>
        </w:tc>
      </w:tr>
      <w:tr w14:paraId="561734C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A5EA510">
            <w:pPr>
              <w:rPr>
                <w:b/>
                <w:color w:val="auto"/>
                <w:sz w:val="18"/>
                <w:szCs w:val="18"/>
                <w:highlight w:val="none"/>
              </w:rPr>
            </w:pPr>
          </w:p>
        </w:tc>
        <w:tc>
          <w:tcPr>
            <w:tcW w:w="1413" w:type="dxa"/>
            <w:vMerge w:val="continue"/>
            <w:vAlign w:val="center"/>
          </w:tcPr>
          <w:p w14:paraId="36EABC95">
            <w:pPr>
              <w:jc w:val="center"/>
              <w:rPr>
                <w:b/>
                <w:color w:val="auto"/>
                <w:sz w:val="18"/>
                <w:szCs w:val="18"/>
                <w:highlight w:val="none"/>
              </w:rPr>
            </w:pPr>
          </w:p>
        </w:tc>
        <w:tc>
          <w:tcPr>
            <w:tcW w:w="3912" w:type="dxa"/>
            <w:shd w:val="clear" w:color="auto" w:fill="auto"/>
            <w:vAlign w:val="center"/>
          </w:tcPr>
          <w:p w14:paraId="71BA28A9">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现代食品药品质量检测技术</w:t>
            </w:r>
          </w:p>
        </w:tc>
        <w:tc>
          <w:tcPr>
            <w:tcW w:w="1081" w:type="dxa"/>
            <w:shd w:val="clear" w:color="auto" w:fill="auto"/>
            <w:vAlign w:val="center"/>
          </w:tcPr>
          <w:p w14:paraId="2CBA4884">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XS1501205</w:t>
            </w:r>
          </w:p>
        </w:tc>
        <w:tc>
          <w:tcPr>
            <w:tcW w:w="709" w:type="dxa"/>
            <w:shd w:val="clear" w:color="auto" w:fill="auto"/>
            <w:vAlign w:val="center"/>
          </w:tcPr>
          <w:p w14:paraId="3EB2A49A">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0F40EFD8">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6B90DFB7">
            <w:pPr>
              <w:ind w:firstLine="105" w:firstLineChars="50"/>
              <w:rPr>
                <w:color w:val="auto"/>
                <w:highlight w:val="none"/>
              </w:rPr>
            </w:pPr>
          </w:p>
        </w:tc>
      </w:tr>
      <w:tr w14:paraId="69964C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79282A5">
            <w:pPr>
              <w:rPr>
                <w:b/>
                <w:color w:val="auto"/>
                <w:sz w:val="18"/>
                <w:szCs w:val="18"/>
                <w:highlight w:val="none"/>
              </w:rPr>
            </w:pPr>
          </w:p>
        </w:tc>
        <w:tc>
          <w:tcPr>
            <w:tcW w:w="1413" w:type="dxa"/>
            <w:vMerge w:val="continue"/>
            <w:vAlign w:val="center"/>
          </w:tcPr>
          <w:p w14:paraId="59E07712">
            <w:pPr>
              <w:jc w:val="center"/>
              <w:rPr>
                <w:b/>
                <w:color w:val="auto"/>
                <w:sz w:val="18"/>
                <w:szCs w:val="18"/>
                <w:highlight w:val="none"/>
              </w:rPr>
            </w:pPr>
          </w:p>
        </w:tc>
        <w:tc>
          <w:tcPr>
            <w:tcW w:w="3912" w:type="dxa"/>
            <w:shd w:val="clear" w:color="auto" w:fill="auto"/>
            <w:vAlign w:val="center"/>
          </w:tcPr>
          <w:p w14:paraId="14E8DCFC">
            <w:pPr>
              <w:adjustRightInd w:val="0"/>
              <w:snapToGrid w:val="0"/>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食品化学</w:t>
            </w:r>
          </w:p>
        </w:tc>
        <w:tc>
          <w:tcPr>
            <w:tcW w:w="1081" w:type="dxa"/>
            <w:shd w:val="clear" w:color="auto" w:fill="auto"/>
            <w:vAlign w:val="center"/>
          </w:tcPr>
          <w:p w14:paraId="1AF57EDD">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ZS1506201</w:t>
            </w:r>
          </w:p>
        </w:tc>
        <w:tc>
          <w:tcPr>
            <w:tcW w:w="709" w:type="dxa"/>
            <w:shd w:val="clear" w:color="auto" w:fill="auto"/>
            <w:vAlign w:val="center"/>
          </w:tcPr>
          <w:p w14:paraId="45782733">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00BCE504">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vAlign w:val="center"/>
          </w:tcPr>
          <w:p w14:paraId="17BA3120">
            <w:pPr>
              <w:jc w:val="center"/>
              <w:rPr>
                <w:color w:val="auto"/>
                <w:sz w:val="18"/>
                <w:szCs w:val="18"/>
                <w:highlight w:val="none"/>
              </w:rPr>
            </w:pPr>
          </w:p>
        </w:tc>
      </w:tr>
      <w:tr w14:paraId="7701AE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CFEDAA1">
            <w:pPr>
              <w:rPr>
                <w:b/>
                <w:color w:val="auto"/>
                <w:sz w:val="18"/>
                <w:szCs w:val="18"/>
                <w:highlight w:val="none"/>
              </w:rPr>
            </w:pPr>
          </w:p>
        </w:tc>
        <w:tc>
          <w:tcPr>
            <w:tcW w:w="1413" w:type="dxa"/>
            <w:vMerge w:val="restart"/>
            <w:vAlign w:val="center"/>
          </w:tcPr>
          <w:p w14:paraId="1947F43F">
            <w:pPr>
              <w:adjustRightInd w:val="0"/>
              <w:snapToGrid w:val="0"/>
              <w:jc w:val="center"/>
              <w:rPr>
                <w:b/>
                <w:i/>
                <w:color w:val="auto"/>
                <w:sz w:val="18"/>
                <w:szCs w:val="18"/>
                <w:highlight w:val="none"/>
              </w:rPr>
            </w:pPr>
            <w:r>
              <w:rPr>
                <w:rFonts w:hint="eastAsia"/>
                <w:b/>
                <w:color w:val="auto"/>
                <w:sz w:val="18"/>
                <w:szCs w:val="18"/>
                <w:highlight w:val="none"/>
              </w:rPr>
              <w:t>生物医药分析技术与仪器</w:t>
            </w:r>
          </w:p>
          <w:p w14:paraId="11486F12">
            <w:pPr>
              <w:jc w:val="center"/>
              <w:rPr>
                <w:b/>
                <w:color w:val="auto"/>
                <w:sz w:val="18"/>
                <w:szCs w:val="18"/>
                <w:highlight w:val="none"/>
              </w:rPr>
            </w:pPr>
            <w:r>
              <w:rPr>
                <w:rFonts w:hint="eastAsia"/>
                <w:b/>
                <w:color w:val="auto"/>
                <w:sz w:val="18"/>
                <w:szCs w:val="18"/>
                <w:highlight w:val="none"/>
              </w:rPr>
              <w:t>选修课</w:t>
            </w:r>
          </w:p>
          <w:p w14:paraId="6C2EAEE5">
            <w:pPr>
              <w:jc w:val="center"/>
              <w:rPr>
                <w:b/>
                <w:color w:val="auto"/>
                <w:sz w:val="18"/>
                <w:szCs w:val="18"/>
                <w:highlight w:val="none"/>
              </w:rPr>
            </w:pPr>
          </w:p>
        </w:tc>
        <w:tc>
          <w:tcPr>
            <w:tcW w:w="3912" w:type="dxa"/>
            <w:shd w:val="clear" w:color="auto" w:fill="auto"/>
            <w:vAlign w:val="center"/>
          </w:tcPr>
          <w:p w14:paraId="7BE437DA">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动态测试信号处理与建模</w:t>
            </w:r>
          </w:p>
        </w:tc>
        <w:tc>
          <w:tcPr>
            <w:tcW w:w="1081" w:type="dxa"/>
            <w:shd w:val="clear" w:color="auto" w:fill="auto"/>
            <w:vAlign w:val="center"/>
          </w:tcPr>
          <w:p w14:paraId="37215A3D">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XS1501004</w:t>
            </w:r>
          </w:p>
        </w:tc>
        <w:tc>
          <w:tcPr>
            <w:tcW w:w="709" w:type="dxa"/>
            <w:shd w:val="clear" w:color="auto" w:fill="auto"/>
            <w:vAlign w:val="center"/>
          </w:tcPr>
          <w:p w14:paraId="2F9DDA6D">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6E5FC07F">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restart"/>
            <w:vAlign w:val="center"/>
          </w:tcPr>
          <w:p w14:paraId="4FBF6B0D">
            <w:pPr>
              <w:adjustRightInd w:val="0"/>
              <w:snapToGrid w:val="0"/>
              <w:jc w:val="center"/>
              <w:rPr>
                <w:color w:val="auto"/>
                <w:sz w:val="18"/>
                <w:szCs w:val="18"/>
                <w:highlight w:val="none"/>
              </w:rPr>
            </w:pPr>
            <w:r>
              <w:rPr>
                <w:rFonts w:hint="eastAsia"/>
                <w:color w:val="auto"/>
                <w:sz w:val="18"/>
                <w:szCs w:val="18"/>
                <w:highlight w:val="none"/>
              </w:rPr>
              <w:t>本方向研究生至少选修</w:t>
            </w:r>
          </w:p>
          <w:p w14:paraId="2D5746F7">
            <w:pPr>
              <w:jc w:val="center"/>
              <w:rPr>
                <w:color w:val="auto"/>
                <w:sz w:val="18"/>
                <w:szCs w:val="18"/>
                <w:highlight w:val="none"/>
              </w:rPr>
            </w:pPr>
            <w:r>
              <w:rPr>
                <w:rFonts w:hint="eastAsia"/>
                <w:color w:val="auto"/>
                <w:sz w:val="18"/>
                <w:szCs w:val="18"/>
                <w:highlight w:val="none"/>
                <w:lang w:val="en-US" w:eastAsia="zh-CN"/>
              </w:rPr>
              <w:t>8</w:t>
            </w:r>
            <w:r>
              <w:rPr>
                <w:rFonts w:hint="eastAsia"/>
                <w:color w:val="auto"/>
                <w:sz w:val="18"/>
                <w:szCs w:val="18"/>
                <w:highlight w:val="none"/>
              </w:rPr>
              <w:t>学分</w:t>
            </w:r>
          </w:p>
        </w:tc>
      </w:tr>
      <w:tr w14:paraId="5D58E5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0B7B2F">
            <w:pPr>
              <w:rPr>
                <w:b/>
                <w:color w:val="auto"/>
                <w:sz w:val="18"/>
                <w:szCs w:val="18"/>
                <w:highlight w:val="none"/>
              </w:rPr>
            </w:pPr>
          </w:p>
        </w:tc>
        <w:tc>
          <w:tcPr>
            <w:tcW w:w="1413" w:type="dxa"/>
            <w:vMerge w:val="continue"/>
            <w:vAlign w:val="center"/>
          </w:tcPr>
          <w:p w14:paraId="5568D316">
            <w:pPr>
              <w:jc w:val="center"/>
              <w:rPr>
                <w:b/>
                <w:color w:val="auto"/>
                <w:sz w:val="18"/>
                <w:szCs w:val="18"/>
                <w:highlight w:val="none"/>
              </w:rPr>
            </w:pPr>
          </w:p>
        </w:tc>
        <w:tc>
          <w:tcPr>
            <w:tcW w:w="3912" w:type="dxa"/>
            <w:shd w:val="clear" w:color="auto" w:fill="auto"/>
            <w:vAlign w:val="center"/>
          </w:tcPr>
          <w:p w14:paraId="509F7C53">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新型传感技术及应用</w:t>
            </w:r>
          </w:p>
        </w:tc>
        <w:tc>
          <w:tcPr>
            <w:tcW w:w="1081" w:type="dxa"/>
            <w:shd w:val="clear" w:color="auto" w:fill="auto"/>
            <w:vAlign w:val="center"/>
          </w:tcPr>
          <w:p w14:paraId="204D62D5">
            <w:pPr>
              <w:jc w:val="center"/>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XS1501005</w:t>
            </w:r>
          </w:p>
        </w:tc>
        <w:tc>
          <w:tcPr>
            <w:tcW w:w="709" w:type="dxa"/>
            <w:shd w:val="clear" w:color="auto" w:fill="auto"/>
            <w:vAlign w:val="center"/>
          </w:tcPr>
          <w:p w14:paraId="294AB652">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2615DF81">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36368201">
            <w:pPr>
              <w:ind w:firstLine="105" w:firstLineChars="50"/>
              <w:rPr>
                <w:color w:val="auto"/>
                <w:highlight w:val="none"/>
              </w:rPr>
            </w:pPr>
          </w:p>
        </w:tc>
      </w:tr>
      <w:tr w14:paraId="62C3DA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D29C1A">
            <w:pPr>
              <w:rPr>
                <w:b/>
                <w:color w:val="auto"/>
                <w:sz w:val="18"/>
                <w:szCs w:val="18"/>
                <w:highlight w:val="none"/>
              </w:rPr>
            </w:pPr>
          </w:p>
        </w:tc>
        <w:tc>
          <w:tcPr>
            <w:tcW w:w="1413" w:type="dxa"/>
            <w:vMerge w:val="continue"/>
            <w:vAlign w:val="center"/>
          </w:tcPr>
          <w:p w14:paraId="6D6E4A37">
            <w:pPr>
              <w:jc w:val="center"/>
              <w:rPr>
                <w:b/>
                <w:color w:val="auto"/>
                <w:sz w:val="18"/>
                <w:szCs w:val="18"/>
                <w:highlight w:val="none"/>
              </w:rPr>
            </w:pPr>
          </w:p>
        </w:tc>
        <w:tc>
          <w:tcPr>
            <w:tcW w:w="3912" w:type="dxa"/>
            <w:shd w:val="clear" w:color="auto" w:fill="auto"/>
            <w:vAlign w:val="center"/>
          </w:tcPr>
          <w:p w14:paraId="1CFFC7D2">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现代光学测试技术</w:t>
            </w:r>
          </w:p>
        </w:tc>
        <w:tc>
          <w:tcPr>
            <w:tcW w:w="1081" w:type="dxa"/>
            <w:shd w:val="clear" w:color="auto" w:fill="auto"/>
            <w:vAlign w:val="center"/>
          </w:tcPr>
          <w:p w14:paraId="2F3923E9">
            <w:pPr>
              <w:jc w:val="center"/>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XS1501007</w:t>
            </w:r>
          </w:p>
        </w:tc>
        <w:tc>
          <w:tcPr>
            <w:tcW w:w="709" w:type="dxa"/>
            <w:shd w:val="clear" w:color="auto" w:fill="auto"/>
            <w:vAlign w:val="center"/>
          </w:tcPr>
          <w:p w14:paraId="09774428">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2C3F86F0">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37316C7E">
            <w:pPr>
              <w:ind w:firstLine="105" w:firstLineChars="50"/>
              <w:rPr>
                <w:color w:val="auto"/>
                <w:highlight w:val="none"/>
              </w:rPr>
            </w:pPr>
          </w:p>
        </w:tc>
      </w:tr>
      <w:tr w14:paraId="2B3508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7EB1BDB">
            <w:pPr>
              <w:rPr>
                <w:b/>
                <w:color w:val="auto"/>
                <w:sz w:val="18"/>
                <w:szCs w:val="18"/>
                <w:highlight w:val="none"/>
              </w:rPr>
            </w:pPr>
          </w:p>
        </w:tc>
        <w:tc>
          <w:tcPr>
            <w:tcW w:w="1413" w:type="dxa"/>
            <w:vMerge w:val="continue"/>
            <w:vAlign w:val="center"/>
          </w:tcPr>
          <w:p w14:paraId="6D2E71BB">
            <w:pPr>
              <w:jc w:val="center"/>
              <w:rPr>
                <w:b/>
                <w:color w:val="auto"/>
                <w:sz w:val="18"/>
                <w:szCs w:val="18"/>
                <w:highlight w:val="none"/>
              </w:rPr>
            </w:pPr>
          </w:p>
        </w:tc>
        <w:tc>
          <w:tcPr>
            <w:tcW w:w="3912" w:type="dxa"/>
            <w:shd w:val="clear" w:color="auto" w:fill="auto"/>
            <w:vAlign w:val="center"/>
          </w:tcPr>
          <w:p w14:paraId="5713CBB3">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现代食品药品质量检测技术</w:t>
            </w:r>
          </w:p>
        </w:tc>
        <w:tc>
          <w:tcPr>
            <w:tcW w:w="1081" w:type="dxa"/>
            <w:shd w:val="clear" w:color="auto" w:fill="auto"/>
            <w:vAlign w:val="center"/>
          </w:tcPr>
          <w:p w14:paraId="738CB823">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XS1501205</w:t>
            </w:r>
          </w:p>
        </w:tc>
        <w:tc>
          <w:tcPr>
            <w:tcW w:w="709" w:type="dxa"/>
            <w:shd w:val="clear" w:color="auto" w:fill="auto"/>
            <w:vAlign w:val="center"/>
          </w:tcPr>
          <w:p w14:paraId="582A1EF7">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39E92343">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123B99C4">
            <w:pPr>
              <w:ind w:firstLine="105" w:firstLineChars="50"/>
              <w:rPr>
                <w:color w:val="auto"/>
                <w:highlight w:val="none"/>
              </w:rPr>
            </w:pPr>
          </w:p>
        </w:tc>
      </w:tr>
      <w:tr w14:paraId="1D7940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0" w:hRule="atLeast"/>
          <w:jc w:val="center"/>
        </w:trPr>
        <w:tc>
          <w:tcPr>
            <w:tcW w:w="571" w:type="dxa"/>
            <w:vMerge w:val="continue"/>
          </w:tcPr>
          <w:p w14:paraId="494BA991">
            <w:pPr>
              <w:rPr>
                <w:b/>
                <w:color w:val="auto"/>
                <w:sz w:val="18"/>
                <w:szCs w:val="18"/>
                <w:highlight w:val="none"/>
              </w:rPr>
            </w:pPr>
          </w:p>
        </w:tc>
        <w:tc>
          <w:tcPr>
            <w:tcW w:w="1413" w:type="dxa"/>
            <w:vMerge w:val="continue"/>
            <w:vAlign w:val="center"/>
          </w:tcPr>
          <w:p w14:paraId="1360612E">
            <w:pPr>
              <w:jc w:val="center"/>
              <w:rPr>
                <w:b/>
                <w:color w:val="auto"/>
                <w:sz w:val="18"/>
                <w:szCs w:val="18"/>
                <w:highlight w:val="none"/>
              </w:rPr>
            </w:pPr>
          </w:p>
        </w:tc>
        <w:tc>
          <w:tcPr>
            <w:tcW w:w="3912" w:type="dxa"/>
            <w:shd w:val="clear" w:color="auto" w:fill="auto"/>
            <w:vAlign w:val="center"/>
          </w:tcPr>
          <w:p w14:paraId="1903F1F3">
            <w:pPr>
              <w:adjustRightInd w:val="0"/>
              <w:snapToGrid w:val="0"/>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药物化学</w:t>
            </w:r>
          </w:p>
        </w:tc>
        <w:tc>
          <w:tcPr>
            <w:tcW w:w="1081" w:type="dxa"/>
            <w:shd w:val="clear" w:color="auto" w:fill="auto"/>
            <w:vAlign w:val="center"/>
          </w:tcPr>
          <w:p w14:paraId="73CE4962">
            <w:pPr>
              <w:jc w:val="center"/>
              <w:rPr>
                <w:rFonts w:hint="default"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ZS1506202</w:t>
            </w:r>
          </w:p>
        </w:tc>
        <w:tc>
          <w:tcPr>
            <w:tcW w:w="709" w:type="dxa"/>
            <w:shd w:val="clear" w:color="auto" w:fill="auto"/>
            <w:vAlign w:val="center"/>
          </w:tcPr>
          <w:p w14:paraId="2E88A2C1">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4B74B4C6">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vAlign w:val="center"/>
          </w:tcPr>
          <w:p w14:paraId="3E4CC03E">
            <w:pPr>
              <w:jc w:val="center"/>
              <w:rPr>
                <w:color w:val="auto"/>
                <w:sz w:val="18"/>
                <w:szCs w:val="18"/>
                <w:highlight w:val="none"/>
              </w:rPr>
            </w:pPr>
          </w:p>
        </w:tc>
      </w:tr>
      <w:tr w14:paraId="2FF434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66C0387">
            <w:pPr>
              <w:rPr>
                <w:b/>
                <w:color w:val="auto"/>
                <w:sz w:val="18"/>
                <w:szCs w:val="18"/>
                <w:highlight w:val="none"/>
              </w:rPr>
            </w:pPr>
          </w:p>
        </w:tc>
        <w:tc>
          <w:tcPr>
            <w:tcW w:w="1413" w:type="dxa"/>
            <w:vMerge w:val="restart"/>
            <w:vAlign w:val="center"/>
          </w:tcPr>
          <w:p w14:paraId="3B390108">
            <w:pPr>
              <w:jc w:val="center"/>
              <w:rPr>
                <w:b/>
                <w:color w:val="auto"/>
                <w:sz w:val="18"/>
                <w:szCs w:val="18"/>
                <w:highlight w:val="none"/>
              </w:rPr>
            </w:pPr>
            <w:r>
              <w:rPr>
                <w:rFonts w:hint="eastAsia"/>
                <w:b/>
                <w:color w:val="auto"/>
                <w:sz w:val="18"/>
                <w:szCs w:val="18"/>
                <w:highlight w:val="none"/>
              </w:rPr>
              <w:t>医药产品质量控制与评价</w:t>
            </w:r>
            <w:r>
              <w:rPr>
                <w:rFonts w:hint="eastAsia"/>
                <w:b/>
                <w:color w:val="auto"/>
                <w:sz w:val="18"/>
                <w:szCs w:val="18"/>
                <w:highlight w:val="none"/>
                <w:lang w:val="en-US" w:eastAsia="zh-CN"/>
              </w:rPr>
              <w:t xml:space="preserve">  </w:t>
            </w:r>
            <w:r>
              <w:rPr>
                <w:rFonts w:hint="eastAsia"/>
                <w:b/>
                <w:color w:val="auto"/>
                <w:sz w:val="18"/>
                <w:szCs w:val="18"/>
                <w:highlight w:val="none"/>
              </w:rPr>
              <w:t>选修课</w:t>
            </w:r>
          </w:p>
          <w:p w14:paraId="0C42E027">
            <w:pPr>
              <w:jc w:val="center"/>
              <w:rPr>
                <w:b/>
                <w:color w:val="auto"/>
                <w:sz w:val="18"/>
                <w:szCs w:val="18"/>
                <w:highlight w:val="none"/>
              </w:rPr>
            </w:pPr>
          </w:p>
        </w:tc>
        <w:tc>
          <w:tcPr>
            <w:tcW w:w="3912" w:type="dxa"/>
            <w:shd w:val="clear" w:color="auto" w:fill="auto"/>
            <w:vAlign w:val="center"/>
          </w:tcPr>
          <w:p w14:paraId="73F067C3">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动态测试信号处理与建模</w:t>
            </w:r>
          </w:p>
        </w:tc>
        <w:tc>
          <w:tcPr>
            <w:tcW w:w="1081" w:type="dxa"/>
            <w:shd w:val="clear" w:color="auto" w:fill="auto"/>
            <w:vAlign w:val="center"/>
          </w:tcPr>
          <w:p w14:paraId="56280725">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XS1501004</w:t>
            </w:r>
          </w:p>
        </w:tc>
        <w:tc>
          <w:tcPr>
            <w:tcW w:w="709" w:type="dxa"/>
            <w:shd w:val="clear" w:color="auto" w:fill="auto"/>
            <w:vAlign w:val="center"/>
          </w:tcPr>
          <w:p w14:paraId="7055AC0A">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735A77A4">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restart"/>
            <w:vAlign w:val="center"/>
          </w:tcPr>
          <w:p w14:paraId="41C9910C">
            <w:pPr>
              <w:adjustRightInd w:val="0"/>
              <w:snapToGrid w:val="0"/>
              <w:jc w:val="center"/>
              <w:rPr>
                <w:color w:val="auto"/>
                <w:sz w:val="18"/>
                <w:szCs w:val="18"/>
                <w:highlight w:val="none"/>
              </w:rPr>
            </w:pPr>
            <w:r>
              <w:rPr>
                <w:rFonts w:hint="eastAsia"/>
                <w:color w:val="auto"/>
                <w:sz w:val="18"/>
                <w:szCs w:val="18"/>
                <w:highlight w:val="none"/>
              </w:rPr>
              <w:t>本方向研究生至少选修</w:t>
            </w:r>
          </w:p>
          <w:p w14:paraId="4EF1B81A">
            <w:pPr>
              <w:jc w:val="center"/>
              <w:rPr>
                <w:color w:val="auto"/>
                <w:sz w:val="18"/>
                <w:szCs w:val="18"/>
                <w:highlight w:val="none"/>
              </w:rPr>
            </w:pPr>
            <w:r>
              <w:rPr>
                <w:rFonts w:hint="eastAsia"/>
                <w:color w:val="auto"/>
                <w:sz w:val="18"/>
                <w:szCs w:val="18"/>
                <w:highlight w:val="none"/>
                <w:lang w:val="en-US" w:eastAsia="zh-CN"/>
              </w:rPr>
              <w:t>8</w:t>
            </w:r>
            <w:r>
              <w:rPr>
                <w:rFonts w:hint="eastAsia"/>
                <w:color w:val="auto"/>
                <w:sz w:val="18"/>
                <w:szCs w:val="18"/>
                <w:highlight w:val="none"/>
              </w:rPr>
              <w:t>学分</w:t>
            </w:r>
          </w:p>
        </w:tc>
      </w:tr>
      <w:tr w14:paraId="49096B2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F2FC1F">
            <w:pPr>
              <w:rPr>
                <w:b/>
                <w:color w:val="auto"/>
                <w:sz w:val="18"/>
                <w:szCs w:val="18"/>
                <w:highlight w:val="none"/>
              </w:rPr>
            </w:pPr>
          </w:p>
        </w:tc>
        <w:tc>
          <w:tcPr>
            <w:tcW w:w="1413" w:type="dxa"/>
            <w:vMerge w:val="continue"/>
            <w:vAlign w:val="center"/>
          </w:tcPr>
          <w:p w14:paraId="4D005E05">
            <w:pPr>
              <w:jc w:val="center"/>
              <w:rPr>
                <w:b/>
                <w:color w:val="auto"/>
                <w:sz w:val="18"/>
                <w:szCs w:val="18"/>
                <w:highlight w:val="none"/>
              </w:rPr>
            </w:pPr>
          </w:p>
        </w:tc>
        <w:tc>
          <w:tcPr>
            <w:tcW w:w="3912" w:type="dxa"/>
            <w:shd w:val="clear" w:color="auto" w:fill="auto"/>
            <w:vAlign w:val="center"/>
          </w:tcPr>
          <w:p w14:paraId="1BC8FB23">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新型传感技术及应用</w:t>
            </w:r>
          </w:p>
        </w:tc>
        <w:tc>
          <w:tcPr>
            <w:tcW w:w="1081" w:type="dxa"/>
            <w:shd w:val="clear" w:color="auto" w:fill="auto"/>
            <w:vAlign w:val="center"/>
          </w:tcPr>
          <w:p w14:paraId="6E603580">
            <w:pPr>
              <w:jc w:val="center"/>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XS1501005</w:t>
            </w:r>
          </w:p>
        </w:tc>
        <w:tc>
          <w:tcPr>
            <w:tcW w:w="709" w:type="dxa"/>
            <w:shd w:val="clear" w:color="auto" w:fill="auto"/>
            <w:vAlign w:val="center"/>
          </w:tcPr>
          <w:p w14:paraId="710416C4">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69C9E8C5">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28B51316">
            <w:pPr>
              <w:ind w:firstLine="105" w:firstLineChars="50"/>
              <w:rPr>
                <w:color w:val="auto"/>
                <w:highlight w:val="none"/>
              </w:rPr>
            </w:pPr>
          </w:p>
        </w:tc>
      </w:tr>
      <w:tr w14:paraId="13A51B3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CA2F60A">
            <w:pPr>
              <w:rPr>
                <w:b/>
                <w:color w:val="auto"/>
                <w:sz w:val="18"/>
                <w:szCs w:val="18"/>
                <w:highlight w:val="none"/>
              </w:rPr>
            </w:pPr>
          </w:p>
        </w:tc>
        <w:tc>
          <w:tcPr>
            <w:tcW w:w="1413" w:type="dxa"/>
            <w:vMerge w:val="continue"/>
            <w:vAlign w:val="center"/>
          </w:tcPr>
          <w:p w14:paraId="324BA762">
            <w:pPr>
              <w:jc w:val="center"/>
              <w:rPr>
                <w:b/>
                <w:color w:val="auto"/>
                <w:sz w:val="18"/>
                <w:szCs w:val="18"/>
                <w:highlight w:val="none"/>
              </w:rPr>
            </w:pPr>
          </w:p>
        </w:tc>
        <w:tc>
          <w:tcPr>
            <w:tcW w:w="3912" w:type="dxa"/>
            <w:shd w:val="clear" w:color="auto" w:fill="auto"/>
            <w:vAlign w:val="center"/>
          </w:tcPr>
          <w:p w14:paraId="64B89346">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现代光学测试技术</w:t>
            </w:r>
          </w:p>
        </w:tc>
        <w:tc>
          <w:tcPr>
            <w:tcW w:w="1081" w:type="dxa"/>
            <w:shd w:val="clear" w:color="auto" w:fill="auto"/>
            <w:vAlign w:val="center"/>
          </w:tcPr>
          <w:p w14:paraId="435D58D7">
            <w:pPr>
              <w:jc w:val="center"/>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XS1501007</w:t>
            </w:r>
          </w:p>
        </w:tc>
        <w:tc>
          <w:tcPr>
            <w:tcW w:w="709" w:type="dxa"/>
            <w:shd w:val="clear" w:color="auto" w:fill="auto"/>
            <w:vAlign w:val="center"/>
          </w:tcPr>
          <w:p w14:paraId="1D89552C">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75C3D23A">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3EE8E152">
            <w:pPr>
              <w:ind w:firstLine="105" w:firstLineChars="50"/>
              <w:rPr>
                <w:color w:val="auto"/>
                <w:highlight w:val="none"/>
              </w:rPr>
            </w:pPr>
          </w:p>
        </w:tc>
      </w:tr>
      <w:tr w14:paraId="29E8B9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833ACD">
            <w:pPr>
              <w:rPr>
                <w:b/>
                <w:color w:val="auto"/>
                <w:sz w:val="18"/>
                <w:szCs w:val="18"/>
                <w:highlight w:val="none"/>
              </w:rPr>
            </w:pPr>
          </w:p>
        </w:tc>
        <w:tc>
          <w:tcPr>
            <w:tcW w:w="1413" w:type="dxa"/>
            <w:vMerge w:val="continue"/>
            <w:vAlign w:val="center"/>
          </w:tcPr>
          <w:p w14:paraId="322E0AF5">
            <w:pPr>
              <w:jc w:val="center"/>
              <w:rPr>
                <w:b/>
                <w:color w:val="auto"/>
                <w:sz w:val="18"/>
                <w:szCs w:val="18"/>
                <w:highlight w:val="none"/>
              </w:rPr>
            </w:pPr>
          </w:p>
        </w:tc>
        <w:tc>
          <w:tcPr>
            <w:tcW w:w="3912" w:type="dxa"/>
            <w:shd w:val="clear" w:color="auto" w:fill="auto"/>
            <w:vAlign w:val="center"/>
          </w:tcPr>
          <w:p w14:paraId="45BE36AB">
            <w:pPr>
              <w:adjustRightInd w:val="0"/>
              <w:snapToGrid w:val="0"/>
              <w:rPr>
                <w:rFonts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现代食品药品质量检测技术</w:t>
            </w:r>
          </w:p>
        </w:tc>
        <w:tc>
          <w:tcPr>
            <w:tcW w:w="1081" w:type="dxa"/>
            <w:shd w:val="clear" w:color="auto" w:fill="auto"/>
            <w:vAlign w:val="center"/>
          </w:tcPr>
          <w:p w14:paraId="0BC88FE4">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XS1501205</w:t>
            </w:r>
          </w:p>
        </w:tc>
        <w:tc>
          <w:tcPr>
            <w:tcW w:w="709" w:type="dxa"/>
            <w:shd w:val="clear" w:color="auto" w:fill="auto"/>
            <w:vAlign w:val="center"/>
          </w:tcPr>
          <w:p w14:paraId="1B5EC62E">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73D0C4D1">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tcPr>
          <w:p w14:paraId="3886E990">
            <w:pPr>
              <w:ind w:firstLine="105" w:firstLineChars="50"/>
              <w:rPr>
                <w:color w:val="auto"/>
                <w:highlight w:val="none"/>
              </w:rPr>
            </w:pPr>
          </w:p>
        </w:tc>
      </w:tr>
      <w:tr w14:paraId="41DED8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8667825">
            <w:pPr>
              <w:rPr>
                <w:b/>
                <w:color w:val="auto"/>
                <w:sz w:val="18"/>
                <w:szCs w:val="18"/>
                <w:highlight w:val="none"/>
              </w:rPr>
            </w:pPr>
          </w:p>
        </w:tc>
        <w:tc>
          <w:tcPr>
            <w:tcW w:w="1413" w:type="dxa"/>
            <w:vMerge w:val="continue"/>
            <w:vAlign w:val="center"/>
          </w:tcPr>
          <w:p w14:paraId="73446563">
            <w:pPr>
              <w:jc w:val="center"/>
              <w:rPr>
                <w:b/>
                <w:color w:val="auto"/>
                <w:sz w:val="18"/>
                <w:szCs w:val="18"/>
                <w:highlight w:val="none"/>
              </w:rPr>
            </w:pPr>
          </w:p>
        </w:tc>
        <w:tc>
          <w:tcPr>
            <w:tcW w:w="3912" w:type="dxa"/>
            <w:shd w:val="clear" w:color="auto" w:fill="auto"/>
            <w:vAlign w:val="center"/>
          </w:tcPr>
          <w:p w14:paraId="6BA870FE">
            <w:pPr>
              <w:adjustRightInd w:val="0"/>
              <w:snapToGrid w:val="0"/>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有机化学</w:t>
            </w:r>
          </w:p>
        </w:tc>
        <w:tc>
          <w:tcPr>
            <w:tcW w:w="1081" w:type="dxa"/>
            <w:shd w:val="clear" w:color="auto" w:fill="auto"/>
            <w:vAlign w:val="center"/>
          </w:tcPr>
          <w:p w14:paraId="23F0FF38">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ZS1506203</w:t>
            </w:r>
          </w:p>
        </w:tc>
        <w:tc>
          <w:tcPr>
            <w:tcW w:w="709" w:type="dxa"/>
            <w:shd w:val="clear" w:color="auto" w:fill="auto"/>
            <w:vAlign w:val="center"/>
          </w:tcPr>
          <w:p w14:paraId="29B5726C">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709" w:type="dxa"/>
            <w:shd w:val="clear" w:color="auto" w:fill="auto"/>
            <w:vAlign w:val="center"/>
          </w:tcPr>
          <w:p w14:paraId="3C404A2A">
            <w:pPr>
              <w:jc w:val="center"/>
              <w:rPr>
                <w:rFonts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1</w:t>
            </w:r>
          </w:p>
        </w:tc>
        <w:tc>
          <w:tcPr>
            <w:tcW w:w="1146" w:type="dxa"/>
            <w:vMerge w:val="continue"/>
            <w:vAlign w:val="center"/>
          </w:tcPr>
          <w:p w14:paraId="17BA63DD">
            <w:pPr>
              <w:jc w:val="center"/>
              <w:rPr>
                <w:color w:val="auto"/>
                <w:sz w:val="18"/>
                <w:szCs w:val="18"/>
                <w:highlight w:val="none"/>
              </w:rPr>
            </w:pPr>
          </w:p>
        </w:tc>
      </w:tr>
      <w:tr w14:paraId="400BDA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restart"/>
            <w:vAlign w:val="center"/>
          </w:tcPr>
          <w:p w14:paraId="66C0B5C5">
            <w:pPr>
              <w:jc w:val="center"/>
              <w:rPr>
                <w:b/>
                <w:color w:val="auto"/>
                <w:sz w:val="18"/>
                <w:szCs w:val="18"/>
                <w:highlight w:val="none"/>
              </w:rPr>
            </w:pPr>
            <w:r>
              <w:rPr>
                <w:b/>
                <w:color w:val="auto"/>
                <w:sz w:val="18"/>
                <w:szCs w:val="18"/>
                <w:highlight w:val="none"/>
              </w:rPr>
              <w:t>必修环节</w:t>
            </w:r>
          </w:p>
          <w:p w14:paraId="6F484615">
            <w:pPr>
              <w:jc w:val="center"/>
              <w:rPr>
                <w:rFonts w:hint="eastAsia"/>
                <w:b/>
                <w:color w:val="auto"/>
                <w:sz w:val="18"/>
                <w:szCs w:val="18"/>
                <w:highlight w:val="none"/>
                <w:lang w:val="en-US" w:eastAsia="zh-CN"/>
              </w:rPr>
            </w:pPr>
            <w:r>
              <w:rPr>
                <w:rFonts w:hint="eastAsia"/>
                <w:b/>
                <w:color w:val="auto"/>
                <w:sz w:val="18"/>
                <w:szCs w:val="18"/>
                <w:highlight w:val="none"/>
                <w:lang w:val="en-US" w:eastAsia="zh-CN"/>
              </w:rPr>
              <w:t>1</w:t>
            </w:r>
          </w:p>
          <w:p w14:paraId="736A1CDD">
            <w:pPr>
              <w:jc w:val="center"/>
              <w:rPr>
                <w:rFonts w:hint="eastAsia" w:eastAsia="宋体"/>
                <w:b/>
                <w:color w:val="auto"/>
                <w:sz w:val="18"/>
                <w:szCs w:val="18"/>
                <w:highlight w:val="none"/>
                <w:lang w:val="en-US" w:eastAsia="zh-CN"/>
              </w:rPr>
            </w:pPr>
            <w:r>
              <w:rPr>
                <w:rFonts w:hint="eastAsia"/>
                <w:b/>
                <w:color w:val="auto"/>
                <w:sz w:val="18"/>
                <w:szCs w:val="18"/>
                <w:highlight w:val="none"/>
                <w:lang w:val="en-US" w:eastAsia="zh-CN"/>
              </w:rPr>
              <w:t>分</w:t>
            </w:r>
          </w:p>
          <w:p w14:paraId="464B7B91">
            <w:pPr>
              <w:jc w:val="center"/>
              <w:rPr>
                <w:b/>
                <w:color w:val="auto"/>
                <w:sz w:val="18"/>
                <w:szCs w:val="18"/>
                <w:highlight w:val="none"/>
              </w:rPr>
            </w:pPr>
          </w:p>
        </w:tc>
        <w:tc>
          <w:tcPr>
            <w:tcW w:w="1413" w:type="dxa"/>
            <w:vMerge w:val="restart"/>
            <w:vAlign w:val="center"/>
          </w:tcPr>
          <w:p w14:paraId="356C82AF">
            <w:pPr>
              <w:jc w:val="center"/>
              <w:rPr>
                <w:b/>
                <w:color w:val="auto"/>
                <w:sz w:val="18"/>
                <w:szCs w:val="18"/>
                <w:highlight w:val="none"/>
              </w:rPr>
            </w:pPr>
            <w:r>
              <w:rPr>
                <w:b/>
                <w:color w:val="auto"/>
                <w:sz w:val="18"/>
                <w:szCs w:val="18"/>
                <w:highlight w:val="none"/>
              </w:rPr>
              <w:t>素质拓展</w:t>
            </w:r>
          </w:p>
        </w:tc>
        <w:tc>
          <w:tcPr>
            <w:tcW w:w="3912" w:type="dxa"/>
            <w:vAlign w:val="center"/>
          </w:tcPr>
          <w:p w14:paraId="573FDC82">
            <w:pPr>
              <w:rPr>
                <w:color w:val="auto"/>
                <w:sz w:val="18"/>
                <w:szCs w:val="18"/>
                <w:highlight w:val="none"/>
              </w:rPr>
            </w:pPr>
            <w:r>
              <w:rPr>
                <w:color w:val="auto"/>
                <w:sz w:val="18"/>
                <w:szCs w:val="18"/>
                <w:highlight w:val="none"/>
              </w:rPr>
              <w:t>入学教育</w:t>
            </w:r>
          </w:p>
        </w:tc>
        <w:tc>
          <w:tcPr>
            <w:tcW w:w="1081" w:type="dxa"/>
            <w:vAlign w:val="center"/>
          </w:tcPr>
          <w:p w14:paraId="2F7029A0">
            <w:pPr>
              <w:jc w:val="center"/>
              <w:rPr>
                <w:color w:val="auto"/>
                <w:sz w:val="18"/>
                <w:szCs w:val="18"/>
                <w:highlight w:val="none"/>
              </w:rPr>
            </w:pPr>
          </w:p>
        </w:tc>
        <w:tc>
          <w:tcPr>
            <w:tcW w:w="709" w:type="dxa"/>
            <w:vAlign w:val="center"/>
          </w:tcPr>
          <w:p w14:paraId="1BDAD1EC">
            <w:pPr>
              <w:jc w:val="center"/>
              <w:rPr>
                <w:color w:val="auto"/>
                <w:sz w:val="18"/>
                <w:szCs w:val="18"/>
                <w:highlight w:val="none"/>
              </w:rPr>
            </w:pPr>
          </w:p>
        </w:tc>
        <w:tc>
          <w:tcPr>
            <w:tcW w:w="709" w:type="dxa"/>
            <w:vAlign w:val="center"/>
          </w:tcPr>
          <w:p w14:paraId="37D28E73">
            <w:pPr>
              <w:jc w:val="center"/>
              <w:rPr>
                <w:color w:val="auto"/>
                <w:sz w:val="18"/>
                <w:szCs w:val="18"/>
                <w:highlight w:val="none"/>
              </w:rPr>
            </w:pPr>
            <w:r>
              <w:rPr>
                <w:rFonts w:hint="eastAsia"/>
                <w:color w:val="auto"/>
                <w:sz w:val="18"/>
                <w:szCs w:val="18"/>
                <w:highlight w:val="none"/>
              </w:rPr>
              <w:t>1</w:t>
            </w:r>
          </w:p>
        </w:tc>
        <w:tc>
          <w:tcPr>
            <w:tcW w:w="1146" w:type="dxa"/>
            <w:vMerge w:val="restart"/>
            <w:vAlign w:val="center"/>
          </w:tcPr>
          <w:p w14:paraId="0A2D7393">
            <w:pPr>
              <w:jc w:val="center"/>
              <w:rPr>
                <w:color w:val="auto"/>
                <w:sz w:val="18"/>
                <w:szCs w:val="18"/>
                <w:highlight w:val="none"/>
              </w:rPr>
            </w:pPr>
          </w:p>
        </w:tc>
      </w:tr>
      <w:tr w14:paraId="08E6D1E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15EF58">
            <w:pPr>
              <w:jc w:val="center"/>
              <w:rPr>
                <w:b/>
                <w:color w:val="auto"/>
                <w:sz w:val="18"/>
                <w:szCs w:val="18"/>
                <w:highlight w:val="none"/>
              </w:rPr>
            </w:pPr>
          </w:p>
        </w:tc>
        <w:tc>
          <w:tcPr>
            <w:tcW w:w="1413" w:type="dxa"/>
            <w:vMerge w:val="continue"/>
            <w:vAlign w:val="center"/>
          </w:tcPr>
          <w:p w14:paraId="1A20BE21">
            <w:pPr>
              <w:jc w:val="center"/>
              <w:rPr>
                <w:b/>
                <w:color w:val="auto"/>
                <w:sz w:val="18"/>
                <w:szCs w:val="18"/>
                <w:highlight w:val="none"/>
              </w:rPr>
            </w:pPr>
          </w:p>
        </w:tc>
        <w:tc>
          <w:tcPr>
            <w:tcW w:w="3912" w:type="dxa"/>
            <w:vAlign w:val="center"/>
          </w:tcPr>
          <w:p w14:paraId="41A4E79C">
            <w:pPr>
              <w:rPr>
                <w:color w:val="auto"/>
                <w:sz w:val="18"/>
                <w:szCs w:val="18"/>
                <w:highlight w:val="none"/>
              </w:rPr>
            </w:pPr>
            <w:r>
              <w:rPr>
                <w:rFonts w:hint="eastAsia"/>
                <w:color w:val="auto"/>
                <w:sz w:val="18"/>
                <w:szCs w:val="18"/>
                <w:highlight w:val="none"/>
                <w:lang w:eastAsia="zh-CN"/>
              </w:rPr>
              <w:t>产教融合</w:t>
            </w:r>
            <w:r>
              <w:rPr>
                <w:color w:val="auto"/>
                <w:sz w:val="18"/>
                <w:szCs w:val="18"/>
                <w:highlight w:val="none"/>
              </w:rPr>
              <w:t>实践活动</w:t>
            </w:r>
          </w:p>
        </w:tc>
        <w:tc>
          <w:tcPr>
            <w:tcW w:w="1081" w:type="dxa"/>
            <w:vAlign w:val="center"/>
          </w:tcPr>
          <w:p w14:paraId="66E561D5">
            <w:pPr>
              <w:jc w:val="center"/>
              <w:rPr>
                <w:color w:val="auto"/>
                <w:sz w:val="18"/>
                <w:szCs w:val="18"/>
                <w:highlight w:val="none"/>
              </w:rPr>
            </w:pPr>
          </w:p>
        </w:tc>
        <w:tc>
          <w:tcPr>
            <w:tcW w:w="709" w:type="dxa"/>
            <w:vAlign w:val="center"/>
          </w:tcPr>
          <w:p w14:paraId="4A465512">
            <w:pPr>
              <w:jc w:val="center"/>
              <w:rPr>
                <w:rFonts w:hint="eastAsia" w:eastAsia="宋体"/>
                <w:color w:val="auto"/>
                <w:sz w:val="18"/>
                <w:szCs w:val="18"/>
                <w:highlight w:val="none"/>
                <w:lang w:val="en-US" w:eastAsia="zh-CN"/>
              </w:rPr>
            </w:pPr>
            <w:r>
              <w:rPr>
                <w:rFonts w:hint="eastAsia"/>
                <w:color w:val="auto"/>
                <w:sz w:val="18"/>
                <w:szCs w:val="18"/>
                <w:highlight w:val="none"/>
                <w:lang w:val="en-US" w:eastAsia="zh-CN"/>
              </w:rPr>
              <w:t>1</w:t>
            </w:r>
          </w:p>
        </w:tc>
        <w:tc>
          <w:tcPr>
            <w:tcW w:w="709" w:type="dxa"/>
            <w:vAlign w:val="center"/>
          </w:tcPr>
          <w:p w14:paraId="203D5834">
            <w:pPr>
              <w:jc w:val="center"/>
              <w:rPr>
                <w:rFonts w:hint="default" w:eastAsia="宋体"/>
                <w:i w:val="0"/>
                <w:iCs w:val="0"/>
                <w:color w:val="auto"/>
                <w:sz w:val="18"/>
                <w:szCs w:val="18"/>
                <w:highlight w:val="none"/>
                <w:lang w:val="en-US" w:eastAsia="zh-CN"/>
              </w:rPr>
            </w:pPr>
            <w:r>
              <w:rPr>
                <w:rFonts w:hint="eastAsia"/>
                <w:i w:val="0"/>
                <w:iCs w:val="0"/>
                <w:color w:val="auto"/>
                <w:sz w:val="18"/>
                <w:szCs w:val="18"/>
                <w:highlight w:val="none"/>
                <w:lang w:val="en-US" w:eastAsia="zh-CN"/>
              </w:rPr>
              <w:t>1-6</w:t>
            </w:r>
          </w:p>
        </w:tc>
        <w:tc>
          <w:tcPr>
            <w:tcW w:w="1146" w:type="dxa"/>
            <w:vMerge w:val="continue"/>
            <w:vAlign w:val="center"/>
          </w:tcPr>
          <w:p w14:paraId="046BD652">
            <w:pPr>
              <w:jc w:val="center"/>
              <w:rPr>
                <w:color w:val="auto"/>
                <w:sz w:val="18"/>
                <w:szCs w:val="18"/>
                <w:highlight w:val="none"/>
              </w:rPr>
            </w:pPr>
          </w:p>
        </w:tc>
      </w:tr>
      <w:tr w14:paraId="14BDD1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78C912">
            <w:pPr>
              <w:rPr>
                <w:b/>
                <w:color w:val="auto"/>
                <w:sz w:val="18"/>
                <w:szCs w:val="18"/>
                <w:highlight w:val="none"/>
              </w:rPr>
            </w:pPr>
          </w:p>
        </w:tc>
        <w:tc>
          <w:tcPr>
            <w:tcW w:w="1413" w:type="dxa"/>
            <w:vMerge w:val="restart"/>
            <w:vAlign w:val="center"/>
          </w:tcPr>
          <w:p w14:paraId="4202C728">
            <w:pPr>
              <w:jc w:val="center"/>
              <w:rPr>
                <w:b/>
                <w:color w:val="auto"/>
                <w:sz w:val="18"/>
                <w:szCs w:val="18"/>
                <w:highlight w:val="none"/>
              </w:rPr>
            </w:pPr>
            <w:r>
              <w:rPr>
                <w:b/>
                <w:color w:val="auto"/>
                <w:sz w:val="18"/>
                <w:szCs w:val="18"/>
                <w:highlight w:val="none"/>
              </w:rPr>
              <w:t>学术训练</w:t>
            </w:r>
          </w:p>
        </w:tc>
        <w:tc>
          <w:tcPr>
            <w:tcW w:w="3912" w:type="dxa"/>
            <w:shd w:val="clear" w:color="auto" w:fill="auto"/>
            <w:vAlign w:val="center"/>
          </w:tcPr>
          <w:p w14:paraId="61099063">
            <w:pPr>
              <w:rPr>
                <w:rFonts w:ascii="Times New Roman" w:hAnsi="Times New Roman" w:eastAsia="宋体" w:cs="Times New Roman"/>
                <w:b/>
                <w:color w:val="auto"/>
                <w:kern w:val="2"/>
                <w:sz w:val="18"/>
                <w:szCs w:val="18"/>
                <w:highlight w:val="none"/>
                <w:lang w:val="en-US" w:eastAsia="zh-CN" w:bidi="ar-SA"/>
              </w:rPr>
            </w:pPr>
            <w:r>
              <w:rPr>
                <w:color w:val="auto"/>
                <w:sz w:val="18"/>
                <w:szCs w:val="18"/>
                <w:highlight w:val="none"/>
              </w:rPr>
              <w:t>中期筛选</w:t>
            </w:r>
          </w:p>
        </w:tc>
        <w:tc>
          <w:tcPr>
            <w:tcW w:w="1081" w:type="dxa"/>
            <w:shd w:val="clear" w:color="auto" w:fill="auto"/>
            <w:vAlign w:val="center"/>
          </w:tcPr>
          <w:p w14:paraId="15700E39">
            <w:pPr>
              <w:rPr>
                <w:rFonts w:ascii="Times New Roman" w:hAnsi="Times New Roman" w:eastAsia="宋体" w:cs="Times New Roman"/>
                <w:color w:val="auto"/>
                <w:kern w:val="2"/>
                <w:sz w:val="18"/>
                <w:szCs w:val="18"/>
                <w:highlight w:val="none"/>
                <w:lang w:val="en-US" w:eastAsia="zh-CN" w:bidi="ar-SA"/>
              </w:rPr>
            </w:pPr>
          </w:p>
        </w:tc>
        <w:tc>
          <w:tcPr>
            <w:tcW w:w="709" w:type="dxa"/>
            <w:vAlign w:val="center"/>
          </w:tcPr>
          <w:p w14:paraId="107385C0">
            <w:pPr>
              <w:jc w:val="center"/>
              <w:rPr>
                <w:color w:val="auto"/>
                <w:sz w:val="18"/>
                <w:szCs w:val="18"/>
                <w:highlight w:val="none"/>
              </w:rPr>
            </w:pPr>
          </w:p>
        </w:tc>
        <w:tc>
          <w:tcPr>
            <w:tcW w:w="709" w:type="dxa"/>
            <w:vAlign w:val="center"/>
          </w:tcPr>
          <w:p w14:paraId="78081D77">
            <w:pPr>
              <w:jc w:val="center"/>
              <w:rPr>
                <w:rFonts w:hint="default" w:eastAsia="宋体"/>
                <w:i w:val="0"/>
                <w:iCs w:val="0"/>
                <w:color w:val="auto"/>
                <w:sz w:val="18"/>
                <w:szCs w:val="18"/>
                <w:highlight w:val="none"/>
                <w:lang w:val="en-US" w:eastAsia="zh-CN"/>
              </w:rPr>
            </w:pPr>
            <w:r>
              <w:rPr>
                <w:rFonts w:hint="eastAsia"/>
                <w:i w:val="0"/>
                <w:iCs w:val="0"/>
                <w:color w:val="auto"/>
                <w:sz w:val="18"/>
                <w:szCs w:val="18"/>
                <w:highlight w:val="none"/>
                <w:lang w:val="en-US" w:eastAsia="zh-CN"/>
              </w:rPr>
              <w:t>3</w:t>
            </w:r>
          </w:p>
        </w:tc>
        <w:tc>
          <w:tcPr>
            <w:tcW w:w="1146" w:type="dxa"/>
            <w:vMerge w:val="restart"/>
            <w:vAlign w:val="center"/>
          </w:tcPr>
          <w:p w14:paraId="51483CB8">
            <w:pPr>
              <w:jc w:val="center"/>
              <w:rPr>
                <w:color w:val="auto"/>
                <w:sz w:val="18"/>
                <w:szCs w:val="18"/>
                <w:highlight w:val="none"/>
              </w:rPr>
            </w:pPr>
            <w:r>
              <w:rPr>
                <w:color w:val="auto"/>
                <w:sz w:val="18"/>
                <w:szCs w:val="18"/>
                <w:highlight w:val="none"/>
              </w:rPr>
              <w:t>过程管理</w:t>
            </w:r>
          </w:p>
          <w:p w14:paraId="68308DCD">
            <w:pPr>
              <w:jc w:val="center"/>
              <w:rPr>
                <w:color w:val="auto"/>
                <w:sz w:val="18"/>
                <w:szCs w:val="18"/>
                <w:highlight w:val="none"/>
              </w:rPr>
            </w:pPr>
            <w:r>
              <w:rPr>
                <w:color w:val="auto"/>
                <w:sz w:val="18"/>
                <w:szCs w:val="18"/>
                <w:highlight w:val="none"/>
              </w:rPr>
              <w:t>无学分</w:t>
            </w:r>
          </w:p>
        </w:tc>
      </w:tr>
      <w:tr w14:paraId="2454C3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9783785">
            <w:pPr>
              <w:rPr>
                <w:b/>
                <w:color w:val="auto"/>
                <w:sz w:val="18"/>
                <w:szCs w:val="18"/>
                <w:highlight w:val="none"/>
              </w:rPr>
            </w:pPr>
          </w:p>
        </w:tc>
        <w:tc>
          <w:tcPr>
            <w:tcW w:w="1413" w:type="dxa"/>
            <w:vMerge w:val="continue"/>
            <w:vAlign w:val="center"/>
          </w:tcPr>
          <w:p w14:paraId="0DDFE8B5">
            <w:pPr>
              <w:jc w:val="center"/>
              <w:rPr>
                <w:b/>
                <w:color w:val="auto"/>
                <w:sz w:val="18"/>
                <w:szCs w:val="18"/>
                <w:highlight w:val="none"/>
              </w:rPr>
            </w:pPr>
          </w:p>
        </w:tc>
        <w:tc>
          <w:tcPr>
            <w:tcW w:w="3912" w:type="dxa"/>
            <w:vAlign w:val="center"/>
          </w:tcPr>
          <w:p w14:paraId="209A4761">
            <w:pPr>
              <w:rPr>
                <w:color w:val="auto"/>
                <w:sz w:val="18"/>
                <w:szCs w:val="18"/>
                <w:highlight w:val="none"/>
              </w:rPr>
            </w:pPr>
            <w:r>
              <w:rPr>
                <w:color w:val="auto"/>
                <w:sz w:val="18"/>
                <w:szCs w:val="18"/>
                <w:highlight w:val="none"/>
              </w:rPr>
              <w:t>论文开题</w:t>
            </w:r>
          </w:p>
        </w:tc>
        <w:tc>
          <w:tcPr>
            <w:tcW w:w="1081" w:type="dxa"/>
            <w:shd w:val="clear" w:color="auto" w:fill="auto"/>
            <w:vAlign w:val="center"/>
          </w:tcPr>
          <w:p w14:paraId="3ED10562">
            <w:pPr>
              <w:rPr>
                <w:rFonts w:ascii="Times New Roman" w:hAnsi="Times New Roman" w:eastAsia="宋体" w:cs="Times New Roman"/>
                <w:color w:val="auto"/>
                <w:kern w:val="2"/>
                <w:sz w:val="18"/>
                <w:szCs w:val="18"/>
                <w:highlight w:val="none"/>
                <w:lang w:val="en-US" w:eastAsia="zh-CN" w:bidi="ar-SA"/>
              </w:rPr>
            </w:pPr>
          </w:p>
        </w:tc>
        <w:tc>
          <w:tcPr>
            <w:tcW w:w="709" w:type="dxa"/>
            <w:vAlign w:val="center"/>
          </w:tcPr>
          <w:p w14:paraId="19F920AD">
            <w:pPr>
              <w:jc w:val="center"/>
              <w:rPr>
                <w:color w:val="auto"/>
                <w:sz w:val="18"/>
                <w:szCs w:val="18"/>
                <w:highlight w:val="none"/>
              </w:rPr>
            </w:pPr>
          </w:p>
        </w:tc>
        <w:tc>
          <w:tcPr>
            <w:tcW w:w="709" w:type="dxa"/>
            <w:vAlign w:val="center"/>
          </w:tcPr>
          <w:p w14:paraId="2A44F7E5">
            <w:pPr>
              <w:jc w:val="center"/>
              <w:rPr>
                <w:rFonts w:hint="eastAsia" w:eastAsia="宋体"/>
                <w:i w:val="0"/>
                <w:iCs w:val="0"/>
                <w:color w:val="auto"/>
                <w:sz w:val="18"/>
                <w:szCs w:val="18"/>
                <w:highlight w:val="none"/>
                <w:lang w:eastAsia="zh-CN"/>
              </w:rPr>
            </w:pPr>
            <w:r>
              <w:rPr>
                <w:rFonts w:hint="eastAsia"/>
                <w:i w:val="0"/>
                <w:iCs w:val="0"/>
                <w:color w:val="auto"/>
                <w:sz w:val="18"/>
                <w:szCs w:val="18"/>
                <w:highlight w:val="none"/>
                <w:lang w:val="en-US" w:eastAsia="zh-CN"/>
              </w:rPr>
              <w:t>3</w:t>
            </w:r>
          </w:p>
        </w:tc>
        <w:tc>
          <w:tcPr>
            <w:tcW w:w="1146" w:type="dxa"/>
            <w:vMerge w:val="continue"/>
          </w:tcPr>
          <w:p w14:paraId="4AD66E65">
            <w:pPr>
              <w:jc w:val="center"/>
              <w:rPr>
                <w:color w:val="auto"/>
                <w:sz w:val="18"/>
                <w:szCs w:val="18"/>
                <w:highlight w:val="none"/>
              </w:rPr>
            </w:pPr>
          </w:p>
        </w:tc>
      </w:tr>
      <w:tr w14:paraId="475436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242CC4">
            <w:pPr>
              <w:rPr>
                <w:color w:val="auto"/>
                <w:sz w:val="18"/>
                <w:szCs w:val="18"/>
                <w:highlight w:val="none"/>
              </w:rPr>
            </w:pPr>
          </w:p>
        </w:tc>
        <w:tc>
          <w:tcPr>
            <w:tcW w:w="1413" w:type="dxa"/>
            <w:vMerge w:val="continue"/>
          </w:tcPr>
          <w:p w14:paraId="680352B3">
            <w:pPr>
              <w:jc w:val="center"/>
              <w:rPr>
                <w:color w:val="auto"/>
                <w:sz w:val="18"/>
                <w:szCs w:val="18"/>
                <w:highlight w:val="none"/>
              </w:rPr>
            </w:pPr>
          </w:p>
        </w:tc>
        <w:tc>
          <w:tcPr>
            <w:tcW w:w="3912" w:type="dxa"/>
            <w:vAlign w:val="center"/>
          </w:tcPr>
          <w:p w14:paraId="725C48F3">
            <w:pPr>
              <w:rPr>
                <w:color w:val="auto"/>
                <w:sz w:val="18"/>
                <w:szCs w:val="18"/>
                <w:highlight w:val="none"/>
              </w:rPr>
            </w:pPr>
            <w:r>
              <w:rPr>
                <w:color w:val="auto"/>
                <w:sz w:val="18"/>
                <w:szCs w:val="18"/>
                <w:highlight w:val="none"/>
              </w:rPr>
              <w:t>论文中期进展报告</w:t>
            </w:r>
          </w:p>
        </w:tc>
        <w:tc>
          <w:tcPr>
            <w:tcW w:w="1081" w:type="dxa"/>
            <w:shd w:val="clear" w:color="auto" w:fill="auto"/>
            <w:vAlign w:val="center"/>
          </w:tcPr>
          <w:p w14:paraId="028FB514">
            <w:pPr>
              <w:rPr>
                <w:rFonts w:ascii="Times New Roman" w:hAnsi="Times New Roman" w:eastAsia="宋体" w:cs="Times New Roman"/>
                <w:color w:val="auto"/>
                <w:kern w:val="2"/>
                <w:sz w:val="18"/>
                <w:szCs w:val="18"/>
                <w:highlight w:val="none"/>
                <w:lang w:val="en-US" w:eastAsia="zh-CN" w:bidi="ar-SA"/>
              </w:rPr>
            </w:pPr>
          </w:p>
        </w:tc>
        <w:tc>
          <w:tcPr>
            <w:tcW w:w="709" w:type="dxa"/>
            <w:vAlign w:val="center"/>
          </w:tcPr>
          <w:p w14:paraId="6F3571F2">
            <w:pPr>
              <w:jc w:val="center"/>
              <w:rPr>
                <w:color w:val="auto"/>
                <w:sz w:val="18"/>
                <w:szCs w:val="18"/>
                <w:highlight w:val="none"/>
              </w:rPr>
            </w:pPr>
          </w:p>
        </w:tc>
        <w:tc>
          <w:tcPr>
            <w:tcW w:w="709" w:type="dxa"/>
            <w:vAlign w:val="center"/>
          </w:tcPr>
          <w:p w14:paraId="58DEE1C0">
            <w:pPr>
              <w:jc w:val="center"/>
              <w:rPr>
                <w:rFonts w:hint="eastAsia" w:eastAsia="宋体"/>
                <w:i w:val="0"/>
                <w:iCs w:val="0"/>
                <w:color w:val="auto"/>
                <w:sz w:val="18"/>
                <w:szCs w:val="18"/>
                <w:highlight w:val="none"/>
                <w:lang w:eastAsia="zh-CN"/>
              </w:rPr>
            </w:pPr>
            <w:r>
              <w:rPr>
                <w:rFonts w:hint="eastAsia"/>
                <w:i w:val="0"/>
                <w:iCs w:val="0"/>
                <w:color w:val="auto"/>
                <w:sz w:val="18"/>
                <w:szCs w:val="18"/>
                <w:highlight w:val="none"/>
                <w:lang w:val="en-US" w:eastAsia="zh-CN"/>
              </w:rPr>
              <w:t>5</w:t>
            </w:r>
          </w:p>
        </w:tc>
        <w:tc>
          <w:tcPr>
            <w:tcW w:w="1146" w:type="dxa"/>
            <w:vMerge w:val="continue"/>
          </w:tcPr>
          <w:p w14:paraId="217168DC">
            <w:pPr>
              <w:jc w:val="center"/>
              <w:rPr>
                <w:color w:val="auto"/>
                <w:sz w:val="18"/>
                <w:szCs w:val="18"/>
                <w:highlight w:val="none"/>
              </w:rPr>
            </w:pPr>
          </w:p>
        </w:tc>
      </w:tr>
      <w:tr w14:paraId="745B4A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5811E1">
            <w:pPr>
              <w:rPr>
                <w:color w:val="auto"/>
                <w:sz w:val="18"/>
                <w:szCs w:val="18"/>
                <w:highlight w:val="none"/>
              </w:rPr>
            </w:pPr>
          </w:p>
        </w:tc>
        <w:tc>
          <w:tcPr>
            <w:tcW w:w="1413" w:type="dxa"/>
            <w:vMerge w:val="continue"/>
          </w:tcPr>
          <w:p w14:paraId="2311B0C2">
            <w:pPr>
              <w:jc w:val="center"/>
              <w:rPr>
                <w:color w:val="auto"/>
                <w:sz w:val="18"/>
                <w:szCs w:val="18"/>
                <w:highlight w:val="none"/>
              </w:rPr>
            </w:pPr>
          </w:p>
        </w:tc>
        <w:tc>
          <w:tcPr>
            <w:tcW w:w="3912" w:type="dxa"/>
            <w:vAlign w:val="center"/>
          </w:tcPr>
          <w:p w14:paraId="1F7385A7">
            <w:pPr>
              <w:rPr>
                <w:color w:val="auto"/>
                <w:sz w:val="18"/>
                <w:szCs w:val="18"/>
                <w:highlight w:val="none"/>
              </w:rPr>
            </w:pPr>
            <w:r>
              <w:rPr>
                <w:color w:val="auto"/>
                <w:sz w:val="18"/>
                <w:szCs w:val="18"/>
                <w:highlight w:val="none"/>
              </w:rPr>
              <w:t>论文预答辩</w:t>
            </w:r>
          </w:p>
        </w:tc>
        <w:tc>
          <w:tcPr>
            <w:tcW w:w="1081" w:type="dxa"/>
            <w:shd w:val="clear" w:color="auto" w:fill="auto"/>
            <w:vAlign w:val="center"/>
          </w:tcPr>
          <w:p w14:paraId="463FA97B">
            <w:pPr>
              <w:rPr>
                <w:rFonts w:ascii="Times New Roman" w:hAnsi="Times New Roman" w:eastAsia="宋体" w:cs="Times New Roman"/>
                <w:color w:val="auto"/>
                <w:kern w:val="2"/>
                <w:sz w:val="18"/>
                <w:szCs w:val="18"/>
                <w:highlight w:val="none"/>
                <w:lang w:val="en-US" w:eastAsia="zh-CN" w:bidi="ar-SA"/>
              </w:rPr>
            </w:pPr>
          </w:p>
        </w:tc>
        <w:tc>
          <w:tcPr>
            <w:tcW w:w="709" w:type="dxa"/>
            <w:vAlign w:val="center"/>
          </w:tcPr>
          <w:p w14:paraId="367C204F">
            <w:pPr>
              <w:jc w:val="center"/>
              <w:rPr>
                <w:color w:val="auto"/>
                <w:sz w:val="18"/>
                <w:szCs w:val="18"/>
                <w:highlight w:val="none"/>
              </w:rPr>
            </w:pPr>
          </w:p>
        </w:tc>
        <w:tc>
          <w:tcPr>
            <w:tcW w:w="709" w:type="dxa"/>
            <w:vAlign w:val="center"/>
          </w:tcPr>
          <w:p w14:paraId="3D7FC419">
            <w:pPr>
              <w:jc w:val="center"/>
              <w:rPr>
                <w:rFonts w:hint="eastAsia" w:eastAsia="宋体"/>
                <w:i w:val="0"/>
                <w:iCs w:val="0"/>
                <w:color w:val="auto"/>
                <w:sz w:val="18"/>
                <w:szCs w:val="18"/>
                <w:highlight w:val="none"/>
                <w:lang w:eastAsia="zh-CN"/>
              </w:rPr>
            </w:pPr>
            <w:r>
              <w:rPr>
                <w:rFonts w:hint="eastAsia"/>
                <w:i w:val="0"/>
                <w:iCs w:val="0"/>
                <w:color w:val="auto"/>
                <w:sz w:val="18"/>
                <w:szCs w:val="18"/>
                <w:highlight w:val="none"/>
                <w:lang w:val="en-US" w:eastAsia="zh-CN"/>
              </w:rPr>
              <w:t>6</w:t>
            </w:r>
          </w:p>
        </w:tc>
        <w:tc>
          <w:tcPr>
            <w:tcW w:w="1146" w:type="dxa"/>
            <w:vMerge w:val="continue"/>
          </w:tcPr>
          <w:p w14:paraId="416CDE95">
            <w:pPr>
              <w:jc w:val="center"/>
              <w:rPr>
                <w:color w:val="auto"/>
                <w:sz w:val="18"/>
                <w:szCs w:val="18"/>
                <w:highlight w:val="none"/>
              </w:rPr>
            </w:pPr>
          </w:p>
        </w:tc>
      </w:tr>
      <w:tr w14:paraId="590804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4BED66">
            <w:pPr>
              <w:rPr>
                <w:color w:val="auto"/>
                <w:sz w:val="18"/>
                <w:szCs w:val="18"/>
                <w:highlight w:val="none"/>
              </w:rPr>
            </w:pPr>
          </w:p>
        </w:tc>
        <w:tc>
          <w:tcPr>
            <w:tcW w:w="1413" w:type="dxa"/>
            <w:vMerge w:val="continue"/>
          </w:tcPr>
          <w:p w14:paraId="05C87DDB">
            <w:pPr>
              <w:jc w:val="center"/>
              <w:rPr>
                <w:color w:val="auto"/>
                <w:sz w:val="18"/>
                <w:szCs w:val="18"/>
                <w:highlight w:val="none"/>
              </w:rPr>
            </w:pPr>
          </w:p>
        </w:tc>
        <w:tc>
          <w:tcPr>
            <w:tcW w:w="3912" w:type="dxa"/>
            <w:vAlign w:val="center"/>
          </w:tcPr>
          <w:p w14:paraId="571F7357">
            <w:pPr>
              <w:rPr>
                <w:color w:val="auto"/>
                <w:sz w:val="18"/>
                <w:szCs w:val="18"/>
                <w:highlight w:val="none"/>
              </w:rPr>
            </w:pPr>
            <w:r>
              <w:rPr>
                <w:color w:val="auto"/>
                <w:sz w:val="18"/>
                <w:szCs w:val="18"/>
                <w:highlight w:val="none"/>
              </w:rPr>
              <w:t>论文评审</w:t>
            </w:r>
          </w:p>
        </w:tc>
        <w:tc>
          <w:tcPr>
            <w:tcW w:w="0" w:type="auto"/>
            <w:shd w:val="clear" w:color="auto" w:fill="auto"/>
            <w:vAlign w:val="center"/>
          </w:tcPr>
          <w:p w14:paraId="4937604C">
            <w:pPr>
              <w:rPr>
                <w:rFonts w:ascii="Times New Roman" w:hAnsi="Times New Roman" w:eastAsia="宋体" w:cs="Times New Roman"/>
                <w:color w:val="auto"/>
                <w:kern w:val="2"/>
                <w:sz w:val="18"/>
                <w:szCs w:val="18"/>
                <w:highlight w:val="none"/>
                <w:lang w:val="en-US" w:eastAsia="zh-CN" w:bidi="ar-SA"/>
              </w:rPr>
            </w:pPr>
          </w:p>
        </w:tc>
        <w:tc>
          <w:tcPr>
            <w:tcW w:w="0" w:type="auto"/>
          </w:tcPr>
          <w:p w14:paraId="61BEC79C">
            <w:pPr>
              <w:jc w:val="center"/>
              <w:rPr>
                <w:color w:val="auto"/>
                <w:sz w:val="18"/>
                <w:szCs w:val="18"/>
                <w:highlight w:val="none"/>
              </w:rPr>
            </w:pPr>
          </w:p>
        </w:tc>
        <w:tc>
          <w:tcPr>
            <w:tcW w:w="709" w:type="dxa"/>
            <w:vAlign w:val="center"/>
          </w:tcPr>
          <w:p w14:paraId="3D4905AC">
            <w:pPr>
              <w:jc w:val="center"/>
              <w:rPr>
                <w:i w:val="0"/>
                <w:iCs w:val="0"/>
                <w:color w:val="auto"/>
                <w:sz w:val="18"/>
                <w:szCs w:val="18"/>
                <w:highlight w:val="none"/>
              </w:rPr>
            </w:pPr>
            <w:r>
              <w:rPr>
                <w:i w:val="0"/>
                <w:iCs w:val="0"/>
                <w:color w:val="auto"/>
                <w:sz w:val="18"/>
                <w:szCs w:val="18"/>
                <w:highlight w:val="none"/>
              </w:rPr>
              <w:t>6</w:t>
            </w:r>
          </w:p>
        </w:tc>
        <w:tc>
          <w:tcPr>
            <w:tcW w:w="1146" w:type="dxa"/>
            <w:vMerge w:val="continue"/>
          </w:tcPr>
          <w:p w14:paraId="0B97B350">
            <w:pPr>
              <w:jc w:val="center"/>
              <w:rPr>
                <w:color w:val="auto"/>
                <w:sz w:val="18"/>
                <w:szCs w:val="18"/>
                <w:highlight w:val="none"/>
              </w:rPr>
            </w:pPr>
          </w:p>
        </w:tc>
      </w:tr>
      <w:tr w14:paraId="648334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4106607">
            <w:pPr>
              <w:rPr>
                <w:color w:val="auto"/>
                <w:sz w:val="18"/>
                <w:szCs w:val="18"/>
                <w:highlight w:val="none"/>
              </w:rPr>
            </w:pPr>
          </w:p>
        </w:tc>
        <w:tc>
          <w:tcPr>
            <w:tcW w:w="1413" w:type="dxa"/>
            <w:vMerge w:val="continue"/>
          </w:tcPr>
          <w:p w14:paraId="0EC9A9F9">
            <w:pPr>
              <w:jc w:val="center"/>
              <w:rPr>
                <w:color w:val="auto"/>
                <w:sz w:val="18"/>
                <w:szCs w:val="18"/>
                <w:highlight w:val="none"/>
              </w:rPr>
            </w:pPr>
          </w:p>
        </w:tc>
        <w:tc>
          <w:tcPr>
            <w:tcW w:w="3912" w:type="dxa"/>
            <w:vAlign w:val="center"/>
          </w:tcPr>
          <w:p w14:paraId="358F1ECC">
            <w:pPr>
              <w:rPr>
                <w:color w:val="auto"/>
                <w:sz w:val="18"/>
                <w:szCs w:val="18"/>
                <w:highlight w:val="none"/>
              </w:rPr>
            </w:pPr>
            <w:r>
              <w:rPr>
                <w:color w:val="auto"/>
                <w:sz w:val="18"/>
                <w:szCs w:val="18"/>
                <w:highlight w:val="none"/>
              </w:rPr>
              <w:t>论文答辩</w:t>
            </w:r>
          </w:p>
        </w:tc>
        <w:tc>
          <w:tcPr>
            <w:tcW w:w="0" w:type="auto"/>
            <w:shd w:val="clear" w:color="auto" w:fill="auto"/>
            <w:vAlign w:val="center"/>
          </w:tcPr>
          <w:p w14:paraId="0D941017">
            <w:pPr>
              <w:rPr>
                <w:rFonts w:ascii="Times New Roman" w:hAnsi="Times New Roman" w:eastAsia="宋体" w:cs="Times New Roman"/>
                <w:color w:val="auto"/>
                <w:kern w:val="2"/>
                <w:sz w:val="18"/>
                <w:szCs w:val="18"/>
                <w:highlight w:val="none"/>
                <w:lang w:val="en-US" w:eastAsia="zh-CN" w:bidi="ar-SA"/>
              </w:rPr>
            </w:pPr>
          </w:p>
        </w:tc>
        <w:tc>
          <w:tcPr>
            <w:tcW w:w="0" w:type="auto"/>
          </w:tcPr>
          <w:p w14:paraId="440C28A5">
            <w:pPr>
              <w:jc w:val="center"/>
              <w:rPr>
                <w:color w:val="auto"/>
                <w:sz w:val="18"/>
                <w:szCs w:val="18"/>
                <w:highlight w:val="none"/>
              </w:rPr>
            </w:pPr>
          </w:p>
        </w:tc>
        <w:tc>
          <w:tcPr>
            <w:tcW w:w="709" w:type="dxa"/>
            <w:vAlign w:val="center"/>
          </w:tcPr>
          <w:p w14:paraId="5A544762">
            <w:pPr>
              <w:jc w:val="center"/>
              <w:rPr>
                <w:i w:val="0"/>
                <w:iCs w:val="0"/>
                <w:color w:val="auto"/>
                <w:sz w:val="18"/>
                <w:szCs w:val="18"/>
                <w:highlight w:val="none"/>
              </w:rPr>
            </w:pPr>
            <w:r>
              <w:rPr>
                <w:i w:val="0"/>
                <w:iCs w:val="0"/>
                <w:color w:val="auto"/>
                <w:sz w:val="18"/>
                <w:szCs w:val="18"/>
                <w:highlight w:val="none"/>
              </w:rPr>
              <w:t>6</w:t>
            </w:r>
          </w:p>
        </w:tc>
        <w:tc>
          <w:tcPr>
            <w:tcW w:w="1146" w:type="dxa"/>
            <w:vMerge w:val="continue"/>
          </w:tcPr>
          <w:p w14:paraId="3D6A76FA">
            <w:pPr>
              <w:jc w:val="center"/>
              <w:rPr>
                <w:color w:val="auto"/>
                <w:sz w:val="18"/>
                <w:szCs w:val="18"/>
                <w:highlight w:val="none"/>
              </w:rPr>
            </w:pPr>
          </w:p>
        </w:tc>
      </w:tr>
    </w:tbl>
    <w:p w14:paraId="5D643FC7">
      <w:pPr>
        <w:spacing w:after="156" w:afterLines="50" w:line="440" w:lineRule="exact"/>
        <w:ind w:firstLine="482" w:firstLineChars="200"/>
        <w:jc w:val="center"/>
        <w:rPr>
          <w:rFonts w:eastAsiaTheme="minorEastAsia"/>
          <w:b/>
          <w:bCs/>
          <w:color w:val="auto"/>
          <w:sz w:val="24"/>
          <w:highlight w:val="none"/>
        </w:rPr>
      </w:pPr>
    </w:p>
    <w:p w14:paraId="14FE9688">
      <w:pPr>
        <w:spacing w:line="440" w:lineRule="exact"/>
        <w:ind w:firstLine="480" w:firstLineChars="200"/>
        <w:rPr>
          <w:rFonts w:eastAsiaTheme="minorEastAsia"/>
          <w:bCs/>
          <w:color w:val="auto"/>
          <w:sz w:val="24"/>
          <w:highlight w:val="none"/>
        </w:rPr>
      </w:pPr>
      <w:r>
        <w:rPr>
          <w:rFonts w:eastAsiaTheme="minorEastAsia"/>
          <w:bCs/>
          <w:color w:val="auto"/>
          <w:sz w:val="24"/>
          <w:highlight w:val="none"/>
        </w:rPr>
        <w:t>*公共外语课程按入学时的外国语考试科目修读相关语种。</w:t>
      </w:r>
    </w:p>
    <w:p w14:paraId="79B6DC94">
      <w:pPr>
        <w:spacing w:line="440" w:lineRule="exact"/>
        <w:ind w:firstLine="560" w:firstLineChars="200"/>
        <w:rPr>
          <w:rFonts w:eastAsia="黑体"/>
          <w:bCs/>
          <w:color w:val="auto"/>
          <w:sz w:val="28"/>
          <w:szCs w:val="28"/>
          <w:highlight w:val="none"/>
        </w:rPr>
      </w:pPr>
      <w:r>
        <w:rPr>
          <w:rFonts w:eastAsia="黑体"/>
          <w:bCs/>
          <w:color w:val="auto"/>
          <w:sz w:val="28"/>
          <w:szCs w:val="28"/>
          <w:highlight w:val="none"/>
        </w:rPr>
        <w:t>十</w:t>
      </w:r>
      <w:r>
        <w:rPr>
          <w:rFonts w:hint="eastAsia" w:eastAsia="黑体"/>
          <w:bCs/>
          <w:color w:val="auto"/>
          <w:sz w:val="28"/>
          <w:szCs w:val="28"/>
          <w:highlight w:val="none"/>
        </w:rPr>
        <w:t>三</w:t>
      </w:r>
      <w:r>
        <w:rPr>
          <w:rFonts w:eastAsia="黑体"/>
          <w:bCs/>
          <w:color w:val="auto"/>
          <w:sz w:val="28"/>
          <w:szCs w:val="28"/>
          <w:highlight w:val="none"/>
        </w:rPr>
        <w:t>、其他需要说明事项</w:t>
      </w:r>
    </w:p>
    <w:p w14:paraId="633077BF">
      <w:pPr>
        <w:spacing w:line="440" w:lineRule="exact"/>
        <w:ind w:firstLine="480" w:firstLineChars="200"/>
        <w:rPr>
          <w:rFonts w:eastAsiaTheme="minorEastAsia"/>
          <w:bCs/>
          <w:i w:val="0"/>
          <w:iCs w:val="0"/>
          <w:color w:val="auto"/>
          <w:sz w:val="24"/>
          <w:highlight w:val="none"/>
        </w:rPr>
      </w:pPr>
      <w:r>
        <w:rPr>
          <w:rFonts w:eastAsiaTheme="minorEastAsia"/>
          <w:bCs/>
          <w:i w:val="0"/>
          <w:iCs w:val="0"/>
          <w:color w:val="auto"/>
          <w:sz w:val="24"/>
          <w:highlight w:val="none"/>
        </w:rPr>
        <w:t>1. 非学位课中的方向选修课模块由各培养单位自行设置，并给出具体选修学分要求。</w:t>
      </w:r>
    </w:p>
    <w:bookmarkEnd w:id="0"/>
    <w:bookmarkEnd w:id="1"/>
    <w:p w14:paraId="1D2113C0">
      <w:pPr>
        <w:spacing w:line="440" w:lineRule="exact"/>
        <w:ind w:firstLine="480" w:firstLineChars="200"/>
        <w:rPr>
          <w:rFonts w:eastAsiaTheme="minorEastAsia"/>
          <w:bCs/>
          <w:i w:val="0"/>
          <w:iCs w:val="0"/>
          <w:color w:val="auto"/>
          <w:sz w:val="24"/>
          <w:highlight w:val="none"/>
        </w:rPr>
      </w:pPr>
      <w:r>
        <w:rPr>
          <w:rFonts w:eastAsiaTheme="minorEastAsia"/>
          <w:bCs/>
          <w:i w:val="0"/>
          <w:iCs w:val="0"/>
          <w:color w:val="auto"/>
          <w:sz w:val="24"/>
          <w:highlight w:val="none"/>
        </w:rPr>
        <w:t>2. 毕业总学分：</w:t>
      </w:r>
      <w:r>
        <w:rPr>
          <w:rFonts w:hint="eastAsia" w:eastAsiaTheme="minorEastAsia"/>
          <w:bCs/>
          <w:i w:val="0"/>
          <w:iCs w:val="0"/>
          <w:color w:val="auto"/>
          <w:sz w:val="24"/>
          <w:highlight w:val="none"/>
        </w:rPr>
        <w:t>学位课</w:t>
      </w:r>
      <w:r>
        <w:rPr>
          <w:rFonts w:eastAsiaTheme="minorEastAsia"/>
          <w:bCs/>
          <w:i w:val="0"/>
          <w:iCs w:val="0"/>
          <w:color w:val="auto"/>
          <w:sz w:val="24"/>
          <w:highlight w:val="none"/>
        </w:rPr>
        <w:t>+</w:t>
      </w:r>
      <w:r>
        <w:rPr>
          <w:rFonts w:hint="eastAsia" w:eastAsiaTheme="minorEastAsia"/>
          <w:bCs/>
          <w:i w:val="0"/>
          <w:iCs w:val="0"/>
          <w:color w:val="auto"/>
          <w:sz w:val="24"/>
          <w:highlight w:val="none"/>
        </w:rPr>
        <w:t>非学位课</w:t>
      </w:r>
      <w:r>
        <w:rPr>
          <w:rFonts w:eastAsiaTheme="minorEastAsia"/>
          <w:bCs/>
          <w:i w:val="0"/>
          <w:iCs w:val="0"/>
          <w:color w:val="auto"/>
          <w:sz w:val="24"/>
          <w:highlight w:val="none"/>
        </w:rPr>
        <w:t>+必修环节。</w:t>
      </w:r>
    </w:p>
    <w:p w14:paraId="148C9BCB">
      <w:pPr>
        <w:rPr>
          <w:i/>
          <w:iCs/>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65257"/>
    <w:rsid w:val="01D53FCD"/>
    <w:rsid w:val="05422559"/>
    <w:rsid w:val="07805D35"/>
    <w:rsid w:val="0AA71F7F"/>
    <w:rsid w:val="0BF945B1"/>
    <w:rsid w:val="0D656506"/>
    <w:rsid w:val="0D862151"/>
    <w:rsid w:val="0D9A54EB"/>
    <w:rsid w:val="0E6C13D7"/>
    <w:rsid w:val="10A05F78"/>
    <w:rsid w:val="11EC669A"/>
    <w:rsid w:val="123E24E6"/>
    <w:rsid w:val="18C21EB7"/>
    <w:rsid w:val="1A980C31"/>
    <w:rsid w:val="1CD52035"/>
    <w:rsid w:val="1D667CBD"/>
    <w:rsid w:val="211F5A3F"/>
    <w:rsid w:val="21B95553"/>
    <w:rsid w:val="228965D3"/>
    <w:rsid w:val="233B7BD9"/>
    <w:rsid w:val="256E7ECA"/>
    <w:rsid w:val="28A802B7"/>
    <w:rsid w:val="29DA1B47"/>
    <w:rsid w:val="2A743136"/>
    <w:rsid w:val="2ADE6734"/>
    <w:rsid w:val="2B352FB7"/>
    <w:rsid w:val="36101C06"/>
    <w:rsid w:val="368220F2"/>
    <w:rsid w:val="39E75002"/>
    <w:rsid w:val="3B006A22"/>
    <w:rsid w:val="3DD51131"/>
    <w:rsid w:val="3EAC42EE"/>
    <w:rsid w:val="41943114"/>
    <w:rsid w:val="4B963850"/>
    <w:rsid w:val="58432A75"/>
    <w:rsid w:val="676D7A10"/>
    <w:rsid w:val="6F4278FC"/>
    <w:rsid w:val="7E140867"/>
    <w:rsid w:val="7EC64656"/>
    <w:rsid w:val="7ED965C0"/>
    <w:rsid w:val="7F8B4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4003</Words>
  <Characters>4253</Characters>
  <Lines>0</Lines>
  <Paragraphs>0</Paragraphs>
  <TotalTime>0</TotalTime>
  <ScaleCrop>false</ScaleCrop>
  <LinksUpToDate>false</LinksUpToDate>
  <CharactersWithSpaces>4268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2025-04-25T02:45:00Z</dcterms:created>
  <dc:creator>Administrator</dc:creator>
  <cp:lastModifiedBy>许诺/ty</cp:lastModifiedBy>
  <dcterms:modified xsi:type="dcterms:W3CDTF">2025-06-27T09:48:59Z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eyJoZGlkIjoiMjgwZjczMGExMzViMTFhYzEzZjJjYmUxOTlkOTA2MzQiLCJ1c2VySWQiOiIzNjQ0ODYzMjMifQ==</vt:lpwstr>
  </property>
  <property fmtid="{D5CDD505-2E9C-101B-9397-08002B2CF9AE}" pid="4" name="ICV">
    <vt:lpwstr>9B19D9F59D304D6B8DAB26D33267D1B2_13</vt:lpwstr>
  </property>
</Properties>
</file>