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F9600">
      <w:pPr>
        <w:ind w:left="321" w:leftChars="153" w:right="227"/>
        <w:jc w:val="center"/>
        <w:rPr>
          <w:rFonts w:eastAsia="黑体"/>
          <w:b/>
          <w:bCs/>
          <w:color w:val="auto"/>
          <w:sz w:val="32"/>
          <w:szCs w:val="32"/>
        </w:rPr>
      </w:pPr>
      <w:bookmarkStart w:id="0" w:name="OLE_LINK6"/>
      <w:bookmarkStart w:id="1" w:name="OLE_LINK7"/>
      <w:r>
        <w:rPr>
          <w:rFonts w:hint="eastAsia" w:eastAsia="黑体"/>
          <w:b/>
          <w:bCs/>
          <w:iCs/>
          <w:color w:val="auto"/>
          <w:sz w:val="32"/>
          <w:szCs w:val="32"/>
          <w:u w:val="single"/>
        </w:rPr>
        <w:t>电子信息</w:t>
      </w:r>
      <w:r>
        <w:rPr>
          <w:rFonts w:eastAsia="黑体"/>
          <w:b/>
          <w:bCs/>
          <w:color w:val="auto"/>
          <w:sz w:val="32"/>
          <w:szCs w:val="32"/>
        </w:rPr>
        <w:t>专业全日制专业学位硕士研究生培养方案</w:t>
      </w:r>
    </w:p>
    <w:p w14:paraId="02A1FB2C">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rPr>
        <w:t>质量技术监督</w:t>
      </w:r>
      <w:r>
        <w:rPr>
          <w:rFonts w:eastAsia="黑体"/>
          <w:b/>
          <w:bCs/>
          <w:color w:val="auto"/>
          <w:sz w:val="28"/>
          <w:szCs w:val="28"/>
        </w:rPr>
        <w:t>学院)</w:t>
      </w:r>
    </w:p>
    <w:p w14:paraId="7AD21D42">
      <w:pPr>
        <w:spacing w:line="360" w:lineRule="auto"/>
        <w:ind w:firstLine="560"/>
        <w:rPr>
          <w:rFonts w:eastAsia="黑体"/>
          <w:bCs/>
          <w:sz w:val="28"/>
          <w:szCs w:val="28"/>
        </w:rPr>
      </w:pPr>
      <w:r>
        <w:rPr>
          <w:rFonts w:eastAsia="黑体"/>
          <w:bCs/>
          <w:sz w:val="28"/>
          <w:szCs w:val="28"/>
        </w:rPr>
        <w:t>一、专业名称、代码</w:t>
      </w:r>
    </w:p>
    <w:p w14:paraId="0B39189C">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电子信息</w:t>
      </w:r>
    </w:p>
    <w:p w14:paraId="49C0F88C">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085400</w:t>
      </w:r>
    </w:p>
    <w:p w14:paraId="64C77968">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1C159889">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电子信息专业学位包括</w:t>
      </w:r>
      <w:r>
        <w:rPr>
          <w:rFonts w:hint="eastAsia" w:eastAsiaTheme="minorEastAsia"/>
          <w:sz w:val="24"/>
        </w:rPr>
        <w:t>测试计量理论及传感器、无损检测技术及仪器、食品药品计量检测及标准化、精密仪器与智能机械装备</w:t>
      </w:r>
      <w:r>
        <w:rPr>
          <w:rFonts w:hint="eastAsia" w:asciiTheme="minorEastAsia" w:hAnsiTheme="minorEastAsia" w:eastAsiaTheme="minorEastAsia"/>
          <w:sz w:val="24"/>
        </w:rPr>
        <w:t>四个特色方向</w:t>
      </w:r>
      <w:r>
        <w:rPr>
          <w:rFonts w:hint="eastAsia" w:asciiTheme="minorEastAsia" w:hAnsiTheme="minorEastAsia" w:eastAsiaTheme="minorEastAsia"/>
          <w:color w:val="000000" w:themeColor="text1"/>
          <w:sz w:val="24"/>
          <w14:textFill>
            <w14:solidFill>
              <w14:schemeClr w14:val="tx1"/>
            </w14:solidFill>
          </w14:textFill>
        </w:rPr>
        <w:t>。</w:t>
      </w:r>
    </w:p>
    <w:p w14:paraId="63326B65">
      <w:pPr>
        <w:spacing w:line="360" w:lineRule="auto"/>
        <w:ind w:firstLine="480" w:firstLineChars="200"/>
        <w:rPr>
          <w:rFonts w:eastAsiaTheme="minorEastAsia"/>
          <w:i/>
          <w:color w:val="FF0000"/>
          <w:sz w:val="24"/>
        </w:rPr>
      </w:pPr>
      <w:r>
        <w:rPr>
          <w:rFonts w:hint="eastAsia" w:asciiTheme="minorEastAsia" w:hAnsiTheme="minorEastAsia" w:eastAsiaTheme="minorEastAsia"/>
          <w:color w:val="000000" w:themeColor="text1"/>
          <w:sz w:val="24"/>
          <w14:textFill>
            <w14:solidFill>
              <w14:schemeClr w14:val="tx1"/>
            </w14:solidFill>
          </w14:textFill>
        </w:rPr>
        <w:t>本专业学位结合国家质量基础（计量、检验检测、标准、认证认可）需求，形成了计量、质量控制、标准协调发展的人才培养体系。瞄准当前能源和环境热点领域，加强智能制造、材料、物理、化学、环境及能源等各领域交叉融合，围绕节能减排与环境保护等方面开展前沿应用与基础研究，重点研究以流体的形式存在能源与资源的流量计量技术、传感与电池等新型器件及材料的设计开发与检测技术；以仪器的智能化、微型化、集成化和网络化为目标，涵盖现代设计方法学及测控技术、机电一体化技术、智能结构系统与技术，微机电与动态测试技术等综合应用；围绕国家食品药品质量、国家特种设备及相关领域安全性能检验检测的需求开展应用研究,具有鲜明的质检行业特色。</w:t>
      </w:r>
    </w:p>
    <w:p w14:paraId="3C7659B2">
      <w:pPr>
        <w:spacing w:line="360" w:lineRule="auto"/>
        <w:ind w:firstLine="560" w:firstLineChars="200"/>
        <w:rPr>
          <w:rFonts w:eastAsia="黑体"/>
          <w:bCs/>
          <w:sz w:val="28"/>
          <w:szCs w:val="28"/>
        </w:rPr>
      </w:pPr>
      <w:r>
        <w:rPr>
          <w:rFonts w:eastAsia="黑体"/>
          <w:bCs/>
          <w:sz w:val="28"/>
          <w:szCs w:val="28"/>
        </w:rPr>
        <w:t>三、研究方向</w:t>
      </w:r>
    </w:p>
    <w:p w14:paraId="6B3FE7B0">
      <w:pPr>
        <w:spacing w:line="360" w:lineRule="auto"/>
        <w:ind w:firstLine="482" w:firstLineChars="200"/>
        <w:rPr>
          <w:rFonts w:asciiTheme="minorEastAsia" w:hAnsiTheme="minorEastAsia" w:eastAsiaTheme="minorEastAsia"/>
          <w:b/>
          <w:bCs/>
          <w:color w:val="000000" w:themeColor="text1"/>
          <w:sz w:val="24"/>
          <w14:textFill>
            <w14:solidFill>
              <w14:schemeClr w14:val="tx1"/>
            </w14:solidFill>
          </w14:textFill>
        </w:rPr>
      </w:pPr>
      <w:r>
        <w:rPr>
          <w:rFonts w:hint="eastAsia" w:asciiTheme="minorEastAsia" w:hAnsiTheme="minorEastAsia" w:eastAsiaTheme="minorEastAsia"/>
          <w:b/>
          <w:bCs/>
          <w:color w:val="000000" w:themeColor="text1"/>
          <w:sz w:val="24"/>
          <w14:textFill>
            <w14:solidFill>
              <w14:schemeClr w14:val="tx1"/>
            </w14:solidFill>
          </w14:textFill>
        </w:rPr>
        <w:t>1.测试计量理论及传感器</w:t>
      </w:r>
    </w:p>
    <w:p w14:paraId="769123EC">
      <w:pPr>
        <w:numPr>
          <w:ilvl w:val="0"/>
          <w:numId w:val="0"/>
        </w:numPr>
        <w:spacing w:line="360" w:lineRule="auto"/>
        <w:ind w:firstLine="480" w:firstLineChars="200"/>
        <w:rPr>
          <w:rFonts w:hint="eastAsia" w:eastAsiaTheme="minorEastAsia"/>
          <w:sz w:val="24"/>
        </w:rPr>
      </w:pPr>
      <w:r>
        <w:rPr>
          <w:rFonts w:hint="eastAsia" w:eastAsiaTheme="minorEastAsia"/>
          <w:sz w:val="24"/>
        </w:rPr>
        <w:t>本方向立足国家战略需求，紧扣国家计量发展规划的重要方向，在航空航天、新能源等战略性新兴产业，为国家计量事业发展与产业技术革新提供关键支撑，以推动高端计量仪器制造、赋能工业智能化转型为目标，深度融合最新产业与技术发展需求，针对工业及民生领域复杂计量测试难题，聚焦物理参数准确计量及仪器设计理论与实际工程问题，开展系统且深入的研究。在研究实践中，以计量学、静态与动态测量不确定度理论为根基，重点探索测量不确定度理论在多场景的应用优化，推进新型智能传感器、智能计量仪器的研发进程。同时围绕量值传递与溯源体系建设，结合工业互联网技术，构建智慧计量系统与基于计量物联网的现代计量测试、检定校准系统，实现物理参数的高精度测量与数据的可靠传输、处理。本方向致力于培育理论基础扎实、具备敏锐计量思维，能够熟练运用先进技术手段，具有计量思维，能够独立解决热工领域复杂工程问题，具有“精益求精、家国情怀”工匠精神的高层次教学科研与工程技术人才。毕业生将秉持 “科技兴国、追求卓越” 理念，推动行业高质量发展。</w:t>
      </w:r>
    </w:p>
    <w:p w14:paraId="2D30CD6D">
      <w:pPr>
        <w:spacing w:line="360" w:lineRule="auto"/>
        <w:ind w:firstLine="482" w:firstLineChars="200"/>
        <w:rPr>
          <w:rFonts w:asciiTheme="minorEastAsia" w:hAnsiTheme="minorEastAsia" w:eastAsiaTheme="minorEastAsia"/>
          <w:b/>
          <w:bCs/>
          <w:color w:val="000000" w:themeColor="text1"/>
          <w:sz w:val="24"/>
          <w14:textFill>
            <w14:solidFill>
              <w14:schemeClr w14:val="tx1"/>
            </w14:solidFill>
          </w14:textFill>
        </w:rPr>
      </w:pPr>
      <w:r>
        <w:rPr>
          <w:rFonts w:hint="eastAsia" w:asciiTheme="minorEastAsia" w:hAnsiTheme="minorEastAsia" w:eastAsiaTheme="minorEastAsia"/>
          <w:b/>
          <w:bCs/>
          <w:color w:val="000000" w:themeColor="text1"/>
          <w:sz w:val="24"/>
          <w14:textFill>
            <w14:solidFill>
              <w14:schemeClr w14:val="tx1"/>
            </w14:solidFill>
          </w14:textFill>
        </w:rPr>
        <w:t>2.无损检测技术及仪器</w:t>
      </w:r>
    </w:p>
    <w:p w14:paraId="27DD00EB">
      <w:pPr>
        <w:spacing w:line="360" w:lineRule="auto"/>
        <w:ind w:firstLine="480" w:firstLineChars="200"/>
        <w:rPr>
          <w:rFonts w:eastAsiaTheme="minorEastAsia"/>
          <w:color w:val="auto"/>
          <w:sz w:val="24"/>
        </w:rPr>
      </w:pPr>
      <w:r>
        <w:rPr>
          <w:rFonts w:hint="eastAsia" w:asciiTheme="minorEastAsia" w:hAnsiTheme="minorEastAsia" w:eastAsiaTheme="minorEastAsia"/>
          <w:color w:val="auto"/>
          <w:sz w:val="24"/>
        </w:rPr>
        <w:t>本方向</w:t>
      </w:r>
      <w:r>
        <w:rPr>
          <w:rFonts w:hint="eastAsia" w:eastAsiaTheme="minorEastAsia"/>
          <w:color w:val="auto"/>
          <w:sz w:val="24"/>
        </w:rPr>
        <w:t>立足国家战略需求，以保障国家重大基础设施和民生工程的安全服役为目标，</w:t>
      </w:r>
      <w:r>
        <w:rPr>
          <w:rFonts w:hint="eastAsia" w:asciiTheme="minorEastAsia" w:hAnsiTheme="minorEastAsia" w:eastAsiaTheme="minorEastAsia"/>
          <w:color w:val="auto"/>
          <w:sz w:val="24"/>
        </w:rPr>
        <w:t>围绕国家特种设备及</w:t>
      </w:r>
      <w:r>
        <w:rPr>
          <w:rFonts w:hint="eastAsia" w:eastAsiaTheme="minorEastAsia"/>
          <w:color w:val="auto"/>
          <w:sz w:val="24"/>
        </w:rPr>
        <w:t>航天、核电等国家重大工程装备等的</w:t>
      </w:r>
      <w:r>
        <w:rPr>
          <w:rFonts w:hint="eastAsia" w:asciiTheme="minorEastAsia" w:hAnsiTheme="minorEastAsia" w:eastAsiaTheme="minorEastAsia"/>
          <w:color w:val="auto"/>
          <w:sz w:val="24"/>
        </w:rPr>
        <w:t>安全性能检验检测需求，对复合材料及其结构、特种设备结构及无损检测技术等方面进行深入、系统的研究与探讨。在系统掌握超声成像检测、声发射检测、红外热成像等先进无损检测技术手段的基础上，利用小波分析、聚类分析、人工神经网络等信号处理方法，实现典型缺陷的精确定位和类型识别；结合断裂力学理论和失效分析技术，对特种设备、复合材料结构体系进行完整性和安全性评价。本方向致力于培养具有无损检测专业基础扎实、理论功底深厚、实践能力强</w:t>
      </w:r>
      <w:r>
        <w:rPr>
          <w:rFonts w:hint="eastAsia" w:eastAsiaTheme="minorEastAsia"/>
          <w:color w:val="auto"/>
          <w:sz w:val="24"/>
        </w:rPr>
        <w:t>且具有“科技报国、精益求精”工匠精神的</w:t>
      </w:r>
      <w:r>
        <w:rPr>
          <w:rFonts w:hint="eastAsia" w:asciiTheme="minorEastAsia" w:hAnsiTheme="minorEastAsia" w:eastAsiaTheme="minorEastAsia"/>
          <w:color w:val="auto"/>
          <w:sz w:val="24"/>
        </w:rPr>
        <w:t>高层次教学科研与工程技术人才。</w:t>
      </w:r>
    </w:p>
    <w:p w14:paraId="734987A5">
      <w:pPr>
        <w:spacing w:line="360" w:lineRule="auto"/>
        <w:ind w:firstLine="482"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b/>
          <w:bCs/>
          <w:color w:val="000000" w:themeColor="text1"/>
          <w:sz w:val="24"/>
          <w14:textFill>
            <w14:solidFill>
              <w14:schemeClr w14:val="tx1"/>
            </w14:solidFill>
          </w14:textFill>
        </w:rPr>
        <w:t>3.食品药品检测技术及标准化</w:t>
      </w:r>
    </w:p>
    <w:p w14:paraId="2E522A68">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auto"/>
          <w:sz w:val="24"/>
        </w:rPr>
        <w:t>本方向围绕国家食品药品质量与安全领域中计量检测及标准化体系建设的需求，重点在食品药品质量标准化检测方法及仪器、食品药品生产及质量管理、食品药品原产地鉴别方法等领域展开研究，具有鲜明的质量管控特色。以分析化学和质量管理学为基础，融合统计学、计量学、计算机科学、电子信息学、人工智能等学科知识，在食品药品违禁成分痕量分析、食药质量控制关键技术、地理标志产品原产地溯源方法，数智化无损检测等特色研究课题中展开实训，培养一批基础扎实、视野开阔的食品药品质量管控领域专业人才。</w:t>
      </w:r>
    </w:p>
    <w:p w14:paraId="7DB7F40E">
      <w:pPr>
        <w:spacing w:line="360" w:lineRule="auto"/>
        <w:ind w:firstLine="482" w:firstLineChars="200"/>
        <w:rPr>
          <w:rFonts w:asciiTheme="minorEastAsia" w:hAnsiTheme="minorEastAsia" w:eastAsiaTheme="minorEastAsia"/>
          <w:b/>
          <w:bCs/>
          <w:sz w:val="24"/>
        </w:rPr>
      </w:pPr>
      <w:r>
        <w:rPr>
          <w:rFonts w:hint="eastAsia" w:asciiTheme="minorEastAsia" w:hAnsiTheme="minorEastAsia" w:eastAsiaTheme="minorEastAsia"/>
          <w:b/>
          <w:bCs/>
          <w:sz w:val="24"/>
        </w:rPr>
        <w:t>4.精密仪器与智能机械装备</w:t>
      </w:r>
    </w:p>
    <w:p w14:paraId="194B1006">
      <w:pPr>
        <w:spacing w:line="360" w:lineRule="auto"/>
        <w:ind w:firstLine="480" w:firstLineChars="200"/>
        <w:rPr>
          <w:rFonts w:eastAsiaTheme="minorEastAsia"/>
          <w:i/>
          <w:color w:val="FF0000"/>
          <w:sz w:val="24"/>
        </w:rPr>
      </w:pPr>
      <w:r>
        <w:rPr>
          <w:rFonts w:hint="eastAsia" w:asciiTheme="minorEastAsia" w:hAnsiTheme="minorEastAsia" w:eastAsiaTheme="minorEastAsia"/>
          <w:sz w:val="24"/>
        </w:rPr>
        <w:t>本方向以现代精密机械产品设计理论为基础，以仪器的智能化、微型化、集成化和网络化为目标，涵盖现代设计方法学及测控技术、机电一体化技术、智能结构系统与技术，微机电与动态测试技术、大数据与人工智能技术等综合应用。</w:t>
      </w:r>
      <w:r>
        <w:rPr>
          <w:rFonts w:hint="eastAsia" w:asciiTheme="minorEastAsia" w:hAnsiTheme="minorEastAsia" w:eastAsiaTheme="minorEastAsia"/>
          <w:color w:val="000000" w:themeColor="text1"/>
          <w:sz w:val="24"/>
          <w14:textFill>
            <w14:solidFill>
              <w14:schemeClr w14:val="tx1"/>
            </w14:solidFill>
          </w14:textFill>
        </w:rPr>
        <w:t>研究车辆系统动力学及汽车安全检测与控制理论和方法，研究大容量电池材料及其检测设备，探究电池容量衰减机理与检测技术。设计压电致动器的结构设计与驱动控制系统。研究机械构件的力学性能及其可靠性理论和</w:t>
      </w:r>
      <w:r>
        <w:rPr>
          <w:rFonts w:hint="eastAsia" w:asciiTheme="minorEastAsia" w:hAnsiTheme="minorEastAsia" w:eastAsiaTheme="minorEastAsia"/>
          <w:sz w:val="24"/>
        </w:rPr>
        <w:t>检测技术。研究人工智能技术在图像视频信息处理、自动驾驶、智能决策、自然语言处理等的理论及应用技术。致力于培养机械与产品设计理论基础扎实，科研能力强，且掌握精密机械及其检测领域的前沿技术的研究应用型人才。</w:t>
      </w:r>
    </w:p>
    <w:p w14:paraId="78EF2E27">
      <w:pPr>
        <w:spacing w:line="360" w:lineRule="auto"/>
        <w:ind w:firstLine="560" w:firstLineChars="200"/>
        <w:rPr>
          <w:rFonts w:eastAsia="黑体"/>
          <w:bCs/>
          <w:sz w:val="28"/>
          <w:szCs w:val="28"/>
        </w:rPr>
      </w:pPr>
      <w:r>
        <w:rPr>
          <w:rFonts w:eastAsia="黑体"/>
          <w:bCs/>
          <w:sz w:val="28"/>
          <w:szCs w:val="28"/>
        </w:rPr>
        <w:t>四、学制及学习年限</w:t>
      </w:r>
    </w:p>
    <w:p w14:paraId="6DCBA6D4">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E676E5B">
      <w:pPr>
        <w:spacing w:line="360" w:lineRule="auto"/>
        <w:ind w:firstLine="560" w:firstLineChars="200"/>
        <w:rPr>
          <w:rFonts w:eastAsia="黑体"/>
          <w:bCs/>
          <w:sz w:val="28"/>
          <w:szCs w:val="28"/>
        </w:rPr>
      </w:pPr>
      <w:r>
        <w:rPr>
          <w:rFonts w:eastAsia="黑体"/>
          <w:bCs/>
          <w:sz w:val="28"/>
          <w:szCs w:val="28"/>
        </w:rPr>
        <w:t>五、培养目标</w:t>
      </w:r>
    </w:p>
    <w:p w14:paraId="4F34597D">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1.树立正确的中国特色社会主义核心价值观，拥护中国共产党的领导，具有坚定的理想信念，高尚的道德情操，优良的学术作风，高度的社会责任感，努力借助于本专业知识服务于科技进步和社会发展。</w:t>
      </w:r>
    </w:p>
    <w:p w14:paraId="182CCFD9">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w:t>
      </w:r>
      <w:r>
        <w:rPr>
          <w:rFonts w:hint="eastAsia" w:asciiTheme="minorEastAsia" w:hAnsiTheme="minorEastAsia" w:eastAsiaTheme="minorEastAsia"/>
          <w:color w:val="000000" w:themeColor="text1"/>
          <w:sz w:val="24"/>
          <w:lang w:eastAsia="zh-CN"/>
          <w14:textFill>
            <w14:solidFill>
              <w14:schemeClr w14:val="tx1"/>
            </w14:solidFill>
          </w14:textFill>
        </w:rPr>
        <w:t>在</w:t>
      </w:r>
      <w:r>
        <w:rPr>
          <w:rFonts w:hint="eastAsia" w:asciiTheme="minorEastAsia" w:hAnsiTheme="minorEastAsia" w:eastAsiaTheme="minorEastAsia"/>
          <w:color w:val="000000" w:themeColor="text1"/>
          <w:sz w:val="24"/>
          <w14:textFill>
            <w14:solidFill>
              <w14:schemeClr w14:val="tx1"/>
            </w14:solidFill>
          </w14:textFill>
        </w:rPr>
        <w:t>电子信息领域具有坚实宽广的理论基础和系统深入的专门知识，有严谨求实的科学作风。了解学科领域的发展方向及国际的学术研究前沿，能够从事理论和实验研究，具有发现问题、分析问题和解决问题的能力，具有独立从事科学研究和技术开发的能力，并做成具有相对独立的研究成果。培养具有良好的基础理论、扎实的专业技能、突出的实践能力和优秀的综合素质的高层次专业技能型人才。</w:t>
      </w:r>
    </w:p>
    <w:p w14:paraId="5897F7F9">
      <w:pPr>
        <w:spacing w:line="360" w:lineRule="auto"/>
        <w:ind w:firstLine="48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3.至少掌握一门外国语，能熟练阅读本专业的外文资料，具有撰写学术论文和进行国际学术交流的能力。</w:t>
      </w:r>
    </w:p>
    <w:p w14:paraId="2184A553">
      <w:pPr>
        <w:spacing w:line="360" w:lineRule="auto"/>
        <w:ind w:firstLine="48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4.具有良好的团队意识和团队合作精神</w:t>
      </w:r>
      <w:r>
        <w:rPr>
          <w:rFonts w:ascii="Tahoma" w:hAnsi="Tahoma" w:cs="Tahom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，恪守学术道德规范。</w:t>
      </w:r>
    </w:p>
    <w:p w14:paraId="3D377080">
      <w:pPr>
        <w:spacing w:line="360" w:lineRule="auto"/>
        <w:ind w:firstLine="48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5.具有良好的心理素质。</w:t>
      </w:r>
    </w:p>
    <w:p w14:paraId="6D19EBFC">
      <w:pPr>
        <w:spacing w:line="360" w:lineRule="auto"/>
        <w:ind w:firstLine="480"/>
        <w:rPr>
          <w:rFonts w:eastAsia="黑体"/>
          <w:bCs/>
          <w:sz w:val="28"/>
          <w:szCs w:val="28"/>
        </w:rPr>
      </w:pPr>
      <w:r>
        <w:rPr>
          <w:rFonts w:hint="eastAsia" w:asciiTheme="minorEastAsia" w:hAnsiTheme="minorEastAsia" w:eastAsiaTheme="minorEastAsia"/>
          <w:color w:val="000000" w:themeColor="text1"/>
          <w:sz w:val="24"/>
          <w14:textFill>
            <w14:solidFill>
              <w14:schemeClr w14:val="tx1"/>
            </w14:solidFill>
          </w14:textFill>
        </w:rPr>
        <w:t>6.培养德智体美劳全面发展的社会主义事业接班人。</w:t>
      </w:r>
    </w:p>
    <w:p w14:paraId="737A079A">
      <w:pPr>
        <w:spacing w:line="360" w:lineRule="auto"/>
        <w:ind w:firstLine="560" w:firstLineChars="200"/>
        <w:rPr>
          <w:rFonts w:eastAsia="黑体"/>
          <w:bCs/>
          <w:sz w:val="28"/>
          <w:szCs w:val="28"/>
        </w:rPr>
      </w:pPr>
      <w:r>
        <w:rPr>
          <w:rFonts w:eastAsia="黑体"/>
          <w:bCs/>
          <w:sz w:val="28"/>
          <w:szCs w:val="28"/>
        </w:rPr>
        <w:t>六、培养方式</w:t>
      </w:r>
    </w:p>
    <w:p w14:paraId="50EB5A67">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lang w:eastAsia="zh-CN"/>
        </w:rPr>
        <w:t>电子信息专业</w:t>
      </w:r>
      <w:r>
        <w:rPr>
          <w:rFonts w:hint="eastAsia" w:asciiTheme="minorEastAsia" w:hAnsiTheme="minorEastAsia" w:eastAsiaTheme="minorEastAsia"/>
          <w:bCs/>
          <w:i w:val="0"/>
          <w:iCs/>
          <w:color w:val="auto"/>
          <w:sz w:val="24"/>
        </w:rPr>
        <w:t>全日制硕士研究生采取全脱产培养方式，深度对接国家质量基础（计量、检验检测、标准、认证认可）需求，具体内容如下：</w:t>
      </w:r>
    </w:p>
    <w:p w14:paraId="025B4BED">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rPr>
        <w:t>特色导向的导师协同机制：硕士研究生培养以导师负责制为核心，导师作为第一责任人，全面把控培养质量。组建由计量、检验检测、标准等领域权威专家及行业骨干构成的指导小组，提供精准化指导。导师结合国家质量基础领域重大需求，指导研究生制定课程学习计划，夯实专业基础，并在学位论文选题、开题、撰写等环节，融入行业实践与前沿动态，将严谨求实的治学态度与精益求精的工匠精神贯穿培养全程。</w:t>
      </w:r>
    </w:p>
    <w:p w14:paraId="28E5E6E1">
      <w:pPr>
        <w:spacing w:line="360" w:lineRule="auto"/>
        <w:ind w:firstLine="480" w:firstLineChars="200"/>
        <w:rPr>
          <w:rFonts w:hint="eastAsia" w:asciiTheme="minorEastAsia" w:hAnsiTheme="minorEastAsia" w:eastAsiaTheme="minorEastAsia"/>
          <w:bCs/>
          <w:i w:val="0"/>
          <w:iCs/>
          <w:color w:val="auto"/>
          <w:sz w:val="24"/>
        </w:rPr>
      </w:pPr>
      <w:r>
        <w:rPr>
          <w:rFonts w:hint="eastAsia" w:asciiTheme="minorEastAsia" w:hAnsiTheme="minorEastAsia" w:eastAsiaTheme="minorEastAsia"/>
          <w:bCs/>
          <w:i w:val="0"/>
          <w:iCs/>
          <w:color w:val="auto"/>
          <w:sz w:val="24"/>
        </w:rPr>
        <w:t>多维融合的培养体系：构建 “国家质量基础理论 + 行业实践 + 前沿创新” 三位一体的培养体系。在理论教学层面，围绕</w:t>
      </w:r>
      <w:r>
        <w:rPr>
          <w:rFonts w:hint="eastAsia" w:asciiTheme="minorEastAsia" w:hAnsiTheme="minorEastAsia" w:eastAsiaTheme="minorEastAsia"/>
          <w:bCs/>
          <w:i w:val="0"/>
          <w:iCs/>
          <w:color w:val="auto"/>
          <w:sz w:val="24"/>
          <w:lang w:eastAsia="zh-CN"/>
        </w:rPr>
        <w:t>专业</w:t>
      </w:r>
      <w:r>
        <w:rPr>
          <w:rFonts w:hint="eastAsia" w:asciiTheme="minorEastAsia" w:hAnsiTheme="minorEastAsia" w:eastAsiaTheme="minorEastAsia"/>
          <w:bCs/>
          <w:i w:val="0"/>
          <w:iCs/>
          <w:color w:val="auto"/>
          <w:sz w:val="24"/>
        </w:rPr>
        <w:t>内涵，要求研究生系统掌握现代计量测试理论等核心知识，形成计量检测、仪器设计研发、智能制造协调发展的知识架构；在科研实践环节，依托质检行业重点实验室与产学研合作平台，针对不同研究方向，开展高精度传感器研发、无损检测新技术应用、食品药品检测标准制定、智能机械装备质量优化等项目实践，熟练运用各类计量科学仪器与检验检测方法，提升专业技术能力；通过理论与实践的深度融合，培养研究生独立开展面向国家质量基础领域的科学研究能力，以及解决仪器行业复杂工程问题的专业素养。</w:t>
      </w:r>
    </w:p>
    <w:p w14:paraId="18A0419E">
      <w:pPr>
        <w:spacing w:line="360" w:lineRule="auto"/>
        <w:ind w:firstLine="480" w:firstLineChars="200"/>
        <w:rPr>
          <w:rFonts w:hint="eastAsia" w:asciiTheme="minorEastAsia" w:hAnsiTheme="minorEastAsia" w:eastAsiaTheme="minorEastAsia"/>
          <w:bCs/>
          <w:i/>
          <w:color w:val="FF0000"/>
          <w:sz w:val="24"/>
        </w:rPr>
      </w:pPr>
      <w:r>
        <w:rPr>
          <w:rFonts w:hint="eastAsia" w:asciiTheme="minorEastAsia" w:hAnsiTheme="minorEastAsia" w:eastAsiaTheme="minorEastAsia"/>
          <w:bCs/>
          <w:i w:val="0"/>
          <w:iCs/>
          <w:color w:val="auto"/>
          <w:sz w:val="24"/>
          <w:lang w:eastAsia="zh-CN"/>
        </w:rPr>
        <w:t>实践</w:t>
      </w:r>
      <w:r>
        <w:rPr>
          <w:rFonts w:hint="eastAsia" w:asciiTheme="minorEastAsia" w:hAnsiTheme="minorEastAsia" w:eastAsiaTheme="minorEastAsia"/>
          <w:bCs/>
          <w:i w:val="0"/>
          <w:iCs/>
          <w:color w:val="auto"/>
          <w:sz w:val="24"/>
        </w:rPr>
        <w:t>创新能力培育：以国家质量基础需求为导向，从前沿技术与应用研究双轨并行培养研究生创新能力。在前沿技术研究方面，聚焦现代计量测试理论及传感器技术，鼓励研究生探索新型传感原理、高精度测量仪器研发等前沿课题；在应用研究领域，围绕计量科学仪器及检验检测方法创新，开展仪器智能化升级、快速检测技术开发等实践。同时，在</w:t>
      </w:r>
      <w:r>
        <w:rPr>
          <w:rFonts w:hint="eastAsia"/>
          <w:bCs/>
          <w:color w:val="auto"/>
          <w:sz w:val="24"/>
        </w:rPr>
        <w:t>教学、科研</w:t>
      </w:r>
      <w:r>
        <w:rPr>
          <w:rFonts w:hint="eastAsia" w:asciiTheme="minorEastAsia" w:hAnsiTheme="minorEastAsia" w:eastAsiaTheme="minorEastAsia"/>
          <w:bCs/>
          <w:i w:val="0"/>
          <w:iCs/>
          <w:color w:val="auto"/>
          <w:sz w:val="24"/>
          <w:lang w:eastAsia="zh-CN"/>
        </w:rPr>
        <w:t>等</w:t>
      </w:r>
      <w:r>
        <w:rPr>
          <w:rFonts w:hint="eastAsia" w:asciiTheme="minorEastAsia" w:hAnsiTheme="minorEastAsia" w:eastAsiaTheme="minorEastAsia"/>
          <w:bCs/>
          <w:i w:val="0"/>
          <w:iCs/>
          <w:color w:val="auto"/>
          <w:sz w:val="24"/>
        </w:rPr>
        <w:t>实践</w:t>
      </w:r>
      <w:r>
        <w:rPr>
          <w:rFonts w:hint="eastAsia" w:asciiTheme="minorEastAsia" w:hAnsiTheme="minorEastAsia" w:eastAsiaTheme="minorEastAsia"/>
          <w:bCs/>
          <w:i w:val="0"/>
          <w:iCs/>
          <w:color w:val="auto"/>
          <w:sz w:val="24"/>
          <w:lang w:eastAsia="zh-CN"/>
        </w:rPr>
        <w:t>活动</w:t>
      </w:r>
      <w:r>
        <w:rPr>
          <w:rFonts w:hint="eastAsia" w:asciiTheme="minorEastAsia" w:hAnsiTheme="minorEastAsia" w:eastAsiaTheme="minorEastAsia"/>
          <w:bCs/>
          <w:i w:val="0"/>
          <w:iCs/>
          <w:color w:val="auto"/>
          <w:sz w:val="24"/>
        </w:rPr>
        <w:t>中践行工匠精神，助力其成长为适应仪器行业发展需求的高端专业人才。</w:t>
      </w:r>
    </w:p>
    <w:p w14:paraId="10BA5FC7">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4E277B59">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9C0B294">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25E3BB2A">
      <w:pPr>
        <w:widowControl/>
        <w:spacing w:line="360" w:lineRule="auto"/>
        <w:ind w:firstLine="482"/>
        <w:jc w:val="left"/>
        <w:rPr>
          <w:i w:val="0"/>
          <w:iCs w:val="0"/>
          <w:color w:val="auto"/>
          <w:kern w:val="0"/>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i w:val="0"/>
          <w:iCs w:val="0"/>
          <w:color w:val="auto"/>
          <w:kern w:val="0"/>
          <w:sz w:val="24"/>
        </w:rPr>
        <w:t>学位（毕业）论文应当表明作者具有独立从事学术研究工作的能力，鼓励硕士研究生参与科学研究，取得创新性成果</w:t>
      </w:r>
      <w:r>
        <w:rPr>
          <w:rFonts w:hint="eastAsia"/>
          <w:i w:val="0"/>
          <w:iCs w:val="0"/>
          <w:color w:val="auto"/>
          <w:kern w:val="0"/>
          <w:sz w:val="24"/>
        </w:rPr>
        <w:t>。</w:t>
      </w:r>
    </w:p>
    <w:p w14:paraId="65CB7031">
      <w:pPr>
        <w:widowControl/>
        <w:spacing w:line="360" w:lineRule="auto"/>
        <w:ind w:firstLine="482"/>
        <w:jc w:val="left"/>
        <w:rPr>
          <w:i w:val="0"/>
          <w:iCs w:val="0"/>
          <w:color w:val="auto"/>
          <w:kern w:val="0"/>
          <w:sz w:val="24"/>
        </w:rPr>
      </w:pPr>
      <w:r>
        <w:rPr>
          <w:bCs/>
          <w:color w:val="222222"/>
          <w:kern w:val="0"/>
          <w:sz w:val="24"/>
        </w:rPr>
        <w:t>2.开题：</w:t>
      </w:r>
      <w:r>
        <w:rPr>
          <w:i w:val="0"/>
          <w:iCs w:val="0"/>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3576DD3">
      <w:pPr>
        <w:widowControl/>
        <w:spacing w:line="360" w:lineRule="auto"/>
        <w:ind w:firstLine="482"/>
        <w:jc w:val="left"/>
        <w:rPr>
          <w:kern w:val="0"/>
          <w:sz w:val="24"/>
          <w:highlight w:val="none"/>
        </w:rPr>
      </w:pPr>
      <w:r>
        <w:rPr>
          <w:i w:val="0"/>
          <w:iCs w:val="0"/>
          <w:color w:val="auto"/>
          <w:kern w:val="0"/>
          <w:sz w:val="24"/>
        </w:rPr>
        <w:t>原则上在入学后第3学期（最迟不超过第4学期）完成开题。开题由3-5名具有高级专业技术职务人员参加，以学术报告的方式进行。</w:t>
      </w:r>
      <w:r>
        <w:rPr>
          <w:rFonts w:hint="eastAsia"/>
          <w:kern w:val="0"/>
          <w:sz w:val="24"/>
          <w:highlight w:val="none"/>
        </w:rPr>
        <w:t>具体参照河北大学关于硕士研究生学位论文开题报告的有关要求执行。</w:t>
      </w:r>
    </w:p>
    <w:p w14:paraId="7B532D33">
      <w:pPr>
        <w:widowControl/>
        <w:spacing w:line="360" w:lineRule="auto"/>
        <w:ind w:firstLine="480" w:firstLineChars="200"/>
        <w:jc w:val="left"/>
        <w:rPr>
          <w:rFonts w:eastAsiaTheme="minorEastAsia"/>
          <w:bCs/>
          <w:i w:val="0"/>
          <w:iCs w:val="0"/>
          <w:color w:val="auto"/>
          <w:sz w:val="24"/>
        </w:rPr>
      </w:pPr>
      <w:r>
        <w:rPr>
          <w:rFonts w:hint="eastAsia"/>
          <w:bCs/>
          <w:kern w:val="0"/>
          <w:sz w:val="24"/>
        </w:rPr>
        <w:t>3.</w:t>
      </w:r>
      <w:r>
        <w:rPr>
          <w:bCs/>
          <w:kern w:val="0"/>
          <w:sz w:val="24"/>
        </w:rPr>
        <w:t>中期进展报告：</w:t>
      </w:r>
      <w:r>
        <w:rPr>
          <w:rFonts w:eastAsiaTheme="minorEastAsia"/>
          <w:bCs/>
          <w:i w:val="0"/>
          <w:iCs w:val="0"/>
          <w:color w:val="auto"/>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2F3578E">
      <w:pPr>
        <w:widowControl/>
        <w:spacing w:line="360" w:lineRule="auto"/>
        <w:ind w:firstLine="480" w:firstLineChars="200"/>
        <w:jc w:val="left"/>
        <w:rPr>
          <w:rFonts w:eastAsiaTheme="minorEastAsia"/>
          <w:sz w:val="24"/>
          <w:highlight w:val="none"/>
        </w:rPr>
      </w:pPr>
      <w:r>
        <w:rPr>
          <w:rFonts w:hint="eastAsia"/>
          <w:bCs/>
          <w:color w:val="222222"/>
          <w:kern w:val="0"/>
          <w:sz w:val="24"/>
          <w:highlight w:val="none"/>
        </w:rPr>
        <w:t>4.</w:t>
      </w:r>
      <w:r>
        <w:rPr>
          <w:bCs/>
          <w:color w:val="222222"/>
          <w:kern w:val="0"/>
          <w:sz w:val="24"/>
          <w:highlight w:val="none"/>
        </w:rPr>
        <w:t>学位申请：</w:t>
      </w:r>
      <w:r>
        <w:rPr>
          <w:rFonts w:eastAsiaTheme="minorEastAsia"/>
          <w:bCs/>
          <w:i w:val="0"/>
          <w:iCs w:val="0"/>
          <w:color w:val="auto"/>
          <w:sz w:val="24"/>
          <w:highlight w:val="none"/>
        </w:rPr>
        <w:t>达到学位授予条件的申请人，经导师同意后，应于答辩前三个月，向学位评定分委员会提出学位申请，提交学位申请材料</w:t>
      </w:r>
      <w:r>
        <w:rPr>
          <w:rFonts w:hint="eastAsia" w:eastAsiaTheme="minorEastAsia"/>
          <w:bCs/>
          <w:i w:val="0"/>
          <w:iCs w:val="0"/>
          <w:color w:val="auto"/>
          <w:sz w:val="24"/>
          <w:highlight w:val="none"/>
        </w:rPr>
        <w:t>，</w:t>
      </w:r>
      <w:r>
        <w:rPr>
          <w:rFonts w:hint="eastAsia" w:ascii="宋体" w:hAnsi="宋体" w:cs="宋体"/>
          <w:sz w:val="24"/>
          <w:highlight w:val="none"/>
          <w:shd w:val="clear" w:color="auto" w:fill="FFFFFF"/>
        </w:rPr>
        <w:t>经学院审查通过后，可进入学位申请流程。学位申请未通过者，须至少半年后才能再次提交学位申请。</w:t>
      </w:r>
    </w:p>
    <w:p w14:paraId="16B42A48">
      <w:pPr>
        <w:widowControl/>
        <w:spacing w:line="360" w:lineRule="auto"/>
        <w:ind w:firstLine="480" w:firstLineChars="200"/>
        <w:jc w:val="left"/>
        <w:rPr>
          <w:rFonts w:eastAsiaTheme="minorEastAsia"/>
          <w:bCs/>
          <w:color w:val="FF0000"/>
          <w:sz w:val="24"/>
          <w:highlight w:val="none"/>
        </w:rPr>
      </w:pPr>
      <w:r>
        <w:rPr>
          <w:rFonts w:hint="eastAsia"/>
          <w:bCs/>
          <w:color w:val="222222"/>
          <w:kern w:val="0"/>
          <w:sz w:val="24"/>
          <w:highlight w:val="none"/>
        </w:rPr>
        <w:t>5.</w:t>
      </w:r>
      <w:r>
        <w:rPr>
          <w:bCs/>
          <w:color w:val="222222"/>
          <w:kern w:val="0"/>
          <w:sz w:val="24"/>
          <w:highlight w:val="none"/>
        </w:rPr>
        <w:t>预答辩：</w:t>
      </w:r>
      <w:r>
        <w:rPr>
          <w:rFonts w:eastAsiaTheme="minorEastAsia"/>
          <w:bCs/>
          <w:i w:val="0"/>
          <w:iCs w:val="0"/>
          <w:color w:val="auto"/>
          <w:sz w:val="24"/>
          <w:highlight w:val="none"/>
        </w:rPr>
        <w:t>学位申请人须进行学位论文预答辩。预答辩通过者，方可进入学位论文评阅、学位论文答辩等环节。学位（毕业）论文预答辩在正式答辩前3个月进行。</w:t>
      </w:r>
      <w:r>
        <w:rPr>
          <w:rFonts w:hint="eastAsia" w:eastAsiaTheme="minorEastAsia"/>
          <w:bCs/>
          <w:sz w:val="24"/>
          <w:highlight w:val="none"/>
        </w:rPr>
        <w:t>具体实施按照《关于进一步加强研究生学位申请及学位论文预答辩工作的通知》执行。</w:t>
      </w:r>
    </w:p>
    <w:p w14:paraId="12D37424">
      <w:pPr>
        <w:widowControl/>
        <w:spacing w:line="360" w:lineRule="auto"/>
        <w:ind w:firstLine="480" w:firstLineChars="200"/>
        <w:jc w:val="left"/>
        <w:rPr>
          <w:color w:val="222222"/>
          <w:kern w:val="0"/>
          <w:sz w:val="24"/>
          <w:highlight w:val="none"/>
        </w:rPr>
      </w:pPr>
      <w:r>
        <w:rPr>
          <w:bCs/>
          <w:color w:val="222222"/>
          <w:kern w:val="0"/>
          <w:sz w:val="24"/>
          <w:highlight w:val="none"/>
        </w:rPr>
        <w:t>6.论文评阅：</w:t>
      </w:r>
      <w:r>
        <w:rPr>
          <w:i w:val="0"/>
          <w:iCs w:val="0"/>
          <w:color w:val="auto"/>
          <w:kern w:val="0"/>
          <w:sz w:val="24"/>
          <w:highlight w:val="none"/>
        </w:rPr>
        <w:t>学位（毕业）论文在获得导师组认可，经</w:t>
      </w:r>
      <w:r>
        <w:rPr>
          <w:rFonts w:hint="eastAsia"/>
          <w:i w:val="0"/>
          <w:iCs w:val="0"/>
          <w:color w:val="auto"/>
          <w:kern w:val="0"/>
          <w:sz w:val="24"/>
          <w:highlight w:val="none"/>
        </w:rPr>
        <w:t>学院</w:t>
      </w:r>
      <w:r>
        <w:rPr>
          <w:i w:val="0"/>
          <w:iCs w:val="0"/>
          <w:color w:val="auto"/>
          <w:kern w:val="0"/>
          <w:sz w:val="24"/>
          <w:highlight w:val="none"/>
        </w:rPr>
        <w:t>形式审查合格，并通过预答辩，方可提出进入评阅程序的申请。论文评阅在正式答辩前40天由研究生提出，由</w:t>
      </w:r>
      <w:r>
        <w:rPr>
          <w:rFonts w:hint="eastAsia"/>
          <w:i w:val="0"/>
          <w:iCs w:val="0"/>
          <w:color w:val="auto"/>
          <w:kern w:val="0"/>
          <w:sz w:val="24"/>
          <w:highlight w:val="none"/>
        </w:rPr>
        <w:t>学院</w:t>
      </w:r>
      <w:r>
        <w:rPr>
          <w:i w:val="0"/>
          <w:iCs w:val="0"/>
          <w:color w:val="auto"/>
          <w:kern w:val="0"/>
          <w:sz w:val="24"/>
          <w:highlight w:val="none"/>
        </w:rPr>
        <w:t>依据相关规定进行匿名评审。</w:t>
      </w:r>
      <w:r>
        <w:rPr>
          <w:color w:val="222222"/>
          <w:kern w:val="0"/>
          <w:sz w:val="24"/>
          <w:highlight w:val="none"/>
        </w:rPr>
        <w:t>评阅结果及异议处理按照《河北大学研究生学位论文或者实践成果评审管理办法》（校政字〔2025〕8号）</w:t>
      </w:r>
      <w:r>
        <w:rPr>
          <w:rFonts w:hint="eastAsia"/>
          <w:color w:val="222222"/>
          <w:kern w:val="0"/>
          <w:sz w:val="24"/>
          <w:highlight w:val="none"/>
        </w:rPr>
        <w:t>、</w:t>
      </w:r>
      <w:r>
        <w:rPr>
          <w:rFonts w:hint="eastAsia"/>
          <w:kern w:val="0"/>
          <w:sz w:val="24"/>
          <w:highlight w:val="none"/>
        </w:rPr>
        <w:t>《质量技术监督学院硕士研究生学位论文评审实施办法》</w:t>
      </w:r>
      <w:r>
        <w:rPr>
          <w:color w:val="222222"/>
          <w:kern w:val="0"/>
          <w:sz w:val="24"/>
          <w:highlight w:val="none"/>
        </w:rPr>
        <w:t>执行。</w:t>
      </w:r>
    </w:p>
    <w:p w14:paraId="6BF91405">
      <w:pPr>
        <w:widowControl/>
        <w:spacing w:line="360" w:lineRule="auto"/>
        <w:ind w:firstLine="480" w:firstLineChars="200"/>
        <w:jc w:val="left"/>
        <w:rPr>
          <w:color w:val="222222"/>
          <w:kern w:val="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7D39B7CA">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6BE867CD">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B8409C7">
      <w:pPr>
        <w:spacing w:line="360" w:lineRule="auto"/>
        <w:ind w:firstLine="480" w:firstLineChars="200"/>
        <w:rPr>
          <w:rFonts w:hint="eastAsia"/>
          <w:bCs/>
          <w:color w:val="auto"/>
          <w:sz w:val="24"/>
        </w:rPr>
      </w:pPr>
      <w:r>
        <w:rPr>
          <w:rFonts w:eastAsiaTheme="minorEastAsia"/>
          <w:bCs/>
          <w:sz w:val="24"/>
        </w:rPr>
        <w:t xml:space="preserve">2. </w:t>
      </w:r>
      <w:r>
        <w:rPr>
          <w:bCs/>
          <w:sz w:val="24"/>
        </w:rPr>
        <w:t>实践活动。</w:t>
      </w:r>
      <w:r>
        <w:rPr>
          <w:rFonts w:hint="eastAsia"/>
          <w:bCs/>
          <w:color w:val="auto"/>
          <w:sz w:val="24"/>
        </w:rPr>
        <w:t>实践活动包括但不限于教学实践、科研实践、管理实践、社会调查、智库建言、创新创业、学科竞赛等。</w:t>
      </w:r>
    </w:p>
    <w:p w14:paraId="07F51A85">
      <w:pPr>
        <w:spacing w:line="360" w:lineRule="auto"/>
        <w:ind w:firstLine="480" w:firstLineChars="200"/>
        <w:rPr>
          <w:rFonts w:eastAsiaTheme="minorEastAsia"/>
          <w:i/>
          <w:color w:val="FF0000"/>
          <w:sz w:val="24"/>
        </w:rPr>
      </w:pPr>
      <w:r>
        <w:rPr>
          <w:bCs/>
          <w:kern w:val="0"/>
          <w:sz w:val="24"/>
        </w:rPr>
        <w:t>实践活动：参与本专业相关的社会实践，由相关单位出具相关实践证明材料；或组织开展与本专业相关的调查、考察等活动，并提交相关报告。</w:t>
      </w:r>
    </w:p>
    <w:p w14:paraId="41CA55E8">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3E6501F">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4142C3FE">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E1A3C84">
      <w:pPr>
        <w:spacing w:line="440" w:lineRule="exact"/>
        <w:ind w:firstLine="480" w:firstLineChars="200"/>
        <w:rPr>
          <w:rFonts w:eastAsiaTheme="minorEastAsia"/>
          <w:i/>
          <w:color w:val="FF0000"/>
          <w:sz w:val="24"/>
          <w:highlight w:val="none"/>
        </w:rPr>
      </w:pPr>
      <w:r>
        <w:rPr>
          <w:rFonts w:hint="eastAsia" w:eastAsiaTheme="minorEastAsia"/>
          <w:bCs/>
          <w:sz w:val="24"/>
          <w:highlight w:val="none"/>
        </w:rPr>
        <w:t>按照《河北大学质量技术监督学院关于研究生申请学位取得创新性成果的规定》执行。</w:t>
      </w:r>
    </w:p>
    <w:p w14:paraId="02DE2507">
      <w:pPr>
        <w:spacing w:line="360" w:lineRule="auto"/>
        <w:ind w:firstLine="560" w:firstLineChars="200"/>
        <w:rPr>
          <w:rFonts w:eastAsia="黑体"/>
          <w:bCs/>
          <w:sz w:val="28"/>
          <w:szCs w:val="28"/>
        </w:rPr>
      </w:pPr>
      <w:r>
        <w:rPr>
          <w:rFonts w:eastAsia="黑体"/>
          <w:bCs/>
          <w:sz w:val="28"/>
          <w:szCs w:val="28"/>
        </w:rPr>
        <w:t>十一、学位授予</w:t>
      </w:r>
    </w:p>
    <w:p w14:paraId="2BE001F7">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eastAsiaTheme="minorEastAsia"/>
          <w:bCs/>
          <w:color w:val="000000" w:themeColor="text1"/>
          <w:sz w:val="24"/>
          <w14:textFill>
            <w14:solidFill>
              <w14:schemeClr w14:val="tx1"/>
            </w14:solidFill>
          </w14:textFill>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86135F4">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B42A9D1">
      <w:pPr>
        <w:spacing w:line="360" w:lineRule="auto"/>
        <w:ind w:firstLine="480" w:firstLineChars="200"/>
        <w:rPr>
          <w:rFonts w:eastAsiaTheme="minorEastAsia"/>
          <w:color w:val="auto"/>
          <w:sz w:val="24"/>
        </w:rPr>
      </w:pPr>
      <w:r>
        <w:rPr>
          <w:rFonts w:eastAsiaTheme="minorEastAsia"/>
          <w:color w:val="auto"/>
          <w:sz w:val="24"/>
        </w:rPr>
        <w:t>本专业最低毕业学分为</w:t>
      </w:r>
      <w:r>
        <w:rPr>
          <w:rFonts w:hint="eastAsia" w:eastAsiaTheme="minorEastAsia"/>
          <w:color w:val="auto"/>
          <w:sz w:val="24"/>
          <w:lang w:val="en-US" w:eastAsia="zh-CN"/>
        </w:rPr>
        <w:t>24</w:t>
      </w:r>
      <w:r>
        <w:rPr>
          <w:rFonts w:eastAsiaTheme="minorEastAsia"/>
          <w:color w:val="auto"/>
          <w:sz w:val="24"/>
        </w:rPr>
        <w:t>分，其中学位课</w:t>
      </w:r>
      <w:r>
        <w:rPr>
          <w:rFonts w:hint="eastAsia" w:eastAsiaTheme="minorEastAsia"/>
          <w:color w:val="auto"/>
          <w:sz w:val="24"/>
          <w:lang w:val="en-US" w:eastAsia="zh-CN"/>
        </w:rPr>
        <w:t>17</w:t>
      </w:r>
      <w:r>
        <w:rPr>
          <w:rFonts w:eastAsiaTheme="minorEastAsia"/>
          <w:color w:val="auto"/>
          <w:sz w:val="24"/>
        </w:rPr>
        <w:t>学分，非学位课</w:t>
      </w:r>
      <w:r>
        <w:rPr>
          <w:rFonts w:hint="eastAsia" w:eastAsiaTheme="minorEastAsia"/>
          <w:color w:val="auto"/>
          <w:sz w:val="24"/>
          <w:lang w:val="en-US" w:eastAsia="zh-CN"/>
        </w:rPr>
        <w:t>6</w:t>
      </w:r>
      <w:r>
        <w:rPr>
          <w:rFonts w:eastAsiaTheme="minorEastAsia"/>
          <w:color w:val="auto"/>
          <w:sz w:val="24"/>
        </w:rPr>
        <w:t>学分，必修环节</w:t>
      </w:r>
      <w:r>
        <w:rPr>
          <w:rFonts w:hint="eastAsia" w:eastAsiaTheme="minorEastAsia"/>
          <w:color w:val="auto"/>
          <w:sz w:val="24"/>
          <w:lang w:val="en-US" w:eastAsia="zh-CN"/>
        </w:rPr>
        <w:t>1</w:t>
      </w:r>
      <w:r>
        <w:rPr>
          <w:rFonts w:eastAsiaTheme="minorEastAsia"/>
          <w:color w:val="auto"/>
          <w:sz w:val="24"/>
        </w:rPr>
        <w:t>分。</w:t>
      </w:r>
    </w:p>
    <w:p w14:paraId="73FB8AB2">
      <w:pPr>
        <w:spacing w:line="360" w:lineRule="auto"/>
        <w:rPr>
          <w:sz w:val="24"/>
        </w:rPr>
      </w:pPr>
      <w:r>
        <w:rPr>
          <w:rFonts w:eastAsiaTheme="minorEastAsia"/>
          <w:sz w:val="24"/>
        </w:rPr>
        <w:t xml:space="preserve">    课程考试不设补考环节，</w:t>
      </w:r>
      <w:r>
        <w:rPr>
          <w:sz w:val="24"/>
        </w:rPr>
        <w:t>考试成绩低于60分的需重修。</w:t>
      </w:r>
    </w:p>
    <w:p w14:paraId="334175A2">
      <w:pPr>
        <w:spacing w:line="360" w:lineRule="auto"/>
        <w:ind w:firstLine="480"/>
        <w:rPr>
          <w:rFonts w:hint="eastAsia" w:eastAsiaTheme="minorEastAsia"/>
          <w:b/>
          <w:bCs/>
          <w:color w:val="FF0000"/>
          <w:sz w:val="24"/>
        </w:rPr>
      </w:pPr>
      <w:r>
        <w:rPr>
          <w:rFonts w:hint="eastAsia"/>
          <w:color w:val="000000"/>
          <w:sz w:val="24"/>
        </w:rPr>
        <w:t>课程考核方式包括考试和考查，可以采用口试、笔试或写读书报告、论文的形式。无论采取何种考核方式，均应能真实反映学生对所学课程掌握的程度及运用知识的能力，成绩均按百分制成绩评定。</w:t>
      </w:r>
    </w:p>
    <w:p w14:paraId="137F082D">
      <w:pPr>
        <w:spacing w:after="156" w:afterLines="50" w:line="440" w:lineRule="exact"/>
        <w:ind w:firstLine="482" w:firstLineChars="200"/>
        <w:jc w:val="center"/>
        <w:rPr>
          <w:rFonts w:eastAsiaTheme="minorEastAsia"/>
          <w:b/>
          <w:bCs/>
          <w:sz w:val="24"/>
        </w:rPr>
      </w:pPr>
      <w:r>
        <w:rPr>
          <w:rFonts w:hint="eastAsia" w:eastAsiaTheme="minorEastAsia"/>
          <w:b/>
          <w:bCs/>
          <w:color w:val="auto"/>
          <w:sz w:val="24"/>
        </w:rPr>
        <w:t>电子信息</w:t>
      </w:r>
      <w:r>
        <w:rPr>
          <w:rFonts w:eastAsiaTheme="minorEastAsia"/>
          <w:b/>
          <w:bCs/>
          <w:sz w:val="24"/>
        </w:rPr>
        <w:t>专业全日制专业学位硕士研究生课程及培养环节设置一览表</w:t>
      </w:r>
    </w:p>
    <w:tbl>
      <w:tblPr>
        <w:tblStyle w:val="5"/>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6C7698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74A2AC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78CE21C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3C9D239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442417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232363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5D843A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69F5A2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6C444F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p w14:paraId="6B2AEDF6">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17</w:t>
            </w:r>
          </w:p>
          <w:p w14:paraId="16C95C9D">
            <w:pPr>
              <w:jc w:val="center"/>
              <w:rPr>
                <w:rFonts w:hint="default"/>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分</w:t>
            </w:r>
          </w:p>
        </w:tc>
        <w:tc>
          <w:tcPr>
            <w:tcW w:w="1226" w:type="dxa"/>
            <w:vMerge w:val="restart"/>
            <w:vAlign w:val="center"/>
          </w:tcPr>
          <w:p w14:paraId="26EA57F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D3446E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415E3C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6B67501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6C5661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06D6D4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E6CA6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BDC3A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0CBCA74">
            <w:pPr>
              <w:jc w:val="center"/>
              <w:rPr>
                <w:b/>
                <w:color w:val="000000" w:themeColor="text1"/>
                <w:sz w:val="18"/>
                <w:szCs w:val="18"/>
                <w14:textFill>
                  <w14:solidFill>
                    <w14:schemeClr w14:val="tx1"/>
                  </w14:solidFill>
                </w14:textFill>
              </w:rPr>
            </w:pPr>
          </w:p>
        </w:tc>
        <w:tc>
          <w:tcPr>
            <w:tcW w:w="1226" w:type="dxa"/>
            <w:vMerge w:val="continue"/>
            <w:vAlign w:val="center"/>
          </w:tcPr>
          <w:p w14:paraId="4CB317C2">
            <w:pPr>
              <w:jc w:val="center"/>
              <w:rPr>
                <w:b/>
                <w:color w:val="000000" w:themeColor="text1"/>
                <w:sz w:val="18"/>
                <w:szCs w:val="18"/>
                <w14:textFill>
                  <w14:solidFill>
                    <w14:schemeClr w14:val="tx1"/>
                  </w14:solidFill>
                </w14:textFill>
              </w:rPr>
            </w:pPr>
          </w:p>
        </w:tc>
        <w:tc>
          <w:tcPr>
            <w:tcW w:w="3516" w:type="dxa"/>
            <w:vAlign w:val="center"/>
          </w:tcPr>
          <w:p w14:paraId="1A8AED1C">
            <w:pPr>
              <w:rPr>
                <w:sz w:val="18"/>
                <w:szCs w:val="18"/>
              </w:rPr>
            </w:pPr>
            <w:r>
              <w:rPr>
                <w:sz w:val="18"/>
                <w:szCs w:val="18"/>
              </w:rPr>
              <w:t>通用学术英语</w:t>
            </w:r>
          </w:p>
        </w:tc>
        <w:tc>
          <w:tcPr>
            <w:tcW w:w="1081" w:type="dxa"/>
            <w:vAlign w:val="center"/>
          </w:tcPr>
          <w:p w14:paraId="6D45B342">
            <w:pPr>
              <w:jc w:val="center"/>
              <w:rPr>
                <w:sz w:val="18"/>
                <w:szCs w:val="18"/>
              </w:rPr>
            </w:pPr>
            <w:r>
              <w:rPr>
                <w:sz w:val="18"/>
                <w:szCs w:val="18"/>
              </w:rPr>
              <w:t>TS0000002</w:t>
            </w:r>
          </w:p>
        </w:tc>
        <w:tc>
          <w:tcPr>
            <w:tcW w:w="709" w:type="dxa"/>
            <w:vAlign w:val="center"/>
          </w:tcPr>
          <w:p w14:paraId="0D8C57DF">
            <w:pPr>
              <w:jc w:val="center"/>
              <w:rPr>
                <w:sz w:val="18"/>
                <w:szCs w:val="18"/>
              </w:rPr>
            </w:pPr>
            <w:r>
              <w:rPr>
                <w:sz w:val="18"/>
                <w:szCs w:val="18"/>
              </w:rPr>
              <w:t>2</w:t>
            </w:r>
          </w:p>
        </w:tc>
        <w:tc>
          <w:tcPr>
            <w:tcW w:w="709" w:type="dxa"/>
            <w:vAlign w:val="center"/>
          </w:tcPr>
          <w:p w14:paraId="5D0BF767">
            <w:pPr>
              <w:jc w:val="center"/>
              <w:rPr>
                <w:sz w:val="18"/>
                <w:szCs w:val="18"/>
              </w:rPr>
            </w:pPr>
            <w:r>
              <w:rPr>
                <w:sz w:val="18"/>
                <w:szCs w:val="18"/>
              </w:rPr>
              <w:t>1</w:t>
            </w:r>
          </w:p>
        </w:tc>
        <w:tc>
          <w:tcPr>
            <w:tcW w:w="1045" w:type="dxa"/>
            <w:vAlign w:val="center"/>
          </w:tcPr>
          <w:p w14:paraId="6FAE362D">
            <w:pPr>
              <w:jc w:val="center"/>
              <w:rPr>
                <w:sz w:val="18"/>
                <w:szCs w:val="18"/>
              </w:rPr>
            </w:pPr>
            <w:r>
              <w:rPr>
                <w:rFonts w:hint="eastAsia"/>
                <w:sz w:val="18"/>
                <w:szCs w:val="18"/>
              </w:rPr>
              <w:t>考查</w:t>
            </w:r>
          </w:p>
        </w:tc>
      </w:tr>
      <w:tr w14:paraId="1CED6D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D02C60D">
            <w:pPr>
              <w:jc w:val="center"/>
              <w:rPr>
                <w:b/>
                <w:color w:val="000000" w:themeColor="text1"/>
                <w:sz w:val="18"/>
                <w:szCs w:val="18"/>
                <w14:textFill>
                  <w14:solidFill>
                    <w14:schemeClr w14:val="tx1"/>
                  </w14:solidFill>
                </w14:textFill>
              </w:rPr>
            </w:pPr>
          </w:p>
        </w:tc>
        <w:tc>
          <w:tcPr>
            <w:tcW w:w="1226" w:type="dxa"/>
            <w:vMerge w:val="restart"/>
            <w:vAlign w:val="center"/>
          </w:tcPr>
          <w:p w14:paraId="67C59A1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1FD63B34">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125D2C0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14287645">
            <w:pPr>
              <w:jc w:val="center"/>
              <w:rPr>
                <w:rFonts w:hint="default" w:eastAsia="宋体"/>
                <w:i/>
                <w:color w:val="FF0000"/>
                <w:sz w:val="18"/>
                <w:szCs w:val="18"/>
                <w:lang w:val="en-US" w:eastAsia="zh-CN"/>
              </w:rPr>
            </w:pPr>
            <w:r>
              <w:rPr>
                <w:rFonts w:hint="eastAsia"/>
                <w:color w:val="000000" w:themeColor="text1"/>
                <w:sz w:val="18"/>
                <w:szCs w:val="18"/>
                <w14:textFill>
                  <w14:solidFill>
                    <w14:schemeClr w14:val="tx1"/>
                  </w14:solidFill>
                </w14:textFill>
              </w:rPr>
              <w:t>XS15010</w:t>
            </w:r>
            <w:r>
              <w:rPr>
                <w:rFonts w:hint="eastAsia"/>
                <w:color w:val="000000" w:themeColor="text1"/>
                <w:sz w:val="18"/>
                <w:szCs w:val="18"/>
                <w:lang w:val="en-US" w:eastAsia="zh-CN"/>
                <w14:textFill>
                  <w14:solidFill>
                    <w14:schemeClr w14:val="tx1"/>
                  </w14:solidFill>
                </w14:textFill>
              </w:rPr>
              <w:t>09</w:t>
            </w:r>
          </w:p>
        </w:tc>
        <w:tc>
          <w:tcPr>
            <w:tcW w:w="709" w:type="dxa"/>
            <w:vAlign w:val="center"/>
          </w:tcPr>
          <w:p w14:paraId="0BA81379">
            <w:pPr>
              <w:jc w:val="center"/>
              <w:rPr>
                <w:color w:val="FF0000"/>
              </w:rPr>
            </w:pPr>
            <w:r>
              <w:rPr>
                <w:rFonts w:hint="eastAsia"/>
                <w:color w:val="000000" w:themeColor="text1"/>
                <w:sz w:val="18"/>
                <w:szCs w:val="18"/>
                <w14:textFill>
                  <w14:solidFill>
                    <w14:schemeClr w14:val="tx1"/>
                  </w14:solidFill>
                </w14:textFill>
              </w:rPr>
              <w:t>1</w:t>
            </w:r>
          </w:p>
        </w:tc>
        <w:tc>
          <w:tcPr>
            <w:tcW w:w="709" w:type="dxa"/>
            <w:vAlign w:val="center"/>
          </w:tcPr>
          <w:p w14:paraId="7A9A6C16">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561B5A4F">
            <w:pPr>
              <w:jc w:val="center"/>
              <w:rPr>
                <w:i/>
                <w:color w:val="FF0000"/>
                <w:sz w:val="18"/>
                <w:szCs w:val="18"/>
              </w:rPr>
            </w:pPr>
            <w:r>
              <w:rPr>
                <w:rFonts w:hint="eastAsia"/>
                <w:color w:val="000000" w:themeColor="text1"/>
                <w:sz w:val="18"/>
                <w:szCs w:val="18"/>
                <w14:textFill>
                  <w14:solidFill>
                    <w14:schemeClr w14:val="tx1"/>
                  </w14:solidFill>
                </w14:textFill>
              </w:rPr>
              <w:t>考查</w:t>
            </w:r>
          </w:p>
        </w:tc>
      </w:tr>
      <w:tr w14:paraId="57482F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A11118B">
            <w:pPr>
              <w:jc w:val="center"/>
              <w:rPr>
                <w:b/>
                <w:color w:val="000000" w:themeColor="text1"/>
                <w:sz w:val="18"/>
                <w:szCs w:val="18"/>
                <w14:textFill>
                  <w14:solidFill>
                    <w14:schemeClr w14:val="tx1"/>
                  </w14:solidFill>
                </w14:textFill>
              </w:rPr>
            </w:pPr>
          </w:p>
        </w:tc>
        <w:tc>
          <w:tcPr>
            <w:tcW w:w="1226" w:type="dxa"/>
            <w:vMerge w:val="continue"/>
            <w:vAlign w:val="center"/>
          </w:tcPr>
          <w:p w14:paraId="4BDAC9F4">
            <w:pPr>
              <w:jc w:val="center"/>
              <w:rPr>
                <w:b/>
                <w:color w:val="000000" w:themeColor="text1"/>
                <w:sz w:val="18"/>
                <w:szCs w:val="18"/>
                <w:highlight w:val="yellow"/>
                <w14:textFill>
                  <w14:solidFill>
                    <w14:schemeClr w14:val="tx1"/>
                  </w14:solidFill>
                </w14:textFill>
              </w:rPr>
            </w:pPr>
          </w:p>
        </w:tc>
        <w:tc>
          <w:tcPr>
            <w:tcW w:w="3516" w:type="dxa"/>
            <w:vAlign w:val="center"/>
          </w:tcPr>
          <w:p w14:paraId="238261EB">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现代光学信息处理技术导论</w:t>
            </w:r>
          </w:p>
        </w:tc>
        <w:tc>
          <w:tcPr>
            <w:tcW w:w="1081" w:type="dxa"/>
            <w:vAlign w:val="center"/>
          </w:tcPr>
          <w:p w14:paraId="5BF34AC3">
            <w:pPr>
              <w:jc w:val="center"/>
              <w:rPr>
                <w:i/>
                <w:color w:val="FF0000"/>
                <w:sz w:val="18"/>
                <w:szCs w:val="18"/>
              </w:rPr>
            </w:pPr>
            <w:r>
              <w:rPr>
                <w:rFonts w:hint="eastAsia"/>
                <w:color w:val="000000" w:themeColor="text1"/>
                <w:sz w:val="18"/>
                <w:szCs w:val="18"/>
                <w14:textFill>
                  <w14:solidFill>
                    <w14:schemeClr w14:val="tx1"/>
                  </w14:solidFill>
                </w14:textFill>
              </w:rPr>
              <w:t>ZS1506001</w:t>
            </w:r>
          </w:p>
        </w:tc>
        <w:tc>
          <w:tcPr>
            <w:tcW w:w="709" w:type="dxa"/>
            <w:vAlign w:val="center"/>
          </w:tcPr>
          <w:p w14:paraId="1F88053E">
            <w:pPr>
              <w:jc w:val="center"/>
              <w:rPr>
                <w:i/>
                <w:color w:val="FF0000"/>
                <w:sz w:val="18"/>
                <w:szCs w:val="18"/>
              </w:rPr>
            </w:pPr>
            <w:r>
              <w:rPr>
                <w:rFonts w:hint="eastAsia"/>
                <w:color w:val="000000" w:themeColor="text1"/>
                <w:sz w:val="18"/>
                <w:szCs w:val="18"/>
                <w14:textFill>
                  <w14:solidFill>
                    <w14:schemeClr w14:val="tx1"/>
                  </w14:solidFill>
                </w14:textFill>
              </w:rPr>
              <w:t>2</w:t>
            </w:r>
          </w:p>
        </w:tc>
        <w:tc>
          <w:tcPr>
            <w:tcW w:w="709" w:type="dxa"/>
            <w:vAlign w:val="center"/>
          </w:tcPr>
          <w:p w14:paraId="403DCC4D">
            <w:pPr>
              <w:jc w:val="center"/>
              <w:rPr>
                <w:i/>
                <w:color w:val="FF0000"/>
                <w:sz w:val="18"/>
                <w:szCs w:val="18"/>
              </w:rPr>
            </w:pPr>
            <w:r>
              <w:rPr>
                <w:rFonts w:hint="eastAsia"/>
                <w:color w:val="000000" w:themeColor="text1"/>
                <w:sz w:val="18"/>
                <w:szCs w:val="18"/>
                <w14:textFill>
                  <w14:solidFill>
                    <w14:schemeClr w14:val="tx1"/>
                  </w14:solidFill>
                </w14:textFill>
              </w:rPr>
              <w:t>1</w:t>
            </w:r>
          </w:p>
        </w:tc>
        <w:tc>
          <w:tcPr>
            <w:tcW w:w="1045" w:type="dxa"/>
            <w:vAlign w:val="center"/>
          </w:tcPr>
          <w:p w14:paraId="1DD38954">
            <w:pPr>
              <w:jc w:val="center"/>
              <w:rPr>
                <w:i/>
                <w:color w:val="FF0000"/>
                <w:sz w:val="18"/>
                <w:szCs w:val="18"/>
              </w:rPr>
            </w:pPr>
            <w:r>
              <w:rPr>
                <w:rFonts w:hint="eastAsia"/>
                <w:color w:val="000000" w:themeColor="text1"/>
                <w:sz w:val="18"/>
                <w:szCs w:val="18"/>
                <w14:textFill>
                  <w14:solidFill>
                    <w14:schemeClr w14:val="tx1"/>
                  </w14:solidFill>
                </w14:textFill>
              </w:rPr>
              <w:t>考试</w:t>
            </w:r>
          </w:p>
        </w:tc>
      </w:tr>
      <w:tr w14:paraId="454A04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641AD9E">
            <w:pPr>
              <w:jc w:val="center"/>
              <w:rPr>
                <w:b/>
                <w:color w:val="000000" w:themeColor="text1"/>
                <w:sz w:val="18"/>
                <w:szCs w:val="18"/>
                <w14:textFill>
                  <w14:solidFill>
                    <w14:schemeClr w14:val="tx1"/>
                  </w14:solidFill>
                </w14:textFill>
              </w:rPr>
            </w:pPr>
          </w:p>
        </w:tc>
        <w:tc>
          <w:tcPr>
            <w:tcW w:w="1226" w:type="dxa"/>
            <w:vMerge w:val="continue"/>
            <w:vAlign w:val="center"/>
          </w:tcPr>
          <w:p w14:paraId="60AE4EED">
            <w:pPr>
              <w:jc w:val="center"/>
              <w:rPr>
                <w:b/>
                <w:color w:val="000000" w:themeColor="text1"/>
                <w:sz w:val="18"/>
                <w:szCs w:val="18"/>
                <w:highlight w:val="yellow"/>
                <w14:textFill>
                  <w14:solidFill>
                    <w14:schemeClr w14:val="tx1"/>
                  </w14:solidFill>
                </w14:textFill>
              </w:rPr>
            </w:pPr>
          </w:p>
        </w:tc>
        <w:tc>
          <w:tcPr>
            <w:tcW w:w="3516" w:type="dxa"/>
            <w:vAlign w:val="center"/>
          </w:tcPr>
          <w:p w14:paraId="1A16D3B5">
            <w:pPr>
              <w:rPr>
                <w:sz w:val="18"/>
                <w:szCs w:val="18"/>
              </w:rPr>
            </w:pPr>
            <w:r>
              <w:rPr>
                <w:rFonts w:hint="eastAsia"/>
                <w:sz w:val="18"/>
                <w:szCs w:val="18"/>
              </w:rPr>
              <w:t>现代信号处理技术</w:t>
            </w:r>
          </w:p>
        </w:tc>
        <w:tc>
          <w:tcPr>
            <w:tcW w:w="1081" w:type="dxa"/>
            <w:vAlign w:val="center"/>
          </w:tcPr>
          <w:p w14:paraId="78C49906">
            <w:pPr>
              <w:jc w:val="center"/>
              <w:rPr>
                <w:i/>
                <w:sz w:val="18"/>
                <w:szCs w:val="18"/>
              </w:rPr>
            </w:pPr>
            <w:r>
              <w:rPr>
                <w:rFonts w:hint="eastAsia"/>
                <w:sz w:val="18"/>
                <w:szCs w:val="18"/>
              </w:rPr>
              <w:t>ZS1506002</w:t>
            </w:r>
          </w:p>
        </w:tc>
        <w:tc>
          <w:tcPr>
            <w:tcW w:w="709" w:type="dxa"/>
            <w:vAlign w:val="center"/>
          </w:tcPr>
          <w:p w14:paraId="292F65F4">
            <w:pPr>
              <w:jc w:val="center"/>
              <w:rPr>
                <w:i/>
                <w:sz w:val="18"/>
                <w:szCs w:val="18"/>
              </w:rPr>
            </w:pPr>
            <w:r>
              <w:rPr>
                <w:rFonts w:hint="eastAsia"/>
                <w:sz w:val="18"/>
                <w:szCs w:val="18"/>
              </w:rPr>
              <w:t>2</w:t>
            </w:r>
          </w:p>
        </w:tc>
        <w:tc>
          <w:tcPr>
            <w:tcW w:w="709" w:type="dxa"/>
            <w:vAlign w:val="center"/>
          </w:tcPr>
          <w:p w14:paraId="1A671557">
            <w:pPr>
              <w:jc w:val="center"/>
              <w:rPr>
                <w:i/>
                <w:sz w:val="18"/>
                <w:szCs w:val="18"/>
              </w:rPr>
            </w:pPr>
            <w:r>
              <w:rPr>
                <w:rFonts w:hint="eastAsia"/>
                <w:sz w:val="18"/>
                <w:szCs w:val="18"/>
              </w:rPr>
              <w:t>1</w:t>
            </w:r>
          </w:p>
        </w:tc>
        <w:tc>
          <w:tcPr>
            <w:tcW w:w="1045" w:type="dxa"/>
            <w:vAlign w:val="center"/>
          </w:tcPr>
          <w:p w14:paraId="7FAA59F5">
            <w:pPr>
              <w:jc w:val="center"/>
              <w:rPr>
                <w:i/>
                <w:sz w:val="18"/>
                <w:szCs w:val="18"/>
              </w:rPr>
            </w:pPr>
            <w:r>
              <w:rPr>
                <w:rFonts w:hint="eastAsia"/>
                <w:sz w:val="18"/>
                <w:szCs w:val="18"/>
              </w:rPr>
              <w:t>考试</w:t>
            </w:r>
          </w:p>
        </w:tc>
      </w:tr>
      <w:tr w14:paraId="7CA925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CEC4145">
            <w:pPr>
              <w:jc w:val="center"/>
              <w:rPr>
                <w:b/>
                <w:color w:val="000000" w:themeColor="text1"/>
                <w:sz w:val="18"/>
                <w:szCs w:val="18"/>
                <w14:textFill>
                  <w14:solidFill>
                    <w14:schemeClr w14:val="tx1"/>
                  </w14:solidFill>
                </w14:textFill>
              </w:rPr>
            </w:pPr>
          </w:p>
        </w:tc>
        <w:tc>
          <w:tcPr>
            <w:tcW w:w="1226" w:type="dxa"/>
            <w:vMerge w:val="restart"/>
            <w:vAlign w:val="center"/>
          </w:tcPr>
          <w:p w14:paraId="3B9E7A8F">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335843EC">
            <w:pPr>
              <w:jc w:val="center"/>
              <w:rPr>
                <w:b/>
                <w:color w:val="000000" w:themeColor="text1"/>
                <w:sz w:val="18"/>
                <w:szCs w:val="18"/>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8</w:t>
            </w:r>
            <w:r>
              <w:rPr>
                <w:b/>
                <w:color w:val="000000" w:themeColor="text1"/>
                <w:sz w:val="18"/>
                <w:szCs w:val="18"/>
                <w:highlight w:val="none"/>
                <w14:textFill>
                  <w14:solidFill>
                    <w14:schemeClr w14:val="tx1"/>
                  </w14:solidFill>
                </w14:textFill>
              </w:rPr>
              <w:t>学分）</w:t>
            </w:r>
          </w:p>
        </w:tc>
        <w:tc>
          <w:tcPr>
            <w:tcW w:w="3516" w:type="dxa"/>
            <w:vAlign w:val="center"/>
          </w:tcPr>
          <w:p w14:paraId="50778A6F">
            <w:r>
              <w:rPr>
                <w:rFonts w:hint="eastAsia"/>
                <w:color w:val="auto"/>
                <w:sz w:val="18"/>
                <w:szCs w:val="18"/>
              </w:rPr>
              <w:t>机器学习</w:t>
            </w:r>
          </w:p>
        </w:tc>
        <w:tc>
          <w:tcPr>
            <w:tcW w:w="1081" w:type="dxa"/>
            <w:vAlign w:val="center"/>
          </w:tcPr>
          <w:p w14:paraId="48E04F6B">
            <w:pPr>
              <w:jc w:val="center"/>
              <w:rPr>
                <w:color w:val="FF0000"/>
                <w:sz w:val="18"/>
                <w:szCs w:val="18"/>
              </w:rPr>
            </w:pPr>
            <w:r>
              <w:rPr>
                <w:rFonts w:hint="eastAsia"/>
                <w:color w:val="000000" w:themeColor="text1"/>
                <w:sz w:val="18"/>
                <w:szCs w:val="18"/>
                <w14:textFill>
                  <w14:solidFill>
                    <w14:schemeClr w14:val="tx1"/>
                  </w14:solidFill>
                </w14:textFill>
              </w:rPr>
              <w:t>ZS1506003</w:t>
            </w:r>
          </w:p>
        </w:tc>
        <w:tc>
          <w:tcPr>
            <w:tcW w:w="709" w:type="dxa"/>
            <w:vAlign w:val="center"/>
          </w:tcPr>
          <w:p w14:paraId="6E0A2B46">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0F2967CC">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58CED1FC">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6285222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056B916">
            <w:pPr>
              <w:jc w:val="center"/>
              <w:rPr>
                <w:b/>
                <w:color w:val="000000" w:themeColor="text1"/>
                <w:sz w:val="18"/>
                <w:szCs w:val="18"/>
                <w14:textFill>
                  <w14:solidFill>
                    <w14:schemeClr w14:val="tx1"/>
                  </w14:solidFill>
                </w14:textFill>
              </w:rPr>
            </w:pPr>
          </w:p>
        </w:tc>
        <w:tc>
          <w:tcPr>
            <w:tcW w:w="1226" w:type="dxa"/>
            <w:vMerge w:val="continue"/>
            <w:vAlign w:val="center"/>
          </w:tcPr>
          <w:p w14:paraId="05984F79">
            <w:pPr>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3CC80D55">
            <w:pPr>
              <w:adjustRightInd w:val="0"/>
              <w:snapToGrid w:val="0"/>
              <w:rPr>
                <w:rFonts w:hint="eastAsia" w:ascii="Times New Roman" w:hAnsi="Times New Roman" w:eastAsia="宋体" w:cs="Times New Roman"/>
                <w:i/>
                <w:color w:val="FF0000"/>
                <w:kern w:val="2"/>
                <w:sz w:val="18"/>
                <w:szCs w:val="18"/>
                <w:lang w:val="en-US" w:eastAsia="zh-CN" w:bidi="ar-SA"/>
              </w:rPr>
            </w:pPr>
            <w:r>
              <w:rPr>
                <w:rFonts w:hint="eastAsia"/>
                <w:sz w:val="18"/>
                <w:szCs w:val="18"/>
              </w:rPr>
              <w:t>动态测试信号处理与建模</w:t>
            </w:r>
          </w:p>
        </w:tc>
        <w:tc>
          <w:tcPr>
            <w:tcW w:w="1081" w:type="dxa"/>
            <w:shd w:val="clear" w:color="auto" w:fill="auto"/>
            <w:vAlign w:val="center"/>
          </w:tcPr>
          <w:p w14:paraId="3B1B6CB9">
            <w:pPr>
              <w:jc w:val="center"/>
              <w:rPr>
                <w:rFonts w:hint="default" w:ascii="Times New Roman" w:hAnsi="Times New Roman" w:eastAsia="宋体" w:cs="Times New Roman"/>
                <w:color w:val="FF0000"/>
                <w:kern w:val="2"/>
                <w:sz w:val="18"/>
                <w:szCs w:val="18"/>
                <w:lang w:val="en-US" w:eastAsia="zh-CN" w:bidi="ar-SA"/>
              </w:rPr>
            </w:pPr>
            <w:r>
              <w:rPr>
                <w:rFonts w:hint="eastAsia"/>
                <w:sz w:val="18"/>
                <w:szCs w:val="18"/>
              </w:rPr>
              <w:t>XS1501004</w:t>
            </w:r>
          </w:p>
        </w:tc>
        <w:tc>
          <w:tcPr>
            <w:tcW w:w="709" w:type="dxa"/>
            <w:shd w:val="clear" w:color="auto" w:fill="auto"/>
            <w:vAlign w:val="center"/>
          </w:tcPr>
          <w:p w14:paraId="73F4DBF0">
            <w:pPr>
              <w:jc w:val="center"/>
              <w:rPr>
                <w:rFonts w:hint="eastAsia" w:ascii="Times New Roman" w:hAnsi="Times New Roman" w:eastAsia="宋体" w:cs="Times New Roman"/>
                <w:color w:val="FF0000"/>
                <w:kern w:val="2"/>
                <w:sz w:val="21"/>
                <w:szCs w:val="24"/>
                <w:lang w:val="en-US" w:eastAsia="zh-CN" w:bidi="ar-SA"/>
              </w:rPr>
            </w:pPr>
            <w:r>
              <w:rPr>
                <w:rFonts w:hint="eastAsia"/>
                <w:sz w:val="18"/>
                <w:szCs w:val="18"/>
              </w:rPr>
              <w:t>2</w:t>
            </w:r>
          </w:p>
        </w:tc>
        <w:tc>
          <w:tcPr>
            <w:tcW w:w="709" w:type="dxa"/>
            <w:shd w:val="clear" w:color="auto" w:fill="auto"/>
            <w:vAlign w:val="center"/>
          </w:tcPr>
          <w:p w14:paraId="5FEF50F0">
            <w:pPr>
              <w:jc w:val="center"/>
              <w:rPr>
                <w:rFonts w:hint="eastAsia" w:ascii="Times New Roman" w:hAnsi="Times New Roman" w:eastAsia="宋体" w:cs="Times New Roman"/>
                <w:color w:val="FF0000"/>
                <w:kern w:val="2"/>
                <w:sz w:val="21"/>
                <w:szCs w:val="24"/>
                <w:lang w:val="en-US" w:eastAsia="zh-CN" w:bidi="ar-SA"/>
              </w:rPr>
            </w:pPr>
            <w:r>
              <w:rPr>
                <w:rFonts w:hint="eastAsia"/>
                <w:sz w:val="18"/>
                <w:szCs w:val="18"/>
              </w:rPr>
              <w:t>1</w:t>
            </w:r>
          </w:p>
        </w:tc>
        <w:tc>
          <w:tcPr>
            <w:tcW w:w="1045" w:type="dxa"/>
            <w:shd w:val="clear" w:color="auto" w:fill="auto"/>
            <w:vAlign w:val="center"/>
          </w:tcPr>
          <w:p w14:paraId="4702955B">
            <w:pPr>
              <w:adjustRightInd w:val="0"/>
              <w:snapToGrid w:val="0"/>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6AA0FC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AA5657C">
            <w:pPr>
              <w:jc w:val="center"/>
              <w:rPr>
                <w:b/>
                <w:color w:val="000000" w:themeColor="text1"/>
                <w:sz w:val="18"/>
                <w:szCs w:val="18"/>
                <w14:textFill>
                  <w14:solidFill>
                    <w14:schemeClr w14:val="tx1"/>
                  </w14:solidFill>
                </w14:textFill>
              </w:rPr>
            </w:pPr>
          </w:p>
        </w:tc>
        <w:tc>
          <w:tcPr>
            <w:tcW w:w="1226" w:type="dxa"/>
            <w:vMerge w:val="continue"/>
            <w:vAlign w:val="center"/>
          </w:tcPr>
          <w:p w14:paraId="415E1092">
            <w:pPr>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1810F378">
            <w:pPr>
              <w:adjustRightInd w:val="0"/>
              <w:snapToGrid w:val="0"/>
              <w:rPr>
                <w:rFonts w:hint="eastAsia" w:ascii="Times New Roman" w:hAnsi="Times New Roman" w:eastAsia="宋体" w:cs="Times New Roman"/>
                <w:i/>
                <w:kern w:val="2"/>
                <w:sz w:val="18"/>
                <w:szCs w:val="18"/>
                <w:lang w:val="en-US" w:eastAsia="zh-CN" w:bidi="ar-SA"/>
              </w:rPr>
            </w:pPr>
            <w:r>
              <w:rPr>
                <w:rFonts w:hint="eastAsia"/>
                <w:sz w:val="18"/>
                <w:szCs w:val="18"/>
              </w:rPr>
              <w:t>新型传感技术及应用</w:t>
            </w:r>
          </w:p>
        </w:tc>
        <w:tc>
          <w:tcPr>
            <w:tcW w:w="1081" w:type="dxa"/>
            <w:shd w:val="clear" w:color="auto" w:fill="auto"/>
            <w:vAlign w:val="center"/>
          </w:tcPr>
          <w:p w14:paraId="3C6C3C4E">
            <w:pPr>
              <w:jc w:val="center"/>
              <w:rPr>
                <w:rFonts w:hint="eastAsia" w:ascii="Times New Roman" w:hAnsi="Times New Roman" w:eastAsia="宋体" w:cs="Times New Roman"/>
                <w:kern w:val="2"/>
                <w:sz w:val="18"/>
                <w:szCs w:val="18"/>
                <w:lang w:val="en-US" w:eastAsia="zh-CN" w:bidi="ar-SA"/>
              </w:rPr>
            </w:pPr>
            <w:r>
              <w:rPr>
                <w:rFonts w:hint="eastAsia"/>
                <w:sz w:val="18"/>
                <w:szCs w:val="18"/>
              </w:rPr>
              <w:t>XS1501005</w:t>
            </w:r>
          </w:p>
        </w:tc>
        <w:tc>
          <w:tcPr>
            <w:tcW w:w="709" w:type="dxa"/>
            <w:shd w:val="clear" w:color="auto" w:fill="auto"/>
            <w:vAlign w:val="center"/>
          </w:tcPr>
          <w:p w14:paraId="53A493EB">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4A5E00B9">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shd w:val="clear" w:color="auto" w:fill="auto"/>
            <w:vAlign w:val="top"/>
          </w:tcPr>
          <w:p w14:paraId="4047172D">
            <w:pPr>
              <w:ind w:firstLine="270" w:firstLineChars="150"/>
              <w:rPr>
                <w:rFonts w:hint="eastAsia" w:ascii="Times New Roman" w:hAnsi="Times New Roman" w:eastAsia="宋体" w:cs="Times New Roman"/>
                <w:kern w:val="2"/>
                <w:sz w:val="21"/>
                <w:szCs w:val="24"/>
                <w:lang w:val="en-US" w:eastAsia="zh-CN" w:bidi="ar-SA"/>
              </w:rPr>
            </w:pPr>
            <w:r>
              <w:rPr>
                <w:rFonts w:hint="eastAsia"/>
                <w:color w:val="000000" w:themeColor="text1"/>
                <w:sz w:val="18"/>
                <w:szCs w:val="18"/>
                <w14:textFill>
                  <w14:solidFill>
                    <w14:schemeClr w14:val="tx1"/>
                  </w14:solidFill>
                </w14:textFill>
              </w:rPr>
              <w:t>考试</w:t>
            </w:r>
          </w:p>
        </w:tc>
      </w:tr>
      <w:tr w14:paraId="3E23DAB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62E896E">
            <w:pPr>
              <w:jc w:val="center"/>
              <w:rPr>
                <w:b/>
                <w:color w:val="000000" w:themeColor="text1"/>
                <w:sz w:val="18"/>
                <w:szCs w:val="18"/>
                <w14:textFill>
                  <w14:solidFill>
                    <w14:schemeClr w14:val="tx1"/>
                  </w14:solidFill>
                </w14:textFill>
              </w:rPr>
            </w:pPr>
          </w:p>
        </w:tc>
        <w:tc>
          <w:tcPr>
            <w:tcW w:w="1226" w:type="dxa"/>
            <w:vMerge w:val="continue"/>
            <w:vAlign w:val="center"/>
          </w:tcPr>
          <w:p w14:paraId="2A4958EE">
            <w:pPr>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08CFAEA2">
            <w:pPr>
              <w:rPr>
                <w:rFonts w:hint="eastAsia" w:ascii="Times New Roman" w:hAnsi="Times New Roman" w:eastAsia="宋体" w:cs="Times New Roman"/>
                <w:kern w:val="2"/>
                <w:sz w:val="21"/>
                <w:szCs w:val="24"/>
                <w:lang w:val="en-US" w:eastAsia="zh-CN" w:bidi="ar-SA"/>
              </w:rPr>
            </w:pPr>
            <w:r>
              <w:rPr>
                <w:rFonts w:hint="eastAsia"/>
                <w:color w:val="000000" w:themeColor="text1"/>
                <w:sz w:val="18"/>
                <w:szCs w:val="18"/>
                <w14:textFill>
                  <w14:solidFill>
                    <w14:schemeClr w14:val="tx1"/>
                  </w14:solidFill>
                </w14:textFill>
              </w:rPr>
              <w:t>误差与不确定度理论及应用</w:t>
            </w:r>
          </w:p>
        </w:tc>
        <w:tc>
          <w:tcPr>
            <w:tcW w:w="1081" w:type="dxa"/>
            <w:shd w:val="clear" w:color="auto" w:fill="auto"/>
            <w:vAlign w:val="center"/>
          </w:tcPr>
          <w:p w14:paraId="0DD1DDC9">
            <w:pPr>
              <w:jc w:val="center"/>
              <w:rPr>
                <w:rFonts w:hint="eastAsia" w:ascii="Times New Roman" w:hAnsi="Times New Roman" w:eastAsia="宋体" w:cs="Times New Roman"/>
                <w:color w:val="FF0000"/>
                <w:kern w:val="2"/>
                <w:sz w:val="18"/>
                <w:szCs w:val="18"/>
                <w:lang w:val="en-US" w:eastAsia="zh-CN" w:bidi="ar-SA"/>
              </w:rPr>
            </w:pPr>
            <w:r>
              <w:rPr>
                <w:rFonts w:hint="eastAsia"/>
                <w:sz w:val="18"/>
                <w:szCs w:val="18"/>
              </w:rPr>
              <w:t>XS1501008</w:t>
            </w:r>
          </w:p>
        </w:tc>
        <w:tc>
          <w:tcPr>
            <w:tcW w:w="709" w:type="dxa"/>
            <w:shd w:val="clear" w:color="auto" w:fill="auto"/>
            <w:vAlign w:val="center"/>
          </w:tcPr>
          <w:p w14:paraId="7B7B5839">
            <w:pPr>
              <w:jc w:val="center"/>
              <w:rPr>
                <w:rFonts w:hint="eastAsia" w:ascii="Times New Roman" w:hAnsi="Times New Roman" w:eastAsia="宋体" w:cs="Times New Roman"/>
                <w:color w:val="FF0000"/>
                <w:kern w:val="2"/>
                <w:sz w:val="21"/>
                <w:szCs w:val="24"/>
                <w:lang w:val="en-US" w:eastAsia="zh-CN" w:bidi="ar-SA"/>
              </w:rPr>
            </w:pPr>
            <w:r>
              <w:rPr>
                <w:rFonts w:hint="eastAsia"/>
                <w:sz w:val="18"/>
                <w:szCs w:val="18"/>
              </w:rPr>
              <w:t>2</w:t>
            </w:r>
          </w:p>
        </w:tc>
        <w:tc>
          <w:tcPr>
            <w:tcW w:w="709" w:type="dxa"/>
            <w:shd w:val="clear" w:color="auto" w:fill="auto"/>
            <w:vAlign w:val="center"/>
          </w:tcPr>
          <w:p w14:paraId="12DA4F87">
            <w:pPr>
              <w:jc w:val="center"/>
              <w:rPr>
                <w:rFonts w:hint="eastAsia" w:ascii="Times New Roman" w:hAnsi="Times New Roman" w:eastAsia="宋体" w:cs="Times New Roman"/>
                <w:color w:val="FF0000"/>
                <w:kern w:val="2"/>
                <w:sz w:val="21"/>
                <w:szCs w:val="24"/>
                <w:lang w:val="en-US" w:eastAsia="zh-CN" w:bidi="ar-SA"/>
              </w:rPr>
            </w:pPr>
            <w:r>
              <w:rPr>
                <w:rFonts w:hint="eastAsia"/>
                <w:sz w:val="18"/>
                <w:szCs w:val="18"/>
              </w:rPr>
              <w:t>1</w:t>
            </w:r>
          </w:p>
        </w:tc>
        <w:tc>
          <w:tcPr>
            <w:tcW w:w="1045" w:type="dxa"/>
            <w:shd w:val="clear" w:color="auto" w:fill="auto"/>
            <w:vAlign w:val="center"/>
          </w:tcPr>
          <w:p w14:paraId="34AEA9E8">
            <w:pPr>
              <w:jc w:val="center"/>
              <w:rPr>
                <w:rFonts w:hint="eastAsia"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考试</w:t>
            </w:r>
          </w:p>
        </w:tc>
      </w:tr>
      <w:tr w14:paraId="34F753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A1ADC5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p w14:paraId="0956BCD4">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6</w:t>
            </w:r>
          </w:p>
          <w:p w14:paraId="7F6DBF93">
            <w:pPr>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分</w:t>
            </w:r>
          </w:p>
        </w:tc>
        <w:tc>
          <w:tcPr>
            <w:tcW w:w="1226" w:type="dxa"/>
            <w:vMerge w:val="restart"/>
            <w:vAlign w:val="center"/>
          </w:tcPr>
          <w:p w14:paraId="42C97C8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7C68713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30035C2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4A2EBE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5E3992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9C169D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CD02C4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5D6B8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1418C7C">
            <w:pPr>
              <w:jc w:val="center"/>
              <w:rPr>
                <w:b/>
                <w:color w:val="000000" w:themeColor="text1"/>
                <w:sz w:val="18"/>
                <w:szCs w:val="18"/>
                <w14:textFill>
                  <w14:solidFill>
                    <w14:schemeClr w14:val="tx1"/>
                  </w14:solidFill>
                </w14:textFill>
              </w:rPr>
            </w:pPr>
          </w:p>
        </w:tc>
        <w:tc>
          <w:tcPr>
            <w:tcW w:w="1226" w:type="dxa"/>
            <w:vMerge w:val="continue"/>
            <w:vAlign w:val="center"/>
          </w:tcPr>
          <w:p w14:paraId="55662F19">
            <w:pPr>
              <w:jc w:val="center"/>
              <w:rPr>
                <w:b/>
                <w:color w:val="000000" w:themeColor="text1"/>
                <w:sz w:val="18"/>
                <w:szCs w:val="18"/>
                <w14:textFill>
                  <w14:solidFill>
                    <w14:schemeClr w14:val="tx1"/>
                  </w14:solidFill>
                </w14:textFill>
              </w:rPr>
            </w:pPr>
          </w:p>
        </w:tc>
        <w:tc>
          <w:tcPr>
            <w:tcW w:w="3516" w:type="dxa"/>
            <w:vAlign w:val="center"/>
          </w:tcPr>
          <w:p w14:paraId="4EB3DEDB">
            <w:pPr>
              <w:adjustRightIn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6D94EEB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55E49D8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12F354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DD60A1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D07C4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F957619">
            <w:pPr>
              <w:rPr>
                <w:b/>
                <w:color w:val="000000" w:themeColor="text1"/>
                <w:sz w:val="18"/>
                <w:szCs w:val="18"/>
                <w14:textFill>
                  <w14:solidFill>
                    <w14:schemeClr w14:val="tx1"/>
                  </w14:solidFill>
                </w14:textFill>
              </w:rPr>
            </w:pPr>
          </w:p>
        </w:tc>
        <w:tc>
          <w:tcPr>
            <w:tcW w:w="1226" w:type="dxa"/>
            <w:vMerge w:val="restart"/>
            <w:vAlign w:val="center"/>
          </w:tcPr>
          <w:p w14:paraId="230E97E5">
            <w:pPr>
              <w:adjustRightInd w:val="0"/>
              <w:snapToGrid w:val="0"/>
              <w:jc w:val="center"/>
              <w:rPr>
                <w:b/>
                <w:sz w:val="18"/>
                <w:szCs w:val="18"/>
              </w:rPr>
            </w:pPr>
            <w:r>
              <w:rPr>
                <w:rFonts w:hint="eastAsia"/>
                <w:b/>
                <w:sz w:val="18"/>
                <w:szCs w:val="18"/>
              </w:rPr>
              <w:t>测试计量理论及传感器</w:t>
            </w:r>
          </w:p>
          <w:p w14:paraId="47A9E56A">
            <w:pPr>
              <w:adjustRightInd w:val="0"/>
              <w:snapToGrid w:val="0"/>
              <w:jc w:val="center"/>
              <w:rPr>
                <w:b/>
                <w:sz w:val="18"/>
                <w:szCs w:val="18"/>
              </w:rPr>
            </w:pPr>
            <w:r>
              <w:rPr>
                <w:rFonts w:hint="eastAsia"/>
                <w:b/>
                <w:sz w:val="18"/>
                <w:szCs w:val="18"/>
              </w:rPr>
              <w:t>方向</w:t>
            </w:r>
          </w:p>
          <w:p w14:paraId="681B740C">
            <w:pPr>
              <w:adjustRightInd w:val="0"/>
              <w:snapToGrid w:val="0"/>
              <w:jc w:val="center"/>
              <w:rPr>
                <w:b/>
                <w:color w:val="000000" w:themeColor="text1"/>
                <w:sz w:val="18"/>
                <w:szCs w:val="18"/>
                <w14:textFill>
                  <w14:solidFill>
                    <w14:schemeClr w14:val="tx1"/>
                  </w14:solidFill>
                </w14:textFill>
              </w:rPr>
            </w:pPr>
            <w:r>
              <w:rPr>
                <w:rFonts w:hint="eastAsia"/>
                <w:b/>
                <w:sz w:val="18"/>
                <w:szCs w:val="18"/>
              </w:rPr>
              <w:t>选修课</w:t>
            </w:r>
          </w:p>
        </w:tc>
        <w:tc>
          <w:tcPr>
            <w:tcW w:w="3516" w:type="dxa"/>
            <w:shd w:val="clear" w:color="auto" w:fill="auto"/>
            <w:vAlign w:val="center"/>
          </w:tcPr>
          <w:p w14:paraId="7283E45E">
            <w:pPr>
              <w:adjustRightInd w:val="0"/>
              <w:snapToGrid w:val="0"/>
              <w:rPr>
                <w:rFonts w:hint="eastAsia" w:ascii="Times New Roman" w:hAnsi="Times New Roman" w:eastAsia="宋体" w:cs="Times New Roman"/>
                <w:i/>
                <w:kern w:val="2"/>
                <w:sz w:val="18"/>
                <w:szCs w:val="18"/>
                <w:lang w:val="en-US" w:eastAsia="zh-CN" w:bidi="ar-SA"/>
              </w:rPr>
            </w:pPr>
            <w:r>
              <w:rPr>
                <w:rFonts w:hint="eastAsia"/>
                <w:sz w:val="18"/>
                <w:szCs w:val="18"/>
                <w:lang w:eastAsia="zh-CN"/>
              </w:rPr>
              <w:t>智能</w:t>
            </w:r>
            <w:r>
              <w:rPr>
                <w:rFonts w:hint="eastAsia"/>
                <w:sz w:val="18"/>
                <w:szCs w:val="18"/>
              </w:rPr>
              <w:t>仪器开发与创新</w:t>
            </w:r>
          </w:p>
        </w:tc>
        <w:tc>
          <w:tcPr>
            <w:tcW w:w="1081" w:type="dxa"/>
            <w:shd w:val="clear" w:color="auto" w:fill="auto"/>
            <w:vAlign w:val="center"/>
          </w:tcPr>
          <w:p w14:paraId="05972A5B">
            <w:pPr>
              <w:jc w:val="center"/>
              <w:rPr>
                <w:rFonts w:hint="default" w:ascii="Times New Roman" w:hAnsi="Times New Roman" w:eastAsia="宋体" w:cs="Times New Roman"/>
                <w:kern w:val="2"/>
                <w:sz w:val="18"/>
                <w:szCs w:val="18"/>
                <w:lang w:val="en-US" w:eastAsia="zh-CN" w:bidi="ar-SA"/>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shd w:val="clear" w:color="auto" w:fill="auto"/>
            <w:vAlign w:val="center"/>
          </w:tcPr>
          <w:p w14:paraId="2ADA51CF">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593E8349">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vMerge w:val="restart"/>
            <w:vAlign w:val="center"/>
          </w:tcPr>
          <w:p w14:paraId="2A91EEC7">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F579A63">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p>
        </w:tc>
      </w:tr>
      <w:tr w14:paraId="704BED3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625D0B4">
            <w:pPr>
              <w:rPr>
                <w:b/>
                <w:color w:val="000000" w:themeColor="text1"/>
                <w:sz w:val="18"/>
                <w:szCs w:val="18"/>
                <w14:textFill>
                  <w14:solidFill>
                    <w14:schemeClr w14:val="tx1"/>
                  </w14:solidFill>
                </w14:textFill>
              </w:rPr>
            </w:pPr>
          </w:p>
        </w:tc>
        <w:tc>
          <w:tcPr>
            <w:tcW w:w="1226" w:type="dxa"/>
            <w:vMerge w:val="continue"/>
            <w:vAlign w:val="center"/>
          </w:tcPr>
          <w:p w14:paraId="5AE5746C">
            <w:pPr>
              <w:adjustRightInd w:val="0"/>
              <w:snapToGrid w:val="0"/>
              <w:jc w:val="center"/>
              <w:rPr>
                <w:b/>
                <w:color w:val="FF0000"/>
                <w:sz w:val="18"/>
                <w:szCs w:val="18"/>
              </w:rPr>
            </w:pPr>
          </w:p>
        </w:tc>
        <w:tc>
          <w:tcPr>
            <w:tcW w:w="3516" w:type="dxa"/>
            <w:shd w:val="clear" w:color="auto" w:fill="auto"/>
            <w:vAlign w:val="center"/>
          </w:tcPr>
          <w:p w14:paraId="3D700A5E">
            <w:pPr>
              <w:rPr>
                <w:rFonts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热工计量测试技术</w:t>
            </w:r>
          </w:p>
        </w:tc>
        <w:tc>
          <w:tcPr>
            <w:tcW w:w="1081" w:type="dxa"/>
            <w:shd w:val="clear" w:color="auto" w:fill="auto"/>
            <w:vAlign w:val="center"/>
          </w:tcPr>
          <w:p w14:paraId="502CE573">
            <w:pPr>
              <w:jc w:val="center"/>
              <w:rPr>
                <w:rFonts w:ascii="Times New Roman" w:hAnsi="Times New Roman" w:eastAsia="宋体" w:cs="Times New Roman"/>
                <w:color w:val="FF0000"/>
                <w:kern w:val="2"/>
                <w:sz w:val="18"/>
                <w:szCs w:val="18"/>
                <w:lang w:val="en-US" w:eastAsia="zh-CN" w:bidi="ar-SA"/>
              </w:rPr>
            </w:pPr>
            <w:r>
              <w:rPr>
                <w:rFonts w:hint="eastAsia"/>
                <w:sz w:val="18"/>
                <w:szCs w:val="18"/>
              </w:rPr>
              <w:t>XS1501201</w:t>
            </w:r>
          </w:p>
        </w:tc>
        <w:tc>
          <w:tcPr>
            <w:tcW w:w="709" w:type="dxa"/>
            <w:shd w:val="clear" w:color="auto" w:fill="auto"/>
            <w:vAlign w:val="center"/>
          </w:tcPr>
          <w:p w14:paraId="0178C12A">
            <w:pPr>
              <w:jc w:val="center"/>
              <w:rPr>
                <w:rFonts w:ascii="Times New Roman" w:hAnsi="Times New Roman" w:eastAsia="宋体" w:cs="Times New Roman"/>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5D15629F">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Merge w:val="continue"/>
            <w:vAlign w:val="center"/>
          </w:tcPr>
          <w:p w14:paraId="1A26ACAD">
            <w:pPr>
              <w:adjustRightInd w:val="0"/>
              <w:snapToGrid w:val="0"/>
              <w:jc w:val="center"/>
              <w:rPr>
                <w:color w:val="000000" w:themeColor="text1"/>
                <w:sz w:val="18"/>
                <w:szCs w:val="18"/>
                <w14:textFill>
                  <w14:solidFill>
                    <w14:schemeClr w14:val="tx1"/>
                  </w14:solidFill>
                </w14:textFill>
              </w:rPr>
            </w:pPr>
          </w:p>
        </w:tc>
      </w:tr>
      <w:tr w14:paraId="2BE176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1494E4">
            <w:pPr>
              <w:rPr>
                <w:b/>
                <w:color w:val="000000" w:themeColor="text1"/>
                <w:sz w:val="18"/>
                <w:szCs w:val="18"/>
                <w14:textFill>
                  <w14:solidFill>
                    <w14:schemeClr w14:val="tx1"/>
                  </w14:solidFill>
                </w14:textFill>
              </w:rPr>
            </w:pPr>
          </w:p>
        </w:tc>
        <w:tc>
          <w:tcPr>
            <w:tcW w:w="1226" w:type="dxa"/>
            <w:vMerge w:val="continue"/>
            <w:vAlign w:val="center"/>
          </w:tcPr>
          <w:p w14:paraId="2436CD0C">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0FEE6FD">
            <w:pPr>
              <w:adjustRightInd w:val="0"/>
              <w:snapToGrid w:val="0"/>
              <w:rPr>
                <w:rFonts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几何量计量测试技术</w:t>
            </w:r>
          </w:p>
        </w:tc>
        <w:tc>
          <w:tcPr>
            <w:tcW w:w="1081" w:type="dxa"/>
            <w:shd w:val="clear" w:color="auto" w:fill="auto"/>
            <w:vAlign w:val="center"/>
          </w:tcPr>
          <w:p w14:paraId="70749438">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XS1501202</w:t>
            </w:r>
          </w:p>
        </w:tc>
        <w:tc>
          <w:tcPr>
            <w:tcW w:w="709" w:type="dxa"/>
            <w:shd w:val="clear" w:color="auto" w:fill="auto"/>
            <w:vAlign w:val="center"/>
          </w:tcPr>
          <w:p w14:paraId="6F7D27DA">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135BE9D2">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Merge w:val="continue"/>
            <w:vAlign w:val="center"/>
          </w:tcPr>
          <w:p w14:paraId="714E4681">
            <w:pPr>
              <w:jc w:val="center"/>
              <w:rPr>
                <w:color w:val="000000" w:themeColor="text1"/>
                <w:sz w:val="18"/>
                <w:szCs w:val="18"/>
                <w14:textFill>
                  <w14:solidFill>
                    <w14:schemeClr w14:val="tx1"/>
                  </w14:solidFill>
                </w14:textFill>
              </w:rPr>
            </w:pPr>
          </w:p>
        </w:tc>
      </w:tr>
      <w:tr w14:paraId="0B0D0B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397CB5">
            <w:pPr>
              <w:rPr>
                <w:b/>
                <w:color w:val="000000" w:themeColor="text1"/>
                <w:sz w:val="18"/>
                <w:szCs w:val="18"/>
                <w14:textFill>
                  <w14:solidFill>
                    <w14:schemeClr w14:val="tx1"/>
                  </w14:solidFill>
                </w14:textFill>
              </w:rPr>
            </w:pPr>
          </w:p>
        </w:tc>
        <w:tc>
          <w:tcPr>
            <w:tcW w:w="1226" w:type="dxa"/>
            <w:vMerge w:val="restart"/>
            <w:vAlign w:val="center"/>
          </w:tcPr>
          <w:p w14:paraId="3A668C8D">
            <w:pPr>
              <w:adjustRightInd w:val="0"/>
              <w:snapToGrid w:val="0"/>
              <w:jc w:val="center"/>
              <w:rPr>
                <w:b/>
                <w:sz w:val="18"/>
                <w:szCs w:val="18"/>
              </w:rPr>
            </w:pPr>
            <w:r>
              <w:rPr>
                <w:rFonts w:hint="eastAsia"/>
                <w:b/>
                <w:sz w:val="18"/>
                <w:szCs w:val="18"/>
              </w:rPr>
              <w:t>无损检测技术及仪器</w:t>
            </w:r>
          </w:p>
          <w:p w14:paraId="445B60DA">
            <w:pPr>
              <w:adjustRightInd w:val="0"/>
              <w:snapToGrid w:val="0"/>
              <w:jc w:val="center"/>
              <w:rPr>
                <w:b/>
                <w:i/>
                <w:sz w:val="18"/>
                <w:szCs w:val="18"/>
              </w:rPr>
            </w:pPr>
            <w:r>
              <w:rPr>
                <w:rFonts w:hint="eastAsia"/>
                <w:b/>
                <w:sz w:val="18"/>
                <w:szCs w:val="18"/>
              </w:rPr>
              <w:t>方向</w:t>
            </w:r>
          </w:p>
          <w:p w14:paraId="2B39B2F0">
            <w:pPr>
              <w:adjustRightInd w:val="0"/>
              <w:snapToGrid w:val="0"/>
              <w:jc w:val="center"/>
              <w:rPr>
                <w:b/>
                <w:color w:val="FF0000"/>
                <w:sz w:val="18"/>
                <w:szCs w:val="18"/>
              </w:rPr>
            </w:pPr>
            <w:r>
              <w:rPr>
                <w:rFonts w:hint="eastAsia"/>
                <w:b/>
                <w:sz w:val="18"/>
                <w:szCs w:val="18"/>
              </w:rPr>
              <w:t>选修课</w:t>
            </w:r>
          </w:p>
        </w:tc>
        <w:tc>
          <w:tcPr>
            <w:tcW w:w="3516" w:type="dxa"/>
            <w:vAlign w:val="center"/>
          </w:tcPr>
          <w:p w14:paraId="3F24FBAF">
            <w:pPr>
              <w:adjustRightInd w:val="0"/>
              <w:snapToGrid w:val="0"/>
              <w:rPr>
                <w:i/>
                <w:color w:val="FF0000"/>
                <w:sz w:val="18"/>
                <w:szCs w:val="18"/>
              </w:rPr>
            </w:pPr>
            <w:r>
              <w:rPr>
                <w:rFonts w:hint="eastAsia"/>
                <w:sz w:val="18"/>
                <w:szCs w:val="18"/>
                <w:lang w:eastAsia="zh-CN"/>
              </w:rPr>
              <w:t>智能</w:t>
            </w:r>
            <w:r>
              <w:rPr>
                <w:rFonts w:hint="eastAsia"/>
                <w:sz w:val="18"/>
                <w:szCs w:val="18"/>
              </w:rPr>
              <w:t>仪器开发与创新</w:t>
            </w:r>
          </w:p>
        </w:tc>
        <w:tc>
          <w:tcPr>
            <w:tcW w:w="1081" w:type="dxa"/>
            <w:vAlign w:val="center"/>
          </w:tcPr>
          <w:p w14:paraId="3520A162">
            <w:pPr>
              <w:jc w:val="center"/>
              <w:rPr>
                <w:color w:val="FF0000"/>
                <w:sz w:val="18"/>
                <w:szCs w:val="18"/>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vAlign w:val="center"/>
          </w:tcPr>
          <w:p w14:paraId="760B254E">
            <w:pPr>
              <w:jc w:val="center"/>
              <w:rPr>
                <w:color w:val="FF0000"/>
              </w:rPr>
            </w:pPr>
            <w:r>
              <w:rPr>
                <w:rFonts w:hint="eastAsia"/>
                <w:sz w:val="18"/>
                <w:szCs w:val="18"/>
              </w:rPr>
              <w:t>2</w:t>
            </w:r>
          </w:p>
        </w:tc>
        <w:tc>
          <w:tcPr>
            <w:tcW w:w="709" w:type="dxa"/>
            <w:vAlign w:val="center"/>
          </w:tcPr>
          <w:p w14:paraId="35C23DAB">
            <w:pPr>
              <w:jc w:val="center"/>
              <w:rPr>
                <w:color w:val="FF0000"/>
              </w:rPr>
            </w:pPr>
            <w:r>
              <w:rPr>
                <w:rFonts w:hint="eastAsia"/>
                <w:sz w:val="18"/>
                <w:szCs w:val="18"/>
              </w:rPr>
              <w:t>1</w:t>
            </w:r>
          </w:p>
        </w:tc>
        <w:tc>
          <w:tcPr>
            <w:tcW w:w="1045" w:type="dxa"/>
            <w:vMerge w:val="restart"/>
            <w:vAlign w:val="center"/>
          </w:tcPr>
          <w:p w14:paraId="726B6115">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1CB9823B">
            <w:pPr>
              <w:adjustRightInd w:val="0"/>
              <w:snapToGrid w:val="0"/>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p>
        </w:tc>
      </w:tr>
      <w:tr w14:paraId="23BE86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398714">
            <w:pPr>
              <w:rPr>
                <w:b/>
                <w:color w:val="000000" w:themeColor="text1"/>
                <w:sz w:val="18"/>
                <w:szCs w:val="18"/>
                <w14:textFill>
                  <w14:solidFill>
                    <w14:schemeClr w14:val="tx1"/>
                  </w14:solidFill>
                </w14:textFill>
              </w:rPr>
            </w:pPr>
          </w:p>
        </w:tc>
        <w:tc>
          <w:tcPr>
            <w:tcW w:w="1226" w:type="dxa"/>
            <w:vMerge w:val="continue"/>
            <w:vAlign w:val="center"/>
          </w:tcPr>
          <w:p w14:paraId="2C722298">
            <w:pPr>
              <w:adjustRightInd w:val="0"/>
              <w:snapToGrid w:val="0"/>
              <w:jc w:val="center"/>
              <w:rPr>
                <w:b/>
                <w:color w:val="FF0000"/>
                <w:sz w:val="18"/>
                <w:szCs w:val="18"/>
              </w:rPr>
            </w:pPr>
          </w:p>
        </w:tc>
        <w:tc>
          <w:tcPr>
            <w:tcW w:w="3516" w:type="dxa"/>
            <w:shd w:val="clear" w:color="auto" w:fill="auto"/>
            <w:vAlign w:val="center"/>
          </w:tcPr>
          <w:p w14:paraId="520D6007">
            <w:pPr>
              <w:adjustRightInd w:val="0"/>
              <w:snapToGrid w:val="0"/>
              <w:rPr>
                <w:rFonts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无损检测新技术</w:t>
            </w:r>
          </w:p>
        </w:tc>
        <w:tc>
          <w:tcPr>
            <w:tcW w:w="1081" w:type="dxa"/>
            <w:shd w:val="clear" w:color="auto" w:fill="auto"/>
            <w:vAlign w:val="center"/>
          </w:tcPr>
          <w:p w14:paraId="04B25DB6">
            <w:pPr>
              <w:jc w:val="center"/>
              <w:rPr>
                <w:rFonts w:ascii="Times New Roman" w:hAnsi="Times New Roman" w:eastAsia="宋体" w:cs="Times New Roman"/>
                <w:color w:val="FF0000"/>
                <w:kern w:val="2"/>
                <w:sz w:val="18"/>
                <w:szCs w:val="18"/>
                <w:lang w:val="en-US" w:eastAsia="zh-CN" w:bidi="ar-SA"/>
              </w:rPr>
            </w:pPr>
            <w:r>
              <w:rPr>
                <w:rFonts w:hint="eastAsia"/>
                <w:sz w:val="18"/>
                <w:szCs w:val="18"/>
              </w:rPr>
              <w:t>XS1501203</w:t>
            </w:r>
          </w:p>
        </w:tc>
        <w:tc>
          <w:tcPr>
            <w:tcW w:w="709" w:type="dxa"/>
            <w:shd w:val="clear" w:color="auto" w:fill="auto"/>
            <w:vAlign w:val="center"/>
          </w:tcPr>
          <w:p w14:paraId="052665B0">
            <w:pPr>
              <w:jc w:val="center"/>
              <w:rPr>
                <w:rFonts w:ascii="Times New Roman" w:hAnsi="Times New Roman" w:eastAsia="宋体" w:cs="Times New Roman"/>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33792587">
            <w:pPr>
              <w:jc w:val="center"/>
              <w:rPr>
                <w:rFonts w:ascii="Times New Roman" w:hAnsi="Times New Roman" w:eastAsia="宋体" w:cs="Times New Roman"/>
                <w:color w:val="FF0000"/>
                <w:kern w:val="2"/>
                <w:sz w:val="18"/>
                <w:szCs w:val="18"/>
                <w:lang w:val="en-US" w:eastAsia="zh-CN" w:bidi="ar-SA"/>
              </w:rPr>
            </w:pPr>
            <w:r>
              <w:rPr>
                <w:rFonts w:hint="eastAsia"/>
                <w:sz w:val="18"/>
                <w:szCs w:val="18"/>
              </w:rPr>
              <w:t>1</w:t>
            </w:r>
          </w:p>
        </w:tc>
        <w:tc>
          <w:tcPr>
            <w:tcW w:w="1045" w:type="dxa"/>
            <w:vMerge w:val="continue"/>
            <w:vAlign w:val="center"/>
          </w:tcPr>
          <w:p w14:paraId="7B9624DA">
            <w:pPr>
              <w:adjustRightInd w:val="0"/>
              <w:snapToGrid w:val="0"/>
              <w:jc w:val="center"/>
              <w:rPr>
                <w:color w:val="000000" w:themeColor="text1"/>
                <w:sz w:val="18"/>
                <w:szCs w:val="18"/>
                <w14:textFill>
                  <w14:solidFill>
                    <w14:schemeClr w14:val="tx1"/>
                  </w14:solidFill>
                </w14:textFill>
              </w:rPr>
            </w:pPr>
          </w:p>
        </w:tc>
      </w:tr>
      <w:tr w14:paraId="4C9771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3DD821">
            <w:pPr>
              <w:rPr>
                <w:b/>
                <w:color w:val="000000" w:themeColor="text1"/>
                <w:sz w:val="18"/>
                <w:szCs w:val="18"/>
                <w14:textFill>
                  <w14:solidFill>
                    <w14:schemeClr w14:val="tx1"/>
                  </w14:solidFill>
                </w14:textFill>
              </w:rPr>
            </w:pPr>
          </w:p>
        </w:tc>
        <w:tc>
          <w:tcPr>
            <w:tcW w:w="1226" w:type="dxa"/>
            <w:vMerge w:val="continue"/>
          </w:tcPr>
          <w:p w14:paraId="37C47DE7">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FB470F4">
            <w:pPr>
              <w:adjustRightInd w:val="0"/>
              <w:snapToGrid w:val="0"/>
              <w:rPr>
                <w:rFonts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失效分析</w:t>
            </w:r>
          </w:p>
        </w:tc>
        <w:tc>
          <w:tcPr>
            <w:tcW w:w="1081" w:type="dxa"/>
            <w:shd w:val="clear" w:color="auto" w:fill="auto"/>
            <w:vAlign w:val="center"/>
          </w:tcPr>
          <w:p w14:paraId="6ED5D6E6">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XS1501204</w:t>
            </w:r>
          </w:p>
        </w:tc>
        <w:tc>
          <w:tcPr>
            <w:tcW w:w="709" w:type="dxa"/>
            <w:shd w:val="clear" w:color="auto" w:fill="auto"/>
            <w:vAlign w:val="center"/>
          </w:tcPr>
          <w:p w14:paraId="6A91C0B0">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2D153946">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Merge w:val="continue"/>
            <w:vAlign w:val="center"/>
          </w:tcPr>
          <w:p w14:paraId="649CB457">
            <w:pPr>
              <w:jc w:val="center"/>
              <w:rPr>
                <w:color w:val="000000" w:themeColor="text1"/>
                <w:sz w:val="18"/>
                <w:szCs w:val="18"/>
                <w14:textFill>
                  <w14:solidFill>
                    <w14:schemeClr w14:val="tx1"/>
                  </w14:solidFill>
                </w14:textFill>
              </w:rPr>
            </w:pPr>
          </w:p>
        </w:tc>
      </w:tr>
      <w:tr w14:paraId="055773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32060F1">
            <w:pPr>
              <w:rPr>
                <w:b/>
                <w:color w:val="000000" w:themeColor="text1"/>
                <w:sz w:val="18"/>
                <w:szCs w:val="18"/>
                <w14:textFill>
                  <w14:solidFill>
                    <w14:schemeClr w14:val="tx1"/>
                  </w14:solidFill>
                </w14:textFill>
              </w:rPr>
            </w:pPr>
          </w:p>
        </w:tc>
        <w:tc>
          <w:tcPr>
            <w:tcW w:w="1226" w:type="dxa"/>
            <w:vMerge w:val="restart"/>
            <w:vAlign w:val="center"/>
          </w:tcPr>
          <w:p w14:paraId="188D543E">
            <w:pPr>
              <w:adjustRightInd w:val="0"/>
              <w:snapToGrid w:val="0"/>
              <w:jc w:val="center"/>
              <w:rPr>
                <w:b/>
                <w:i/>
                <w:sz w:val="18"/>
                <w:szCs w:val="18"/>
              </w:rPr>
            </w:pPr>
            <w:r>
              <w:rPr>
                <w:rFonts w:hint="eastAsia"/>
                <w:b/>
                <w:sz w:val="18"/>
                <w:szCs w:val="18"/>
              </w:rPr>
              <w:t>食品药品检测技术及标准化方向</w:t>
            </w:r>
          </w:p>
          <w:p w14:paraId="4FC06764">
            <w:pPr>
              <w:jc w:val="center"/>
              <w:rPr>
                <w:b/>
                <w:color w:val="000000" w:themeColor="text1"/>
                <w:sz w:val="18"/>
                <w:szCs w:val="18"/>
                <w14:textFill>
                  <w14:solidFill>
                    <w14:schemeClr w14:val="tx1"/>
                  </w14:solidFill>
                </w14:textFill>
              </w:rPr>
            </w:pPr>
            <w:r>
              <w:rPr>
                <w:rFonts w:hint="eastAsia"/>
                <w:b/>
                <w:sz w:val="18"/>
                <w:szCs w:val="18"/>
              </w:rPr>
              <w:t>选修课</w:t>
            </w:r>
          </w:p>
        </w:tc>
        <w:tc>
          <w:tcPr>
            <w:tcW w:w="3516" w:type="dxa"/>
            <w:vAlign w:val="center"/>
          </w:tcPr>
          <w:p w14:paraId="6AAF802E">
            <w:pPr>
              <w:adjustRightInd w:val="0"/>
              <w:snapToGrid w:val="0"/>
              <w:rPr>
                <w:rFonts w:hint="eastAsia"/>
                <w:color w:val="000000" w:themeColor="text1"/>
                <w:sz w:val="18"/>
                <w:szCs w:val="18"/>
                <w14:textFill>
                  <w14:solidFill>
                    <w14:schemeClr w14:val="tx1"/>
                  </w14:solidFill>
                </w14:textFill>
              </w:rPr>
            </w:pPr>
            <w:r>
              <w:rPr>
                <w:rFonts w:hint="eastAsia"/>
                <w:sz w:val="18"/>
                <w:szCs w:val="18"/>
                <w:lang w:eastAsia="zh-CN"/>
              </w:rPr>
              <w:t>智能</w:t>
            </w:r>
            <w:r>
              <w:rPr>
                <w:rFonts w:hint="eastAsia"/>
                <w:sz w:val="18"/>
                <w:szCs w:val="18"/>
              </w:rPr>
              <w:t>仪器开发与创新</w:t>
            </w:r>
          </w:p>
        </w:tc>
        <w:tc>
          <w:tcPr>
            <w:tcW w:w="1081" w:type="dxa"/>
            <w:vAlign w:val="center"/>
          </w:tcPr>
          <w:p w14:paraId="070F39AD">
            <w:pPr>
              <w:jc w:val="center"/>
              <w:rPr>
                <w:rFonts w:hint="eastAsia"/>
                <w:sz w:val="18"/>
                <w:szCs w:val="18"/>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vAlign w:val="center"/>
          </w:tcPr>
          <w:p w14:paraId="4A7C0A14">
            <w:pPr>
              <w:jc w:val="center"/>
              <w:rPr>
                <w:rFonts w:hint="eastAsia"/>
                <w:sz w:val="18"/>
                <w:szCs w:val="18"/>
              </w:rPr>
            </w:pPr>
            <w:r>
              <w:rPr>
                <w:rFonts w:hint="eastAsia"/>
                <w:sz w:val="18"/>
                <w:szCs w:val="18"/>
              </w:rPr>
              <w:t>2</w:t>
            </w:r>
          </w:p>
        </w:tc>
        <w:tc>
          <w:tcPr>
            <w:tcW w:w="709" w:type="dxa"/>
            <w:vAlign w:val="center"/>
          </w:tcPr>
          <w:p w14:paraId="66E53B4F">
            <w:pPr>
              <w:jc w:val="center"/>
              <w:rPr>
                <w:rFonts w:hint="eastAsia"/>
                <w:sz w:val="18"/>
                <w:szCs w:val="18"/>
              </w:rPr>
            </w:pPr>
            <w:r>
              <w:rPr>
                <w:rFonts w:hint="eastAsia"/>
                <w:sz w:val="18"/>
                <w:szCs w:val="18"/>
              </w:rPr>
              <w:t>1</w:t>
            </w:r>
          </w:p>
        </w:tc>
        <w:tc>
          <w:tcPr>
            <w:tcW w:w="1045" w:type="dxa"/>
            <w:vMerge w:val="restart"/>
            <w:vAlign w:val="center"/>
          </w:tcPr>
          <w:p w14:paraId="67DF93C1">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63AAD8F9">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p>
        </w:tc>
      </w:tr>
      <w:tr w14:paraId="0E273B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CF967C">
            <w:pPr>
              <w:rPr>
                <w:b/>
                <w:color w:val="000000" w:themeColor="text1"/>
                <w:sz w:val="18"/>
                <w:szCs w:val="18"/>
                <w14:textFill>
                  <w14:solidFill>
                    <w14:schemeClr w14:val="tx1"/>
                  </w14:solidFill>
                </w14:textFill>
              </w:rPr>
            </w:pPr>
          </w:p>
        </w:tc>
        <w:tc>
          <w:tcPr>
            <w:tcW w:w="1226" w:type="dxa"/>
            <w:vMerge w:val="continue"/>
            <w:vAlign w:val="center"/>
          </w:tcPr>
          <w:p w14:paraId="431384AA">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0C58323">
            <w:pPr>
              <w:adjustRightInd w:val="0"/>
              <w:snapToGrid w:val="0"/>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现代食品药品质量检测技术</w:t>
            </w:r>
          </w:p>
        </w:tc>
        <w:tc>
          <w:tcPr>
            <w:tcW w:w="1081" w:type="dxa"/>
            <w:shd w:val="clear" w:color="auto" w:fill="auto"/>
            <w:vAlign w:val="center"/>
          </w:tcPr>
          <w:p w14:paraId="6F0AE37A">
            <w:pPr>
              <w:jc w:val="center"/>
              <w:rPr>
                <w:rFonts w:hint="eastAsia" w:ascii="Times New Roman" w:hAnsi="Times New Roman" w:eastAsia="宋体" w:cs="Times New Roman"/>
                <w:kern w:val="2"/>
                <w:sz w:val="18"/>
                <w:szCs w:val="18"/>
                <w:lang w:val="en-US" w:eastAsia="zh-CN" w:bidi="ar-SA"/>
              </w:rPr>
            </w:pPr>
            <w:r>
              <w:rPr>
                <w:rFonts w:hint="eastAsia"/>
                <w:sz w:val="18"/>
                <w:szCs w:val="18"/>
              </w:rPr>
              <w:t>XS1501205</w:t>
            </w:r>
          </w:p>
        </w:tc>
        <w:tc>
          <w:tcPr>
            <w:tcW w:w="709" w:type="dxa"/>
            <w:shd w:val="clear" w:color="auto" w:fill="auto"/>
            <w:vAlign w:val="center"/>
          </w:tcPr>
          <w:p w14:paraId="73BE7D5A">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3D102B13">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vMerge w:val="continue"/>
            <w:vAlign w:val="center"/>
          </w:tcPr>
          <w:p w14:paraId="48DD66DE">
            <w:pPr>
              <w:jc w:val="center"/>
              <w:rPr>
                <w:color w:val="000000" w:themeColor="text1"/>
                <w:sz w:val="18"/>
                <w:szCs w:val="18"/>
                <w14:textFill>
                  <w14:solidFill>
                    <w14:schemeClr w14:val="tx1"/>
                  </w14:solidFill>
                </w14:textFill>
              </w:rPr>
            </w:pPr>
          </w:p>
        </w:tc>
      </w:tr>
      <w:tr w14:paraId="0DB007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14EE503">
            <w:pPr>
              <w:rPr>
                <w:b/>
                <w:color w:val="000000" w:themeColor="text1"/>
                <w:sz w:val="18"/>
                <w:szCs w:val="18"/>
                <w14:textFill>
                  <w14:solidFill>
                    <w14:schemeClr w14:val="tx1"/>
                  </w14:solidFill>
                </w14:textFill>
              </w:rPr>
            </w:pPr>
          </w:p>
        </w:tc>
        <w:tc>
          <w:tcPr>
            <w:tcW w:w="1226" w:type="dxa"/>
            <w:vMerge w:val="continue"/>
            <w:vAlign w:val="center"/>
          </w:tcPr>
          <w:p w14:paraId="14478823">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343443E">
            <w:pPr>
              <w:adjustRightInd w:val="0"/>
              <w:snapToGrid w:val="0"/>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现代仪器分析</w:t>
            </w:r>
          </w:p>
        </w:tc>
        <w:tc>
          <w:tcPr>
            <w:tcW w:w="1081" w:type="dxa"/>
            <w:shd w:val="clear" w:color="auto" w:fill="auto"/>
            <w:vAlign w:val="center"/>
          </w:tcPr>
          <w:p w14:paraId="38A494CF">
            <w:pPr>
              <w:jc w:val="center"/>
              <w:rPr>
                <w:rFonts w:hint="eastAsia" w:ascii="Times New Roman" w:hAnsi="Times New Roman" w:eastAsia="宋体" w:cs="Times New Roman"/>
                <w:kern w:val="2"/>
                <w:sz w:val="18"/>
                <w:szCs w:val="18"/>
                <w:lang w:val="en-US" w:eastAsia="zh-CN" w:bidi="ar-SA"/>
              </w:rPr>
            </w:pPr>
            <w:r>
              <w:rPr>
                <w:rFonts w:hint="eastAsia"/>
                <w:sz w:val="18"/>
                <w:szCs w:val="18"/>
              </w:rPr>
              <w:t>XS1501206</w:t>
            </w:r>
          </w:p>
        </w:tc>
        <w:tc>
          <w:tcPr>
            <w:tcW w:w="709" w:type="dxa"/>
            <w:shd w:val="clear" w:color="auto" w:fill="auto"/>
            <w:vAlign w:val="center"/>
          </w:tcPr>
          <w:p w14:paraId="10319189">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3A12BA20">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vMerge w:val="continue"/>
            <w:vAlign w:val="center"/>
          </w:tcPr>
          <w:p w14:paraId="2C16FFD8">
            <w:pPr>
              <w:jc w:val="center"/>
              <w:rPr>
                <w:color w:val="000000" w:themeColor="text1"/>
                <w:sz w:val="18"/>
                <w:szCs w:val="18"/>
                <w14:textFill>
                  <w14:solidFill>
                    <w14:schemeClr w14:val="tx1"/>
                  </w14:solidFill>
                </w14:textFill>
              </w:rPr>
            </w:pPr>
          </w:p>
        </w:tc>
      </w:tr>
      <w:tr w14:paraId="2C1A00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1F49346">
            <w:pPr>
              <w:rPr>
                <w:b/>
                <w:color w:val="000000" w:themeColor="text1"/>
                <w:sz w:val="18"/>
                <w:szCs w:val="18"/>
                <w14:textFill>
                  <w14:solidFill>
                    <w14:schemeClr w14:val="tx1"/>
                  </w14:solidFill>
                </w14:textFill>
              </w:rPr>
            </w:pPr>
          </w:p>
        </w:tc>
        <w:tc>
          <w:tcPr>
            <w:tcW w:w="1226" w:type="dxa"/>
            <w:vMerge w:val="restart"/>
            <w:vAlign w:val="center"/>
          </w:tcPr>
          <w:p w14:paraId="55E9F620">
            <w:pPr>
              <w:adjustRightInd w:val="0"/>
              <w:snapToGrid w:val="0"/>
              <w:jc w:val="center"/>
              <w:rPr>
                <w:b/>
                <w:i/>
                <w:sz w:val="18"/>
                <w:szCs w:val="18"/>
              </w:rPr>
            </w:pPr>
            <w:r>
              <w:rPr>
                <w:rFonts w:hint="eastAsia"/>
                <w:b/>
                <w:sz w:val="18"/>
                <w:szCs w:val="18"/>
              </w:rPr>
              <w:t>精密仪器与智能机械装备方向</w:t>
            </w:r>
          </w:p>
          <w:p w14:paraId="32A1DF0A">
            <w:pPr>
              <w:jc w:val="center"/>
              <w:rPr>
                <w:b/>
                <w:color w:val="000000" w:themeColor="text1"/>
                <w:sz w:val="18"/>
                <w:szCs w:val="18"/>
                <w14:textFill>
                  <w14:solidFill>
                    <w14:schemeClr w14:val="tx1"/>
                  </w14:solidFill>
                </w14:textFill>
              </w:rPr>
            </w:pPr>
            <w:r>
              <w:rPr>
                <w:rFonts w:hint="eastAsia"/>
                <w:b/>
                <w:sz w:val="18"/>
                <w:szCs w:val="18"/>
              </w:rPr>
              <w:t>选修课</w:t>
            </w:r>
          </w:p>
        </w:tc>
        <w:tc>
          <w:tcPr>
            <w:tcW w:w="3516" w:type="dxa"/>
            <w:shd w:val="clear" w:color="auto" w:fill="auto"/>
            <w:vAlign w:val="center"/>
          </w:tcPr>
          <w:p w14:paraId="09FD4231">
            <w:pPr>
              <w:adjustRightInd w:val="0"/>
              <w:snapToGrid w:val="0"/>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sz w:val="18"/>
                <w:szCs w:val="18"/>
                <w:lang w:eastAsia="zh-CN"/>
              </w:rPr>
              <w:t>智能</w:t>
            </w:r>
            <w:r>
              <w:rPr>
                <w:rFonts w:hint="eastAsia"/>
                <w:sz w:val="18"/>
                <w:szCs w:val="18"/>
              </w:rPr>
              <w:t>仪器开发与创新</w:t>
            </w:r>
          </w:p>
        </w:tc>
        <w:tc>
          <w:tcPr>
            <w:tcW w:w="1081" w:type="dxa"/>
            <w:shd w:val="clear" w:color="auto" w:fill="auto"/>
            <w:vAlign w:val="center"/>
          </w:tcPr>
          <w:p w14:paraId="7D2E8972">
            <w:pPr>
              <w:jc w:val="center"/>
              <w:rPr>
                <w:rFonts w:hint="eastAsia" w:ascii="Times New Roman" w:hAnsi="Times New Roman" w:eastAsia="宋体" w:cs="Times New Roman"/>
                <w:kern w:val="2"/>
                <w:sz w:val="18"/>
                <w:szCs w:val="18"/>
                <w:lang w:val="en-US" w:eastAsia="zh-CN" w:bidi="ar-SA"/>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bookmarkStart w:id="2" w:name="_GoBack"/>
            <w:bookmarkEnd w:id="2"/>
          </w:p>
        </w:tc>
        <w:tc>
          <w:tcPr>
            <w:tcW w:w="709" w:type="dxa"/>
            <w:shd w:val="clear" w:color="auto" w:fill="auto"/>
            <w:vAlign w:val="center"/>
          </w:tcPr>
          <w:p w14:paraId="0A0B1842">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26B47AD3">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vMerge w:val="restart"/>
            <w:vAlign w:val="center"/>
          </w:tcPr>
          <w:p w14:paraId="17C6F3D4">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45BF98F2">
            <w:pPr>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r>
              <w:rPr>
                <w:color w:val="000000" w:themeColor="text1"/>
                <w:sz w:val="18"/>
                <w:szCs w:val="18"/>
                <w14:textFill>
                  <w14:solidFill>
                    <w14:schemeClr w14:val="tx1"/>
                  </w14:solidFill>
                </w14:textFill>
              </w:rPr>
              <w:t>学分</w:t>
            </w:r>
          </w:p>
        </w:tc>
      </w:tr>
      <w:tr w14:paraId="1B8229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DEF2BD3">
            <w:pPr>
              <w:rPr>
                <w:b/>
                <w:color w:val="000000" w:themeColor="text1"/>
                <w:sz w:val="18"/>
                <w:szCs w:val="18"/>
                <w14:textFill>
                  <w14:solidFill>
                    <w14:schemeClr w14:val="tx1"/>
                  </w14:solidFill>
                </w14:textFill>
              </w:rPr>
            </w:pPr>
          </w:p>
        </w:tc>
        <w:tc>
          <w:tcPr>
            <w:tcW w:w="1226" w:type="dxa"/>
            <w:vMerge w:val="continue"/>
            <w:vAlign w:val="center"/>
          </w:tcPr>
          <w:p w14:paraId="119EF79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11EC965D">
            <w:pP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新能源材料及其检测技术</w:t>
            </w:r>
          </w:p>
        </w:tc>
        <w:tc>
          <w:tcPr>
            <w:tcW w:w="1081" w:type="dxa"/>
            <w:shd w:val="clear" w:color="auto" w:fill="auto"/>
            <w:vAlign w:val="center"/>
          </w:tcPr>
          <w:p w14:paraId="27299D0D">
            <w:pPr>
              <w:jc w:val="center"/>
              <w:rPr>
                <w:rFonts w:hint="eastAsia" w:ascii="Times New Roman" w:hAnsi="Times New Roman" w:eastAsia="宋体" w:cs="Times New Roman"/>
                <w:kern w:val="2"/>
                <w:sz w:val="18"/>
                <w:szCs w:val="18"/>
                <w:lang w:val="en-US" w:eastAsia="zh-CN" w:bidi="ar-SA"/>
              </w:rPr>
            </w:pPr>
            <w:r>
              <w:rPr>
                <w:rFonts w:hint="eastAsia"/>
                <w:sz w:val="18"/>
                <w:szCs w:val="18"/>
              </w:rPr>
              <w:t>XS1501207</w:t>
            </w:r>
          </w:p>
        </w:tc>
        <w:tc>
          <w:tcPr>
            <w:tcW w:w="709" w:type="dxa"/>
            <w:shd w:val="clear" w:color="auto" w:fill="auto"/>
            <w:vAlign w:val="center"/>
          </w:tcPr>
          <w:p w14:paraId="53F4D1D4">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190E9CED">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vMerge w:val="continue"/>
            <w:vAlign w:val="center"/>
          </w:tcPr>
          <w:p w14:paraId="27A0A299">
            <w:pPr>
              <w:jc w:val="center"/>
              <w:rPr>
                <w:color w:val="000000" w:themeColor="text1"/>
                <w:sz w:val="18"/>
                <w:szCs w:val="18"/>
                <w14:textFill>
                  <w14:solidFill>
                    <w14:schemeClr w14:val="tx1"/>
                  </w14:solidFill>
                </w14:textFill>
              </w:rPr>
            </w:pPr>
          </w:p>
        </w:tc>
      </w:tr>
      <w:tr w14:paraId="55F984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6C19E33">
            <w:pPr>
              <w:rPr>
                <w:b/>
                <w:color w:val="000000" w:themeColor="text1"/>
                <w:sz w:val="18"/>
                <w:szCs w:val="18"/>
                <w14:textFill>
                  <w14:solidFill>
                    <w14:schemeClr w14:val="tx1"/>
                  </w14:solidFill>
                </w14:textFill>
              </w:rPr>
            </w:pPr>
          </w:p>
        </w:tc>
        <w:tc>
          <w:tcPr>
            <w:tcW w:w="1226" w:type="dxa"/>
            <w:vMerge w:val="continue"/>
            <w:vAlign w:val="center"/>
          </w:tcPr>
          <w:p w14:paraId="2CCAA611">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A04D823">
            <w:pPr>
              <w:adjustRightInd w:val="0"/>
              <w:snapToGrid w:val="0"/>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机电系统可靠性及故障检测</w:t>
            </w:r>
          </w:p>
        </w:tc>
        <w:tc>
          <w:tcPr>
            <w:tcW w:w="1081" w:type="dxa"/>
            <w:shd w:val="clear" w:color="auto" w:fill="auto"/>
            <w:vAlign w:val="center"/>
          </w:tcPr>
          <w:p w14:paraId="55068E17">
            <w:pPr>
              <w:jc w:val="center"/>
              <w:rPr>
                <w:rFonts w:hint="eastAsia" w:ascii="Times New Roman" w:hAnsi="Times New Roman" w:eastAsia="宋体" w:cs="Times New Roman"/>
                <w:kern w:val="2"/>
                <w:sz w:val="18"/>
                <w:szCs w:val="18"/>
                <w:lang w:val="en-US" w:eastAsia="zh-CN" w:bidi="ar-SA"/>
              </w:rPr>
            </w:pPr>
            <w:r>
              <w:rPr>
                <w:rFonts w:hint="eastAsia"/>
                <w:sz w:val="18"/>
                <w:szCs w:val="18"/>
              </w:rPr>
              <w:t>XS1501208</w:t>
            </w:r>
          </w:p>
        </w:tc>
        <w:tc>
          <w:tcPr>
            <w:tcW w:w="709" w:type="dxa"/>
            <w:shd w:val="clear" w:color="auto" w:fill="auto"/>
            <w:vAlign w:val="center"/>
          </w:tcPr>
          <w:p w14:paraId="17489A89">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3C699810">
            <w:pPr>
              <w:jc w:val="center"/>
              <w:rPr>
                <w:rFonts w:hint="eastAsia" w:ascii="Times New Roman" w:hAnsi="Times New Roman" w:eastAsia="宋体" w:cs="Times New Roman"/>
                <w:kern w:val="2"/>
                <w:sz w:val="18"/>
                <w:szCs w:val="18"/>
                <w:lang w:val="en-US" w:eastAsia="zh-CN" w:bidi="ar-SA"/>
              </w:rPr>
            </w:pPr>
            <w:r>
              <w:rPr>
                <w:rFonts w:hint="eastAsia"/>
                <w:sz w:val="18"/>
                <w:szCs w:val="18"/>
              </w:rPr>
              <w:t>1</w:t>
            </w:r>
          </w:p>
        </w:tc>
        <w:tc>
          <w:tcPr>
            <w:tcW w:w="1045" w:type="dxa"/>
            <w:vMerge w:val="continue"/>
            <w:vAlign w:val="center"/>
          </w:tcPr>
          <w:p w14:paraId="5A2DCAD7">
            <w:pPr>
              <w:jc w:val="center"/>
              <w:rPr>
                <w:color w:val="000000" w:themeColor="text1"/>
                <w:sz w:val="18"/>
                <w:szCs w:val="18"/>
                <w14:textFill>
                  <w14:solidFill>
                    <w14:schemeClr w14:val="tx1"/>
                  </w14:solidFill>
                </w14:textFill>
              </w:rPr>
            </w:pPr>
          </w:p>
        </w:tc>
      </w:tr>
      <w:tr w14:paraId="339312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BCA86C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3352609">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1</w:t>
            </w:r>
          </w:p>
          <w:p w14:paraId="305471FE">
            <w:pPr>
              <w:jc w:val="center"/>
              <w:rPr>
                <w:rFonts w:hint="default"/>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分</w:t>
            </w:r>
          </w:p>
          <w:p w14:paraId="22F189BB">
            <w:pPr>
              <w:jc w:val="center"/>
              <w:rPr>
                <w:b/>
                <w:color w:val="000000" w:themeColor="text1"/>
                <w:sz w:val="18"/>
                <w:szCs w:val="18"/>
                <w14:textFill>
                  <w14:solidFill>
                    <w14:schemeClr w14:val="tx1"/>
                  </w14:solidFill>
                </w14:textFill>
              </w:rPr>
            </w:pPr>
          </w:p>
        </w:tc>
        <w:tc>
          <w:tcPr>
            <w:tcW w:w="1226" w:type="dxa"/>
            <w:vMerge w:val="restart"/>
            <w:vAlign w:val="center"/>
          </w:tcPr>
          <w:p w14:paraId="0911EEF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0245D2E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1ECF739">
            <w:pPr>
              <w:jc w:val="center"/>
              <w:rPr>
                <w:color w:val="000000" w:themeColor="text1"/>
                <w:sz w:val="18"/>
                <w:szCs w:val="18"/>
                <w14:textFill>
                  <w14:solidFill>
                    <w14:schemeClr w14:val="tx1"/>
                  </w14:solidFill>
                </w14:textFill>
              </w:rPr>
            </w:pPr>
          </w:p>
        </w:tc>
        <w:tc>
          <w:tcPr>
            <w:tcW w:w="709" w:type="dxa"/>
            <w:vAlign w:val="center"/>
          </w:tcPr>
          <w:p w14:paraId="3E5CAA36">
            <w:pPr>
              <w:jc w:val="center"/>
              <w:rPr>
                <w:color w:val="000000" w:themeColor="text1"/>
                <w:sz w:val="18"/>
                <w:szCs w:val="18"/>
                <w14:textFill>
                  <w14:solidFill>
                    <w14:schemeClr w14:val="tx1"/>
                  </w14:solidFill>
                </w14:textFill>
              </w:rPr>
            </w:pPr>
          </w:p>
        </w:tc>
        <w:tc>
          <w:tcPr>
            <w:tcW w:w="709" w:type="dxa"/>
            <w:vAlign w:val="center"/>
          </w:tcPr>
          <w:p w14:paraId="3C7FEE7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B0D4B80">
            <w:pPr>
              <w:jc w:val="center"/>
              <w:rPr>
                <w:i/>
                <w:color w:val="FF0000"/>
                <w:sz w:val="18"/>
                <w:szCs w:val="18"/>
              </w:rPr>
            </w:pPr>
          </w:p>
        </w:tc>
      </w:tr>
      <w:tr w14:paraId="5679AA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31" w:hRule="atLeast"/>
          <w:jc w:val="center"/>
        </w:trPr>
        <w:tc>
          <w:tcPr>
            <w:tcW w:w="571" w:type="dxa"/>
            <w:vMerge w:val="continue"/>
            <w:vAlign w:val="center"/>
          </w:tcPr>
          <w:p w14:paraId="3379ABA6">
            <w:pPr>
              <w:jc w:val="center"/>
              <w:rPr>
                <w:b/>
                <w:color w:val="000000" w:themeColor="text1"/>
                <w:sz w:val="18"/>
                <w:szCs w:val="18"/>
                <w14:textFill>
                  <w14:solidFill>
                    <w14:schemeClr w14:val="tx1"/>
                  </w14:solidFill>
                </w14:textFill>
              </w:rPr>
            </w:pPr>
          </w:p>
        </w:tc>
        <w:tc>
          <w:tcPr>
            <w:tcW w:w="1226" w:type="dxa"/>
            <w:vMerge w:val="continue"/>
            <w:vAlign w:val="center"/>
          </w:tcPr>
          <w:p w14:paraId="58C1C455">
            <w:pPr>
              <w:jc w:val="center"/>
              <w:rPr>
                <w:b/>
                <w:color w:val="000000" w:themeColor="text1"/>
                <w:sz w:val="18"/>
                <w:szCs w:val="18"/>
                <w14:textFill>
                  <w14:solidFill>
                    <w14:schemeClr w14:val="tx1"/>
                  </w14:solidFill>
                </w14:textFill>
              </w:rPr>
            </w:pPr>
          </w:p>
        </w:tc>
        <w:tc>
          <w:tcPr>
            <w:tcW w:w="3516" w:type="dxa"/>
            <w:vAlign w:val="center"/>
          </w:tcPr>
          <w:p w14:paraId="7B4C6D8F">
            <w:pP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产教融合</w:t>
            </w:r>
            <w:r>
              <w:rPr>
                <w:color w:val="000000" w:themeColor="text1"/>
                <w:sz w:val="18"/>
                <w:szCs w:val="18"/>
                <w14:textFill>
                  <w14:solidFill>
                    <w14:schemeClr w14:val="tx1"/>
                  </w14:solidFill>
                </w14:textFill>
              </w:rPr>
              <w:t>实践活动</w:t>
            </w:r>
          </w:p>
        </w:tc>
        <w:tc>
          <w:tcPr>
            <w:tcW w:w="1081" w:type="dxa"/>
            <w:vAlign w:val="center"/>
          </w:tcPr>
          <w:p w14:paraId="772A1006">
            <w:pPr>
              <w:jc w:val="center"/>
              <w:rPr>
                <w:color w:val="000000" w:themeColor="text1"/>
                <w:sz w:val="18"/>
                <w:szCs w:val="18"/>
                <w14:textFill>
                  <w14:solidFill>
                    <w14:schemeClr w14:val="tx1"/>
                  </w14:solidFill>
                </w14:textFill>
              </w:rPr>
            </w:pPr>
          </w:p>
        </w:tc>
        <w:tc>
          <w:tcPr>
            <w:tcW w:w="709" w:type="dxa"/>
            <w:vAlign w:val="center"/>
          </w:tcPr>
          <w:p w14:paraId="74ADC54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27EF6BF">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1-6</w:t>
            </w:r>
          </w:p>
        </w:tc>
        <w:tc>
          <w:tcPr>
            <w:tcW w:w="1045" w:type="dxa"/>
            <w:vMerge w:val="continue"/>
            <w:vAlign w:val="center"/>
          </w:tcPr>
          <w:p w14:paraId="4E6CF24E">
            <w:pPr>
              <w:jc w:val="center"/>
              <w:rPr>
                <w:color w:val="000000" w:themeColor="text1"/>
                <w:sz w:val="18"/>
                <w:szCs w:val="18"/>
                <w14:textFill>
                  <w14:solidFill>
                    <w14:schemeClr w14:val="tx1"/>
                  </w14:solidFill>
                </w14:textFill>
              </w:rPr>
            </w:pPr>
          </w:p>
        </w:tc>
      </w:tr>
      <w:tr w14:paraId="5EF62F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0E8F2DD">
            <w:pPr>
              <w:rPr>
                <w:b/>
                <w:color w:val="000000" w:themeColor="text1"/>
                <w:sz w:val="18"/>
                <w:szCs w:val="18"/>
                <w14:textFill>
                  <w14:solidFill>
                    <w14:schemeClr w14:val="tx1"/>
                  </w14:solidFill>
                </w14:textFill>
              </w:rPr>
            </w:pPr>
          </w:p>
        </w:tc>
        <w:tc>
          <w:tcPr>
            <w:tcW w:w="1226" w:type="dxa"/>
            <w:vMerge w:val="restart"/>
            <w:vAlign w:val="center"/>
          </w:tcPr>
          <w:p w14:paraId="4115560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D5D288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5FF0A16A">
            <w:pPr>
              <w:jc w:val="center"/>
              <w:rPr>
                <w:color w:val="000000" w:themeColor="text1"/>
                <w:sz w:val="18"/>
                <w:szCs w:val="18"/>
                <w14:textFill>
                  <w14:solidFill>
                    <w14:schemeClr w14:val="tx1"/>
                  </w14:solidFill>
                </w14:textFill>
              </w:rPr>
            </w:pPr>
          </w:p>
        </w:tc>
        <w:tc>
          <w:tcPr>
            <w:tcW w:w="709" w:type="dxa"/>
            <w:vAlign w:val="center"/>
          </w:tcPr>
          <w:p w14:paraId="62BD4994">
            <w:pPr>
              <w:jc w:val="center"/>
              <w:rPr>
                <w:color w:val="000000" w:themeColor="text1"/>
                <w:sz w:val="18"/>
                <w:szCs w:val="18"/>
                <w14:textFill>
                  <w14:solidFill>
                    <w14:schemeClr w14:val="tx1"/>
                  </w14:solidFill>
                </w14:textFill>
              </w:rPr>
            </w:pPr>
          </w:p>
        </w:tc>
        <w:tc>
          <w:tcPr>
            <w:tcW w:w="709" w:type="dxa"/>
            <w:vAlign w:val="center"/>
          </w:tcPr>
          <w:p w14:paraId="6697FA4C">
            <w:pPr>
              <w:jc w:val="center"/>
              <w:rPr>
                <w:rFonts w:hint="default" w:eastAsia="宋体"/>
                <w:i w:val="0"/>
                <w:iCs/>
                <w:color w:val="auto"/>
                <w:sz w:val="18"/>
                <w:szCs w:val="18"/>
                <w:lang w:val="en-US" w:eastAsia="zh-CN"/>
              </w:rPr>
            </w:pPr>
            <w:r>
              <w:rPr>
                <w:rFonts w:hint="eastAsia"/>
                <w:i w:val="0"/>
                <w:iCs/>
                <w:color w:val="auto"/>
                <w:sz w:val="18"/>
                <w:szCs w:val="18"/>
                <w:lang w:val="en-US" w:eastAsia="zh-CN"/>
              </w:rPr>
              <w:t>3</w:t>
            </w:r>
          </w:p>
        </w:tc>
        <w:tc>
          <w:tcPr>
            <w:tcW w:w="1045" w:type="dxa"/>
            <w:vMerge w:val="restart"/>
            <w:vAlign w:val="center"/>
          </w:tcPr>
          <w:p w14:paraId="72505C9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6B0F49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6F1C4D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C5A6CD">
            <w:pPr>
              <w:rPr>
                <w:b/>
                <w:color w:val="000000" w:themeColor="text1"/>
                <w:sz w:val="18"/>
                <w:szCs w:val="18"/>
                <w14:textFill>
                  <w14:solidFill>
                    <w14:schemeClr w14:val="tx1"/>
                  </w14:solidFill>
                </w14:textFill>
              </w:rPr>
            </w:pPr>
          </w:p>
        </w:tc>
        <w:tc>
          <w:tcPr>
            <w:tcW w:w="1226" w:type="dxa"/>
            <w:vMerge w:val="continue"/>
            <w:vAlign w:val="center"/>
          </w:tcPr>
          <w:p w14:paraId="7D34238C">
            <w:pPr>
              <w:jc w:val="center"/>
              <w:rPr>
                <w:b/>
                <w:color w:val="000000" w:themeColor="text1"/>
                <w:sz w:val="18"/>
                <w:szCs w:val="18"/>
                <w14:textFill>
                  <w14:solidFill>
                    <w14:schemeClr w14:val="tx1"/>
                  </w14:solidFill>
                </w14:textFill>
              </w:rPr>
            </w:pPr>
          </w:p>
        </w:tc>
        <w:tc>
          <w:tcPr>
            <w:tcW w:w="3516" w:type="dxa"/>
            <w:vAlign w:val="center"/>
          </w:tcPr>
          <w:p w14:paraId="66E4F37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2C2B4A99">
            <w:pPr>
              <w:jc w:val="center"/>
              <w:rPr>
                <w:color w:val="000000" w:themeColor="text1"/>
                <w:sz w:val="18"/>
                <w:szCs w:val="18"/>
                <w14:textFill>
                  <w14:solidFill>
                    <w14:schemeClr w14:val="tx1"/>
                  </w14:solidFill>
                </w14:textFill>
              </w:rPr>
            </w:pPr>
          </w:p>
        </w:tc>
        <w:tc>
          <w:tcPr>
            <w:tcW w:w="709" w:type="dxa"/>
            <w:vAlign w:val="center"/>
          </w:tcPr>
          <w:p w14:paraId="5E99C4C7">
            <w:pPr>
              <w:jc w:val="center"/>
              <w:rPr>
                <w:color w:val="000000" w:themeColor="text1"/>
                <w:sz w:val="18"/>
                <w:szCs w:val="18"/>
                <w14:textFill>
                  <w14:solidFill>
                    <w14:schemeClr w14:val="tx1"/>
                  </w14:solidFill>
                </w14:textFill>
              </w:rPr>
            </w:pPr>
          </w:p>
        </w:tc>
        <w:tc>
          <w:tcPr>
            <w:tcW w:w="709" w:type="dxa"/>
            <w:vAlign w:val="center"/>
          </w:tcPr>
          <w:p w14:paraId="72AD4151">
            <w:pPr>
              <w:jc w:val="center"/>
              <w:rPr>
                <w:rFonts w:hint="default" w:eastAsia="宋体"/>
                <w:i w:val="0"/>
                <w:iCs/>
                <w:color w:val="auto"/>
                <w:sz w:val="18"/>
                <w:szCs w:val="18"/>
                <w:lang w:val="en-US" w:eastAsia="zh-CN"/>
              </w:rPr>
            </w:pPr>
            <w:r>
              <w:rPr>
                <w:rFonts w:hint="eastAsia"/>
                <w:i w:val="0"/>
                <w:iCs/>
                <w:color w:val="auto"/>
                <w:sz w:val="18"/>
                <w:szCs w:val="18"/>
                <w:lang w:val="en-US" w:eastAsia="zh-CN"/>
              </w:rPr>
              <w:t>3</w:t>
            </w:r>
          </w:p>
        </w:tc>
        <w:tc>
          <w:tcPr>
            <w:tcW w:w="1045" w:type="dxa"/>
            <w:vMerge w:val="continue"/>
            <w:vAlign w:val="center"/>
          </w:tcPr>
          <w:p w14:paraId="19FD859A">
            <w:pPr>
              <w:jc w:val="center"/>
              <w:rPr>
                <w:color w:val="000000" w:themeColor="text1"/>
                <w:sz w:val="18"/>
                <w:szCs w:val="18"/>
                <w14:textFill>
                  <w14:solidFill>
                    <w14:schemeClr w14:val="tx1"/>
                  </w14:solidFill>
                </w14:textFill>
              </w:rPr>
            </w:pPr>
          </w:p>
        </w:tc>
      </w:tr>
      <w:tr w14:paraId="56E703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A22D9A">
            <w:pPr>
              <w:rPr>
                <w:b/>
                <w:color w:val="000000" w:themeColor="text1"/>
                <w:sz w:val="18"/>
                <w:szCs w:val="18"/>
                <w14:textFill>
                  <w14:solidFill>
                    <w14:schemeClr w14:val="tx1"/>
                  </w14:solidFill>
                </w14:textFill>
              </w:rPr>
            </w:pPr>
          </w:p>
        </w:tc>
        <w:tc>
          <w:tcPr>
            <w:tcW w:w="1226" w:type="dxa"/>
            <w:vMerge w:val="continue"/>
            <w:vAlign w:val="center"/>
          </w:tcPr>
          <w:p w14:paraId="230DABBF">
            <w:pPr>
              <w:jc w:val="center"/>
              <w:rPr>
                <w:b/>
                <w:color w:val="000000" w:themeColor="text1"/>
                <w:sz w:val="18"/>
                <w:szCs w:val="18"/>
                <w14:textFill>
                  <w14:solidFill>
                    <w14:schemeClr w14:val="tx1"/>
                  </w14:solidFill>
                </w14:textFill>
              </w:rPr>
            </w:pPr>
          </w:p>
        </w:tc>
        <w:tc>
          <w:tcPr>
            <w:tcW w:w="3516" w:type="dxa"/>
            <w:vAlign w:val="center"/>
          </w:tcPr>
          <w:p w14:paraId="11B0EFA8">
            <w:pPr>
              <w:rPr>
                <w:sz w:val="18"/>
                <w:szCs w:val="18"/>
              </w:rPr>
            </w:pPr>
            <w:r>
              <w:rPr>
                <w:sz w:val="18"/>
                <w:szCs w:val="18"/>
              </w:rPr>
              <w:t>论文中期进展报告</w:t>
            </w:r>
          </w:p>
        </w:tc>
        <w:tc>
          <w:tcPr>
            <w:tcW w:w="1081" w:type="dxa"/>
            <w:vAlign w:val="center"/>
          </w:tcPr>
          <w:p w14:paraId="42FBBEC9">
            <w:pPr>
              <w:jc w:val="center"/>
              <w:rPr>
                <w:color w:val="000000" w:themeColor="text1"/>
                <w:sz w:val="18"/>
                <w:szCs w:val="18"/>
                <w14:textFill>
                  <w14:solidFill>
                    <w14:schemeClr w14:val="tx1"/>
                  </w14:solidFill>
                </w14:textFill>
              </w:rPr>
            </w:pPr>
          </w:p>
        </w:tc>
        <w:tc>
          <w:tcPr>
            <w:tcW w:w="709" w:type="dxa"/>
            <w:vAlign w:val="center"/>
          </w:tcPr>
          <w:p w14:paraId="469DFCBB">
            <w:pPr>
              <w:jc w:val="center"/>
              <w:rPr>
                <w:color w:val="000000" w:themeColor="text1"/>
                <w:sz w:val="18"/>
                <w:szCs w:val="18"/>
                <w14:textFill>
                  <w14:solidFill>
                    <w14:schemeClr w14:val="tx1"/>
                  </w14:solidFill>
                </w14:textFill>
              </w:rPr>
            </w:pPr>
          </w:p>
        </w:tc>
        <w:tc>
          <w:tcPr>
            <w:tcW w:w="709" w:type="dxa"/>
            <w:vAlign w:val="center"/>
          </w:tcPr>
          <w:p w14:paraId="0BF91C6F">
            <w:pPr>
              <w:jc w:val="center"/>
              <w:rPr>
                <w:rFonts w:hint="eastAsia" w:eastAsia="宋体"/>
                <w:i w:val="0"/>
                <w:iCs/>
                <w:color w:val="auto"/>
                <w:sz w:val="18"/>
                <w:szCs w:val="18"/>
                <w:lang w:eastAsia="zh-CN"/>
              </w:rPr>
            </w:pPr>
            <w:r>
              <w:rPr>
                <w:rFonts w:hint="eastAsia"/>
                <w:i w:val="0"/>
                <w:iCs/>
                <w:color w:val="auto"/>
                <w:sz w:val="18"/>
                <w:szCs w:val="18"/>
                <w:lang w:val="en-US" w:eastAsia="zh-CN"/>
              </w:rPr>
              <w:t>5</w:t>
            </w:r>
          </w:p>
        </w:tc>
        <w:tc>
          <w:tcPr>
            <w:tcW w:w="1045" w:type="dxa"/>
            <w:vMerge w:val="continue"/>
          </w:tcPr>
          <w:p w14:paraId="712EE46C">
            <w:pPr>
              <w:jc w:val="center"/>
              <w:rPr>
                <w:color w:val="000000" w:themeColor="text1"/>
                <w:sz w:val="18"/>
                <w:szCs w:val="18"/>
                <w14:textFill>
                  <w14:solidFill>
                    <w14:schemeClr w14:val="tx1"/>
                  </w14:solidFill>
                </w14:textFill>
              </w:rPr>
            </w:pPr>
          </w:p>
        </w:tc>
      </w:tr>
      <w:tr w14:paraId="0F8116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0C50B6">
            <w:pPr>
              <w:rPr>
                <w:b/>
                <w:color w:val="000000" w:themeColor="text1"/>
                <w:sz w:val="18"/>
                <w:szCs w:val="18"/>
                <w14:textFill>
                  <w14:solidFill>
                    <w14:schemeClr w14:val="tx1"/>
                  </w14:solidFill>
                </w14:textFill>
              </w:rPr>
            </w:pPr>
          </w:p>
        </w:tc>
        <w:tc>
          <w:tcPr>
            <w:tcW w:w="1226" w:type="dxa"/>
            <w:vMerge w:val="continue"/>
            <w:vAlign w:val="center"/>
          </w:tcPr>
          <w:p w14:paraId="36DA4088">
            <w:pPr>
              <w:jc w:val="center"/>
              <w:rPr>
                <w:b/>
                <w:color w:val="000000" w:themeColor="text1"/>
                <w:sz w:val="18"/>
                <w:szCs w:val="18"/>
                <w14:textFill>
                  <w14:solidFill>
                    <w14:schemeClr w14:val="tx1"/>
                  </w14:solidFill>
                </w14:textFill>
              </w:rPr>
            </w:pPr>
          </w:p>
        </w:tc>
        <w:tc>
          <w:tcPr>
            <w:tcW w:w="3516" w:type="dxa"/>
            <w:vAlign w:val="center"/>
          </w:tcPr>
          <w:p w14:paraId="7562E14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39797CB5">
            <w:pPr>
              <w:jc w:val="center"/>
              <w:rPr>
                <w:color w:val="000000" w:themeColor="text1"/>
                <w:sz w:val="18"/>
                <w:szCs w:val="18"/>
                <w14:textFill>
                  <w14:solidFill>
                    <w14:schemeClr w14:val="tx1"/>
                  </w14:solidFill>
                </w14:textFill>
              </w:rPr>
            </w:pPr>
          </w:p>
        </w:tc>
        <w:tc>
          <w:tcPr>
            <w:tcW w:w="709" w:type="dxa"/>
            <w:vAlign w:val="center"/>
          </w:tcPr>
          <w:p w14:paraId="4BBA813E">
            <w:pPr>
              <w:jc w:val="center"/>
              <w:rPr>
                <w:color w:val="000000" w:themeColor="text1"/>
                <w:sz w:val="18"/>
                <w:szCs w:val="18"/>
                <w14:textFill>
                  <w14:solidFill>
                    <w14:schemeClr w14:val="tx1"/>
                  </w14:solidFill>
                </w14:textFill>
              </w:rPr>
            </w:pPr>
          </w:p>
        </w:tc>
        <w:tc>
          <w:tcPr>
            <w:tcW w:w="709" w:type="dxa"/>
            <w:vAlign w:val="center"/>
          </w:tcPr>
          <w:p w14:paraId="190A78FC">
            <w:pPr>
              <w:jc w:val="center"/>
              <w:rPr>
                <w:rFonts w:hint="eastAsia" w:eastAsia="宋体"/>
                <w:i w:val="0"/>
                <w:iCs/>
                <w:color w:val="auto"/>
                <w:sz w:val="18"/>
                <w:szCs w:val="18"/>
                <w:lang w:eastAsia="zh-CN"/>
              </w:rPr>
            </w:pPr>
            <w:r>
              <w:rPr>
                <w:rFonts w:hint="eastAsia"/>
                <w:i w:val="0"/>
                <w:iCs/>
                <w:color w:val="auto"/>
                <w:sz w:val="18"/>
                <w:szCs w:val="18"/>
                <w:lang w:val="en-US" w:eastAsia="zh-CN"/>
              </w:rPr>
              <w:t>6</w:t>
            </w:r>
          </w:p>
        </w:tc>
        <w:tc>
          <w:tcPr>
            <w:tcW w:w="1045" w:type="dxa"/>
            <w:vMerge w:val="continue"/>
          </w:tcPr>
          <w:p w14:paraId="61C21476">
            <w:pPr>
              <w:jc w:val="center"/>
              <w:rPr>
                <w:color w:val="000000" w:themeColor="text1"/>
                <w:sz w:val="18"/>
                <w:szCs w:val="18"/>
                <w14:textFill>
                  <w14:solidFill>
                    <w14:schemeClr w14:val="tx1"/>
                  </w14:solidFill>
                </w14:textFill>
              </w:rPr>
            </w:pPr>
          </w:p>
        </w:tc>
      </w:tr>
      <w:tr w14:paraId="3D5DD4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ED4971">
            <w:pPr>
              <w:rPr>
                <w:color w:val="000000" w:themeColor="text1"/>
                <w:sz w:val="18"/>
                <w:szCs w:val="18"/>
                <w14:textFill>
                  <w14:solidFill>
                    <w14:schemeClr w14:val="tx1"/>
                  </w14:solidFill>
                </w14:textFill>
              </w:rPr>
            </w:pPr>
          </w:p>
        </w:tc>
        <w:tc>
          <w:tcPr>
            <w:tcW w:w="1226" w:type="dxa"/>
            <w:vMerge w:val="continue"/>
          </w:tcPr>
          <w:p w14:paraId="425FAFC2">
            <w:pPr>
              <w:jc w:val="center"/>
              <w:rPr>
                <w:color w:val="000000" w:themeColor="text1"/>
                <w:sz w:val="18"/>
                <w:szCs w:val="18"/>
                <w14:textFill>
                  <w14:solidFill>
                    <w14:schemeClr w14:val="tx1"/>
                  </w14:solidFill>
                </w14:textFill>
              </w:rPr>
            </w:pPr>
          </w:p>
        </w:tc>
        <w:tc>
          <w:tcPr>
            <w:tcW w:w="3516" w:type="dxa"/>
            <w:vAlign w:val="center"/>
          </w:tcPr>
          <w:p w14:paraId="02B936C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3B50720B">
            <w:pPr>
              <w:jc w:val="center"/>
              <w:rPr>
                <w:color w:val="000000" w:themeColor="text1"/>
                <w:sz w:val="18"/>
                <w:szCs w:val="18"/>
                <w14:textFill>
                  <w14:solidFill>
                    <w14:schemeClr w14:val="tx1"/>
                  </w14:solidFill>
                </w14:textFill>
              </w:rPr>
            </w:pPr>
          </w:p>
        </w:tc>
        <w:tc>
          <w:tcPr>
            <w:tcW w:w="709" w:type="dxa"/>
            <w:vAlign w:val="center"/>
          </w:tcPr>
          <w:p w14:paraId="15A7E91C">
            <w:pPr>
              <w:jc w:val="center"/>
              <w:rPr>
                <w:color w:val="000000" w:themeColor="text1"/>
                <w:sz w:val="18"/>
                <w:szCs w:val="18"/>
                <w14:textFill>
                  <w14:solidFill>
                    <w14:schemeClr w14:val="tx1"/>
                  </w14:solidFill>
                </w14:textFill>
              </w:rPr>
            </w:pPr>
          </w:p>
        </w:tc>
        <w:tc>
          <w:tcPr>
            <w:tcW w:w="709" w:type="dxa"/>
            <w:vAlign w:val="center"/>
          </w:tcPr>
          <w:p w14:paraId="7F4AD93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193322CE">
            <w:pPr>
              <w:jc w:val="center"/>
              <w:rPr>
                <w:color w:val="000000" w:themeColor="text1"/>
                <w:sz w:val="18"/>
                <w:szCs w:val="18"/>
                <w14:textFill>
                  <w14:solidFill>
                    <w14:schemeClr w14:val="tx1"/>
                  </w14:solidFill>
                </w14:textFill>
              </w:rPr>
            </w:pPr>
          </w:p>
        </w:tc>
      </w:tr>
      <w:tr w14:paraId="157001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BD7823">
            <w:pPr>
              <w:rPr>
                <w:color w:val="000000" w:themeColor="text1"/>
                <w:sz w:val="18"/>
                <w:szCs w:val="18"/>
                <w14:textFill>
                  <w14:solidFill>
                    <w14:schemeClr w14:val="tx1"/>
                  </w14:solidFill>
                </w14:textFill>
              </w:rPr>
            </w:pPr>
          </w:p>
        </w:tc>
        <w:tc>
          <w:tcPr>
            <w:tcW w:w="1226" w:type="dxa"/>
            <w:vMerge w:val="continue"/>
          </w:tcPr>
          <w:p w14:paraId="04B0E7D2">
            <w:pPr>
              <w:jc w:val="center"/>
              <w:rPr>
                <w:color w:val="000000" w:themeColor="text1"/>
                <w:sz w:val="18"/>
                <w:szCs w:val="18"/>
                <w14:textFill>
                  <w14:solidFill>
                    <w14:schemeClr w14:val="tx1"/>
                  </w14:solidFill>
                </w14:textFill>
              </w:rPr>
            </w:pPr>
          </w:p>
        </w:tc>
        <w:tc>
          <w:tcPr>
            <w:tcW w:w="3516" w:type="dxa"/>
            <w:vAlign w:val="center"/>
          </w:tcPr>
          <w:p w14:paraId="1482191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E3A23C1">
            <w:pPr>
              <w:jc w:val="center"/>
              <w:rPr>
                <w:color w:val="000000" w:themeColor="text1"/>
                <w:sz w:val="18"/>
                <w:szCs w:val="18"/>
                <w14:textFill>
                  <w14:solidFill>
                    <w14:schemeClr w14:val="tx1"/>
                  </w14:solidFill>
                </w14:textFill>
              </w:rPr>
            </w:pPr>
          </w:p>
        </w:tc>
        <w:tc>
          <w:tcPr>
            <w:tcW w:w="709" w:type="dxa"/>
            <w:vAlign w:val="center"/>
          </w:tcPr>
          <w:p w14:paraId="33326CE7">
            <w:pPr>
              <w:jc w:val="center"/>
              <w:rPr>
                <w:color w:val="000000" w:themeColor="text1"/>
                <w:sz w:val="18"/>
                <w:szCs w:val="18"/>
                <w14:textFill>
                  <w14:solidFill>
                    <w14:schemeClr w14:val="tx1"/>
                  </w14:solidFill>
                </w14:textFill>
              </w:rPr>
            </w:pPr>
          </w:p>
        </w:tc>
        <w:tc>
          <w:tcPr>
            <w:tcW w:w="709" w:type="dxa"/>
            <w:vAlign w:val="center"/>
          </w:tcPr>
          <w:p w14:paraId="5785F39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E2D6D91">
            <w:pPr>
              <w:jc w:val="center"/>
              <w:rPr>
                <w:color w:val="000000" w:themeColor="text1"/>
                <w:sz w:val="18"/>
                <w:szCs w:val="18"/>
                <w14:textFill>
                  <w14:solidFill>
                    <w14:schemeClr w14:val="tx1"/>
                  </w14:solidFill>
                </w14:textFill>
              </w:rPr>
            </w:pPr>
          </w:p>
        </w:tc>
      </w:tr>
    </w:tbl>
    <w:p w14:paraId="14FE968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17CEE51C">
      <w:pPr>
        <w:spacing w:line="440" w:lineRule="exact"/>
        <w:ind w:firstLine="560" w:firstLineChars="200"/>
        <w:rPr>
          <w:rFonts w:eastAsia="黑体"/>
          <w:bCs/>
          <w:sz w:val="28"/>
          <w:szCs w:val="28"/>
        </w:rPr>
      </w:pPr>
    </w:p>
    <w:p w14:paraId="79B6DC94">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33077BF">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bookmarkEnd w:id="0"/>
    <w:bookmarkEnd w:id="1"/>
    <w:p w14:paraId="1D2113C0">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48C9B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781"/>
    <w:rsid w:val="00222D16"/>
    <w:rsid w:val="00743781"/>
    <w:rsid w:val="009D7250"/>
    <w:rsid w:val="00A12AAA"/>
    <w:rsid w:val="00AD05A5"/>
    <w:rsid w:val="00B511FE"/>
    <w:rsid w:val="00D14EDA"/>
    <w:rsid w:val="00D91CD4"/>
    <w:rsid w:val="011A314B"/>
    <w:rsid w:val="019539F8"/>
    <w:rsid w:val="05724EDE"/>
    <w:rsid w:val="098F7F23"/>
    <w:rsid w:val="0D9D5643"/>
    <w:rsid w:val="17B84AE8"/>
    <w:rsid w:val="180513B0"/>
    <w:rsid w:val="191C5944"/>
    <w:rsid w:val="19E424E4"/>
    <w:rsid w:val="1AA86BC6"/>
    <w:rsid w:val="1BA15E32"/>
    <w:rsid w:val="233B7BD9"/>
    <w:rsid w:val="24C022B3"/>
    <w:rsid w:val="255319AC"/>
    <w:rsid w:val="285443B9"/>
    <w:rsid w:val="29896C38"/>
    <w:rsid w:val="32D06D32"/>
    <w:rsid w:val="33A11C48"/>
    <w:rsid w:val="343E1A7A"/>
    <w:rsid w:val="354C4290"/>
    <w:rsid w:val="35D82334"/>
    <w:rsid w:val="43B54F5E"/>
    <w:rsid w:val="454F7F8B"/>
    <w:rsid w:val="45E5269D"/>
    <w:rsid w:val="4A8259E4"/>
    <w:rsid w:val="4BCD7E5B"/>
    <w:rsid w:val="51F7178E"/>
    <w:rsid w:val="523960A8"/>
    <w:rsid w:val="56075ACC"/>
    <w:rsid w:val="632919C3"/>
    <w:rsid w:val="73685BF0"/>
    <w:rsid w:val="76E01F41"/>
    <w:rsid w:val="77E67028"/>
    <w:rsid w:val="79566C56"/>
    <w:rsid w:val="79986B03"/>
    <w:rsid w:val="7A4822D7"/>
    <w:rsid w:val="7E9262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kern w:val="0"/>
      <w:sz w:val="24"/>
    </w:rPr>
  </w:style>
  <w:style w:type="character" w:customStyle="1" w:styleId="7">
    <w:name w:val="页眉 Char"/>
    <w:basedOn w:val="6"/>
    <w:link w:val="3"/>
    <w:qFormat/>
    <w:uiPriority w:val="0"/>
    <w:rPr>
      <w:rFonts w:ascii="Times New Roman" w:hAnsi="Times New Roman" w:eastAsia="宋体" w:cs="Times New Roman"/>
      <w:kern w:val="2"/>
      <w:sz w:val="18"/>
      <w:szCs w:val="18"/>
    </w:rPr>
  </w:style>
  <w:style w:type="character" w:customStyle="1" w:styleId="8">
    <w:name w:val="页脚 Char"/>
    <w:basedOn w:val="6"/>
    <w:link w:val="2"/>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 </Company>
  <Pages>7</Pages>
  <Words>5083</Words>
  <Characters>5324</Characters>
  <Lines>4</Lines>
  <Paragraphs>10</Paragraphs>
  <TotalTime>0</TotalTime>
  <ScaleCrop>false</ScaleCrop>
  <LinksUpToDate>false</LinksUpToDate>
  <CharactersWithSpaces>5342</CharactersWithSpaces>
  <Application>WPS Office_12.1.0.21541_F1E327BC-269C-435d-A152-05C5408002CA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2025-04-28T08:17:00Z</dcterms:created>
  <dc:creator>Administrator</dc:creator>
  <cp:lastModifiedBy>许诺/ty</cp:lastModifiedBy>
  <dcterms:modified xsi:type="dcterms:W3CDTF">2025-06-24T02:45:31Z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eyJoZGlkIjoiMjgwZjczMGExMzViMTFhYzEzZjJjYmUxOTlkOTA2MzQiLCJ1c2VySWQiOiIzNjQ0ODYzMjMifQ==</vt:lpwstr>
  </property>
  <property fmtid="{D5CDD505-2E9C-101B-9397-08002B2CF9AE}" pid="4" name="ICV">
    <vt:lpwstr>E6090F6EB18647C4AB376EDF43F3E1CD_12</vt:lpwstr>
  </property>
</Properties>
</file>