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9EA1D">
      <w:pPr>
        <w:ind w:left="321" w:leftChars="153" w:right="227"/>
        <w:jc w:val="center"/>
        <w:rPr>
          <w:rFonts w:eastAsia="黑体"/>
          <w:b/>
          <w:bCs/>
          <w:sz w:val="36"/>
          <w:szCs w:val="36"/>
        </w:rPr>
      </w:pPr>
      <w:r>
        <w:rPr>
          <w:rFonts w:eastAsia="黑体"/>
          <w:b/>
          <w:bCs/>
          <w:sz w:val="36"/>
          <w:szCs w:val="36"/>
          <w:u w:val="single"/>
        </w:rPr>
        <w:t>环境光生物化学</w:t>
      </w:r>
      <w:r>
        <w:rPr>
          <w:rFonts w:eastAsia="黑体"/>
          <w:b/>
          <w:bCs/>
          <w:sz w:val="36"/>
          <w:szCs w:val="36"/>
        </w:rPr>
        <w:t>专业学术学位博士研究生培养方案</w:t>
      </w:r>
    </w:p>
    <w:p w14:paraId="29055C05">
      <w:pPr>
        <w:ind w:left="321" w:leftChars="153" w:right="227"/>
        <w:jc w:val="center"/>
        <w:rPr>
          <w:rFonts w:eastAsia="黑体"/>
          <w:b/>
          <w:bCs/>
          <w:sz w:val="28"/>
          <w:szCs w:val="28"/>
        </w:rPr>
      </w:pPr>
      <w:r>
        <w:rPr>
          <w:rFonts w:eastAsia="黑体"/>
          <w:b/>
          <w:bCs/>
          <w:sz w:val="28"/>
          <w:szCs w:val="28"/>
        </w:rPr>
        <w:t>（</w:t>
      </w:r>
      <w:r>
        <w:rPr>
          <w:b/>
          <w:bCs/>
          <w:sz w:val="28"/>
          <w:szCs w:val="28"/>
        </w:rPr>
        <w:t>生态环境系</w:t>
      </w:r>
      <w:r>
        <w:rPr>
          <w:rFonts w:eastAsia="黑体"/>
          <w:b/>
          <w:bCs/>
          <w:sz w:val="28"/>
          <w:szCs w:val="28"/>
        </w:rPr>
        <w:t>)</w:t>
      </w:r>
    </w:p>
    <w:p w14:paraId="669F3145">
      <w:pPr>
        <w:spacing w:line="360" w:lineRule="auto"/>
        <w:ind w:firstLine="560"/>
        <w:rPr>
          <w:rFonts w:eastAsia="黑体"/>
          <w:bCs/>
          <w:sz w:val="28"/>
          <w:szCs w:val="28"/>
        </w:rPr>
      </w:pPr>
      <w:r>
        <w:rPr>
          <w:rFonts w:eastAsia="黑体"/>
          <w:bCs/>
          <w:sz w:val="28"/>
          <w:szCs w:val="28"/>
        </w:rPr>
        <w:t>一、专业名称、代码</w:t>
      </w:r>
    </w:p>
    <w:p w14:paraId="1CAEECD3">
      <w:pPr>
        <w:widowControl/>
        <w:spacing w:line="360" w:lineRule="auto"/>
        <w:ind w:firstLine="960" w:firstLineChars="400"/>
        <w:jc w:val="left"/>
        <w:rPr>
          <w:color w:val="222222"/>
          <w:kern w:val="0"/>
          <w:sz w:val="18"/>
          <w:szCs w:val="18"/>
        </w:rPr>
      </w:pPr>
      <w:r>
        <w:rPr>
          <w:color w:val="222222"/>
          <w:kern w:val="0"/>
          <w:sz w:val="24"/>
        </w:rPr>
        <w:t>专业名称：环境光生物化学</w:t>
      </w:r>
    </w:p>
    <w:p w14:paraId="2AE3B113">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0703J5</w:t>
      </w:r>
    </w:p>
    <w:p w14:paraId="7325A96B">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B7FD8AC">
      <w:pPr>
        <w:spacing w:line="360" w:lineRule="auto"/>
        <w:ind w:firstLine="480" w:firstLineChars="200"/>
        <w:rPr>
          <w:rFonts w:eastAsiaTheme="minorEastAsia"/>
          <w:color w:val="000000"/>
          <w:sz w:val="24"/>
        </w:rPr>
      </w:pPr>
      <w:r>
        <w:rPr>
          <w:rFonts w:eastAsiaTheme="minorEastAsia"/>
          <w:color w:val="000000"/>
          <w:sz w:val="24"/>
        </w:rPr>
        <w:t>所涉及一级学科：生物学（0710），化学（0703），光学工程（0803）</w:t>
      </w:r>
    </w:p>
    <w:p w14:paraId="09ACDAF6">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环境光生物化学是在大尺度学科交叉界面上研究环境污染及修复问题，涉及环境、生物、生态、化学、物理等众多学科的基本理论，显示出多学科综合与交叉的突出特点，是具有交叉性、边缘性以及综合性的年轻应用性二级学科。本专业核心研究光催化、光助生物过程（如藻菌共生系统光协同降解有机污染物、光敏氧化）、光诱导分子活化等机理及其应用</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基础理论涵盖光化学、生物化学、分子生物学、酶学、环境微生物生态学、化学动力学等；应用层面聚焦于设计高效光催化材料、构建光驱动生物反应器、开发基于光调控的污染土壤/水体原位生物修复策略、优化受光影响的环境生物处理工艺等</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关注光如何激活特定酶或直接引发污染物的结构改变，实现高效、选择性、低能耗的污染物转化与矿化</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深入探索环境微生物如何利用不同波段的光调控其代谢途径、生长繁殖及对环境胁迫的响应。研究光信号感知（如光受体蛋白）、信号传导及其与生化反应的耦合机制。</w:t>
      </w:r>
    </w:p>
    <w:p w14:paraId="26C13C33">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在环境光生物化学技术中，环境、生物、化学和光学等多学科相互渗透、相互交叉，主要通过化学和物理的方法研究生物与受人为干扰的环境之间的相互作用规律及机理，为国家的生态文明建设、生物多样性保护、生物资源的综合利用、绿色可持续发展、践</w:t>
      </w:r>
      <w:r>
        <w:rPr>
          <w:rFonts w:asciiTheme="minorEastAsia" w:hAnsiTheme="minorEastAsia" w:eastAsiaTheme="minorEastAsia"/>
          <w:color w:val="000000" w:themeColor="text1"/>
          <w:sz w:val="24"/>
          <w14:textFill>
            <w14:solidFill>
              <w14:schemeClr w14:val="tx1"/>
            </w14:solidFill>
          </w14:textFill>
        </w:rPr>
        <w:t>行“两山”理论，以及促进经济发展</w:t>
      </w:r>
      <w:r>
        <w:rPr>
          <w:rFonts w:eastAsiaTheme="minorEastAsia"/>
          <w:color w:val="000000" w:themeColor="text1"/>
          <w:sz w:val="24"/>
          <w14:textFill>
            <w14:solidFill>
              <w14:schemeClr w14:val="tx1"/>
            </w14:solidFill>
          </w14:textFill>
        </w:rPr>
        <w:t>和环境保护双赢提供了原理和技术支撑</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服务于绿色低碳的环境污染治理、资源循环利用及生态安全保障领域</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契合</w:t>
      </w:r>
      <w:r>
        <w:rPr>
          <w:rFonts w:asciiTheme="minorEastAsia" w:hAnsiTheme="minorEastAsia" w:eastAsiaTheme="minorEastAsia"/>
          <w:color w:val="000000" w:themeColor="text1"/>
          <w:sz w:val="24"/>
          <w14:textFill>
            <w14:solidFill>
              <w14:schemeClr w14:val="tx1"/>
            </w14:solidFill>
          </w14:textFill>
        </w:rPr>
        <w:t>“双碳”</w:t>
      </w:r>
      <w:r>
        <w:rPr>
          <w:rFonts w:eastAsiaTheme="minorEastAsia"/>
          <w:color w:val="000000" w:themeColor="text1"/>
          <w:sz w:val="24"/>
          <w14:textFill>
            <w14:solidFill>
              <w14:schemeClr w14:val="tx1"/>
            </w14:solidFill>
          </w14:textFill>
        </w:rPr>
        <w:t>战略。</w:t>
      </w:r>
    </w:p>
    <w:p w14:paraId="5B2CF70B">
      <w:pPr>
        <w:spacing w:line="360" w:lineRule="auto"/>
        <w:ind w:firstLine="560" w:firstLineChars="200"/>
        <w:rPr>
          <w:rFonts w:eastAsia="黑体"/>
          <w:bCs/>
          <w:sz w:val="28"/>
          <w:szCs w:val="28"/>
        </w:rPr>
      </w:pPr>
      <w:r>
        <w:rPr>
          <w:rFonts w:eastAsia="黑体"/>
          <w:bCs/>
          <w:sz w:val="28"/>
          <w:szCs w:val="28"/>
        </w:rPr>
        <w:t>三、研究方向</w:t>
      </w:r>
    </w:p>
    <w:p w14:paraId="1C7FE4CF">
      <w:pPr>
        <w:spacing w:line="360" w:lineRule="auto"/>
        <w:ind w:firstLine="480" w:firstLineChars="200"/>
        <w:rPr>
          <w:rFonts w:eastAsiaTheme="minorEastAsia"/>
          <w:color w:val="000000"/>
          <w:sz w:val="24"/>
        </w:rPr>
      </w:pPr>
      <w:r>
        <w:rPr>
          <w:rFonts w:eastAsiaTheme="minorEastAsia"/>
          <w:color w:val="000000"/>
          <w:sz w:val="24"/>
        </w:rPr>
        <w:t>该学科将在环境光生物化学技术与生态效应、水体微污染物光化学生物降解行为与机制、土壤表面光化学过程及其生态修复三个方向进行建设。</w:t>
      </w:r>
    </w:p>
    <w:p w14:paraId="4FD81B97">
      <w:pPr>
        <w:spacing w:line="360" w:lineRule="auto"/>
        <w:ind w:firstLine="482" w:firstLineChars="200"/>
        <w:rPr>
          <w:rFonts w:eastAsiaTheme="minorEastAsia"/>
          <w:b/>
          <w:bCs/>
          <w:color w:val="000000"/>
          <w:sz w:val="24"/>
        </w:rPr>
      </w:pPr>
      <w:r>
        <w:rPr>
          <w:rFonts w:eastAsiaTheme="minorEastAsia"/>
          <w:b/>
          <w:bCs/>
          <w:color w:val="000000"/>
          <w:sz w:val="24"/>
        </w:rPr>
        <w:t>1. 环境光生物化学技术与生态效应</w:t>
      </w:r>
    </w:p>
    <w:p w14:paraId="4F95631D">
      <w:pPr>
        <w:spacing w:line="360" w:lineRule="auto"/>
        <w:ind w:firstLine="480" w:firstLineChars="200"/>
        <w:rPr>
          <w:rFonts w:eastAsiaTheme="minorEastAsia"/>
          <w:color w:val="000000"/>
          <w:sz w:val="24"/>
        </w:rPr>
      </w:pPr>
      <w:r>
        <w:rPr>
          <w:rFonts w:eastAsiaTheme="minorEastAsia"/>
          <w:color w:val="000000"/>
          <w:sz w:val="24"/>
        </w:rPr>
        <w:t>围绕污染物定向转化耦合环境光生物化学行为与环境毒性的新原理、新技术和新方法，主要研究化学物质发生光化学反应所产生的生态效应及其化学原理、过程和机制；发展基于生物引发或参与的光化学过程对某些重要元素的生物地球化学循化的影响；同时，建立和完善评价环境污染物毒性效应的模式，并通过大规模工程应用实现技术转化与推广；强调理论、技术、应用的紧密结合，产生具有科学突破和应用价值的创新成果。</w:t>
      </w:r>
    </w:p>
    <w:p w14:paraId="33E523F9">
      <w:pPr>
        <w:spacing w:line="360" w:lineRule="auto"/>
        <w:ind w:firstLine="482" w:firstLineChars="200"/>
        <w:rPr>
          <w:rFonts w:eastAsiaTheme="minorEastAsia"/>
          <w:b/>
          <w:bCs/>
          <w:color w:val="000000"/>
          <w:sz w:val="24"/>
        </w:rPr>
      </w:pPr>
      <w:r>
        <w:rPr>
          <w:rFonts w:eastAsiaTheme="minorEastAsia"/>
          <w:b/>
          <w:bCs/>
          <w:color w:val="000000"/>
          <w:sz w:val="24"/>
        </w:rPr>
        <w:t>2. 水体微污染物光化学生物降解行为与机制</w:t>
      </w:r>
    </w:p>
    <w:p w14:paraId="7D819A24">
      <w:pPr>
        <w:spacing w:line="360" w:lineRule="auto"/>
        <w:ind w:firstLine="480" w:firstLineChars="200"/>
        <w:rPr>
          <w:rFonts w:eastAsiaTheme="minorEastAsia"/>
          <w:color w:val="000000"/>
          <w:sz w:val="24"/>
        </w:rPr>
      </w:pPr>
      <w:r>
        <w:rPr>
          <w:rFonts w:eastAsiaTheme="minorEastAsia"/>
          <w:color w:val="000000"/>
          <w:sz w:val="24"/>
        </w:rPr>
        <w:t>围绕微污染物生态毒性开展基础与应用研究，重点研究水体污染生态系统功能的影响机制及生态响应，探讨水体表面透光层中化学物质的光化学反应，研究典型微污染物在水环境中光化学过程中迁移转化及降解行为，同时，阐明不同形态金属和类金属元素的光化学反应及氧化还原循环；分析水生生物引发和参与的光化学过程，开展点源与面源相结合的综合治理工程，为利用生态系统自我修复机能及调整人为管理策略进行生态修复意义重大。</w:t>
      </w:r>
    </w:p>
    <w:p w14:paraId="5AE56CFA">
      <w:pPr>
        <w:spacing w:line="360" w:lineRule="auto"/>
        <w:ind w:firstLine="482" w:firstLineChars="200"/>
        <w:rPr>
          <w:rFonts w:eastAsiaTheme="minorEastAsia"/>
          <w:b/>
          <w:bCs/>
          <w:color w:val="000000"/>
          <w:sz w:val="24"/>
        </w:rPr>
      </w:pPr>
      <w:r>
        <w:rPr>
          <w:rFonts w:eastAsiaTheme="minorEastAsia"/>
          <w:b/>
          <w:bCs/>
          <w:color w:val="000000"/>
          <w:sz w:val="24"/>
        </w:rPr>
        <w:t>3. 土壤表面光化学过程及其生态修复</w:t>
      </w:r>
    </w:p>
    <w:p w14:paraId="16692CCD">
      <w:pPr>
        <w:spacing w:line="360" w:lineRule="auto"/>
        <w:ind w:firstLine="480" w:firstLineChars="200"/>
        <w:rPr>
          <w:rFonts w:eastAsiaTheme="minorEastAsia"/>
          <w:color w:val="000000"/>
          <w:sz w:val="24"/>
        </w:rPr>
      </w:pPr>
      <w:r>
        <w:rPr>
          <w:rFonts w:eastAsiaTheme="minorEastAsia"/>
          <w:color w:val="000000"/>
          <w:sz w:val="24"/>
        </w:rPr>
        <w:t>主要研究土壤表面有机物（主要是农业化学品、土壤有机质）的降解，光化学过程对化学物质从土壤表面相大气中的迁移；以原位野外观测、模拟环境变化的控制实验（开顶箱OTCs、FACE平台）为主要手段，研究空气污染和气候变化（地表O3、氮沉降、颗粒物、干旱、增温等）及其多因子相互作用对农林生态系统结构、过程与功能的影响；探讨植物（光合生理生态、水分生理生态、基因表达等）、土壤（介导碳氮转化的关键微生物、土壤性状）、植物-土壤相互作用，以及生态系统结构（物种组成和多样性）和功能（碳、氮和水循环）对环境变化（逆境胁迫）的响应、适应和反馈。</w:t>
      </w:r>
    </w:p>
    <w:p w14:paraId="4442F595">
      <w:pPr>
        <w:spacing w:line="360" w:lineRule="auto"/>
        <w:ind w:firstLine="560" w:firstLineChars="200"/>
        <w:rPr>
          <w:rFonts w:eastAsia="黑体"/>
          <w:bCs/>
          <w:sz w:val="28"/>
          <w:szCs w:val="28"/>
        </w:rPr>
      </w:pPr>
      <w:r>
        <w:rPr>
          <w:rFonts w:eastAsia="黑体"/>
          <w:bCs/>
          <w:sz w:val="28"/>
          <w:szCs w:val="28"/>
        </w:rPr>
        <w:t>四、学制及学习年限</w:t>
      </w:r>
    </w:p>
    <w:p w14:paraId="256ED9FE">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315815DF">
      <w:pPr>
        <w:spacing w:line="360" w:lineRule="auto"/>
        <w:ind w:firstLine="560" w:firstLineChars="200"/>
        <w:rPr>
          <w:rFonts w:eastAsia="黑体"/>
          <w:bCs/>
          <w:sz w:val="28"/>
          <w:szCs w:val="28"/>
        </w:rPr>
      </w:pPr>
      <w:r>
        <w:rPr>
          <w:rFonts w:eastAsia="黑体"/>
          <w:bCs/>
          <w:sz w:val="28"/>
          <w:szCs w:val="28"/>
        </w:rPr>
        <w:t>五、培养目标</w:t>
      </w:r>
    </w:p>
    <w:p w14:paraId="529DAD42">
      <w:pPr>
        <w:spacing w:line="360" w:lineRule="auto"/>
        <w:ind w:firstLine="480" w:firstLineChars="200"/>
        <w:rPr>
          <w:rFonts w:eastAsiaTheme="minorEastAsia"/>
          <w:color w:val="000000"/>
          <w:sz w:val="24"/>
        </w:rPr>
      </w:pPr>
      <w:r>
        <w:rPr>
          <w:rFonts w:eastAsiaTheme="minorEastAsia"/>
          <w:color w:val="000000"/>
          <w:sz w:val="24"/>
        </w:rPr>
        <w:t>1．树立正确的中国特色社会主义核心价值观，具有坚定的理想信念，高尚的道德情操，优良的学术作风，高度的社会责任感。全面、准确地掌握马克思主义的基本理论，拥护中国共产党的领导，拥护社会主义制度，热爱祖国，遵纪守法，品行端正，具有自觉献身教育事业的精神和修养。</w:t>
      </w:r>
    </w:p>
    <w:p w14:paraId="4A5701EC">
      <w:pPr>
        <w:spacing w:line="360" w:lineRule="auto"/>
        <w:ind w:firstLine="480" w:firstLineChars="200"/>
        <w:rPr>
          <w:rFonts w:eastAsiaTheme="minorEastAsia"/>
          <w:color w:val="000000"/>
          <w:sz w:val="24"/>
        </w:rPr>
      </w:pPr>
      <w:r>
        <w:rPr>
          <w:rFonts w:eastAsiaTheme="minorEastAsia"/>
          <w:color w:val="000000"/>
          <w:sz w:val="24"/>
        </w:rPr>
        <w:t>2．掌握坚实宽厚的数学基础理论和系统深入的专门知识，熟悉所研究领域的现状和发展趋势，在其研究方向上受到科研全过程的训练，具有从事科学研究工作的能力，并在有关研究方向的一些较重要的课题中做出系统的、有创造性的成果。</w:t>
      </w:r>
    </w:p>
    <w:p w14:paraId="6CC24B7D">
      <w:pPr>
        <w:spacing w:line="360" w:lineRule="auto"/>
        <w:ind w:firstLine="480" w:firstLineChars="200"/>
        <w:rPr>
          <w:rFonts w:eastAsiaTheme="minorEastAsia"/>
          <w:color w:val="000000"/>
          <w:sz w:val="24"/>
        </w:rPr>
      </w:pPr>
      <w:r>
        <w:rPr>
          <w:rFonts w:eastAsiaTheme="minorEastAsia"/>
          <w:color w:val="000000"/>
          <w:sz w:val="24"/>
        </w:rPr>
        <w:t>3. 至少掌握一门外国语，能熟练阅读本专业的中外文资料，具有撰写学术论文和进行国际学术交流的能力。毕业后可独立从事环境光生物化学及其相关学科的科学研究、教学或其他实践工作。</w:t>
      </w:r>
    </w:p>
    <w:p w14:paraId="5D2E47DF">
      <w:pPr>
        <w:spacing w:line="360" w:lineRule="auto"/>
        <w:ind w:firstLine="480" w:firstLineChars="200"/>
        <w:rPr>
          <w:rFonts w:eastAsiaTheme="minorEastAsia"/>
          <w:color w:val="000000"/>
          <w:sz w:val="24"/>
        </w:rPr>
      </w:pPr>
      <w:r>
        <w:rPr>
          <w:rFonts w:eastAsiaTheme="minorEastAsia"/>
          <w:color w:val="000000"/>
          <w:sz w:val="24"/>
        </w:rPr>
        <w:t>4. 具有良好的团队意识和团队合作精神。</w:t>
      </w:r>
    </w:p>
    <w:p w14:paraId="0CA8D27B">
      <w:pPr>
        <w:spacing w:line="360" w:lineRule="auto"/>
        <w:ind w:firstLine="480" w:firstLineChars="200"/>
        <w:rPr>
          <w:rFonts w:eastAsiaTheme="minorEastAsia"/>
          <w:color w:val="000000"/>
          <w:sz w:val="24"/>
        </w:rPr>
      </w:pPr>
      <w:r>
        <w:rPr>
          <w:rFonts w:eastAsiaTheme="minorEastAsia"/>
          <w:color w:val="000000"/>
          <w:sz w:val="24"/>
        </w:rPr>
        <w:t>5. 具有健康的身体和良好的心理素质。</w:t>
      </w:r>
    </w:p>
    <w:p w14:paraId="30020537">
      <w:pPr>
        <w:spacing w:line="360" w:lineRule="auto"/>
        <w:ind w:firstLine="480" w:firstLineChars="200"/>
        <w:rPr>
          <w:rFonts w:eastAsiaTheme="minorEastAsia"/>
          <w:color w:val="000000"/>
          <w:sz w:val="24"/>
        </w:rPr>
      </w:pPr>
      <w:r>
        <w:rPr>
          <w:rFonts w:eastAsiaTheme="minorEastAsia"/>
          <w:color w:val="000000"/>
          <w:sz w:val="24"/>
        </w:rPr>
        <w:t>6. 培养德智体美劳全面发展的社会主义事业接班人。</w:t>
      </w:r>
    </w:p>
    <w:p w14:paraId="7C377FC0">
      <w:pPr>
        <w:spacing w:line="360" w:lineRule="auto"/>
        <w:ind w:firstLine="560" w:firstLineChars="200"/>
        <w:rPr>
          <w:rFonts w:eastAsia="黑体"/>
          <w:bCs/>
          <w:sz w:val="28"/>
          <w:szCs w:val="28"/>
        </w:rPr>
      </w:pPr>
      <w:r>
        <w:rPr>
          <w:rFonts w:hint="eastAsia" w:eastAsia="黑体"/>
          <w:bCs/>
          <w:sz w:val="28"/>
          <w:szCs w:val="28"/>
        </w:rPr>
        <w:t>六、培养方式</w:t>
      </w:r>
    </w:p>
    <w:p w14:paraId="40F5CF3D">
      <w:pPr>
        <w:spacing w:line="360" w:lineRule="auto"/>
        <w:ind w:firstLine="480" w:firstLineChars="200"/>
        <w:rPr>
          <w:rFonts w:eastAsiaTheme="majorEastAsia"/>
          <w:bCs/>
          <w:color w:val="0000FF"/>
          <w:sz w:val="24"/>
        </w:rPr>
      </w:pPr>
      <w:r>
        <w:rPr>
          <w:rFonts w:eastAsiaTheme="majorEastAsia"/>
          <w:bCs/>
          <w:color w:val="000000" w:themeColor="text1"/>
          <w:sz w:val="24"/>
          <w14:textFill>
            <w14:solidFill>
              <w14:schemeClr w14:val="tx1"/>
            </w14:solidFill>
          </w14:textFill>
        </w:rPr>
        <w:t>本专业博士研究生的培养坚持</w:t>
      </w:r>
      <w:r>
        <w:rPr>
          <w:rFonts w:ascii="宋体" w:hAnsi="宋体"/>
          <w:bCs/>
          <w:color w:val="000000" w:themeColor="text1"/>
          <w:sz w:val="24"/>
          <w14:textFill>
            <w14:solidFill>
              <w14:schemeClr w14:val="tx1"/>
            </w14:solidFill>
          </w14:textFill>
        </w:rPr>
        <w:t>“立德树人、创新引领、交叉融合、实践驱动”</w:t>
      </w:r>
      <w:r>
        <w:rPr>
          <w:rFonts w:eastAsiaTheme="majorEastAsia"/>
          <w:bCs/>
          <w:color w:val="000000" w:themeColor="text1"/>
          <w:sz w:val="24"/>
          <w14:textFill>
            <w14:solidFill>
              <w14:schemeClr w14:val="tx1"/>
            </w14:solidFill>
          </w14:textFill>
        </w:rPr>
        <w:t>的理念，以培养具备独立科研能力、国际视野和解决复杂环境问题能力的高层次创新型人才为目标，</w:t>
      </w:r>
      <w:r>
        <w:rPr>
          <w:rFonts w:hint="eastAsia" w:eastAsiaTheme="minorEastAsia"/>
          <w:bCs/>
          <w:sz w:val="24"/>
        </w:rPr>
        <w:t>依托河北省重点实验室、河北大学白洋淀环境保护科学观测研究站等科研平台，吸纳优秀的学生参与科研攻关任务，提升学生综合素养，以研促教，促进学科交叉，加强教学与科研的深度融合；依托国家级、省级科研项目、地方服务项目、国际交流项目等，以科研合作为桥梁，结合国家生态文明建设的重大战略，让学生深入基础和应用研究一线，培养其过硬的科研能力和创新能力；采用课堂教授、案例教学、实验教学、讲座、讨论和实践（参与科研）相结合的培养方式。在学习年限内，要求学习者保证规定的在校学习时间。</w:t>
      </w:r>
    </w:p>
    <w:p w14:paraId="6CF90C7B">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491B06D1">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5C17713D">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7E5CE9C">
      <w:pPr>
        <w:widowControl/>
        <w:spacing w:line="360" w:lineRule="auto"/>
        <w:ind w:firstLine="480"/>
        <w:jc w:val="left"/>
        <w:rPr>
          <w:kern w:val="0"/>
          <w:sz w:val="18"/>
          <w:szCs w:val="18"/>
        </w:rPr>
      </w:pPr>
      <w:r>
        <w:rPr>
          <w:bCs/>
          <w:kern w:val="0"/>
          <w:sz w:val="24"/>
        </w:rPr>
        <w:t>1.</w:t>
      </w:r>
      <w:r>
        <w:rPr>
          <w:rFonts w:hint="eastAsia"/>
          <w:bCs/>
          <w:kern w:val="0"/>
          <w:sz w:val="24"/>
        </w:rPr>
        <w:t xml:space="preserve"> </w:t>
      </w:r>
      <w:r>
        <w:rPr>
          <w:bCs/>
          <w:kern w:val="0"/>
          <w:sz w:val="24"/>
        </w:rPr>
        <w:t>总体要求：</w:t>
      </w:r>
      <w:r>
        <w:rPr>
          <w:kern w:val="0"/>
          <w:sz w:val="24"/>
        </w:rPr>
        <w:t>按照《河北大学关于开展2025版研究生培养方案修订工作的指导意见》（校政字</w:t>
      </w:r>
      <w:r>
        <w:rPr>
          <w:rFonts w:eastAsiaTheme="minorEastAsia"/>
          <w:bCs/>
          <w:sz w:val="24"/>
        </w:rPr>
        <w:t>〔2025〕9号</w:t>
      </w:r>
      <w:r>
        <w:rPr>
          <w:kern w:val="0"/>
          <w:sz w:val="24"/>
        </w:rPr>
        <w:t>）规定，博士研究生论文开题与答辩时间间隔原则上不少于18个月。学位（毕业）论文应当表明作者</w:t>
      </w:r>
      <w:r>
        <w:rPr>
          <w:rFonts w:eastAsiaTheme="minorEastAsia"/>
          <w:sz w:val="24"/>
        </w:rPr>
        <w:t>具有独立从事学术研究工作的能力，在学术研究领域做出创新性成果。</w:t>
      </w:r>
    </w:p>
    <w:p w14:paraId="64519C71">
      <w:pPr>
        <w:widowControl/>
        <w:spacing w:line="360" w:lineRule="auto"/>
        <w:ind w:firstLine="480"/>
        <w:jc w:val="left"/>
        <w:rPr>
          <w:kern w:val="0"/>
          <w:sz w:val="18"/>
          <w:szCs w:val="18"/>
        </w:rPr>
      </w:pPr>
      <w:r>
        <w:rPr>
          <w:bCs/>
          <w:kern w:val="0"/>
          <w:sz w:val="24"/>
        </w:rPr>
        <w:t>2.</w:t>
      </w:r>
      <w:r>
        <w:rPr>
          <w:rFonts w:hint="eastAsia"/>
          <w:bCs/>
          <w:kern w:val="0"/>
          <w:sz w:val="24"/>
        </w:rPr>
        <w:t xml:space="preserve"> </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5F9E6B5B">
      <w:pPr>
        <w:widowControl/>
        <w:spacing w:line="360" w:lineRule="auto"/>
        <w:ind w:firstLine="480"/>
        <w:jc w:val="left"/>
        <w:rPr>
          <w:kern w:val="0"/>
          <w:sz w:val="18"/>
          <w:szCs w:val="18"/>
        </w:rPr>
      </w:pPr>
      <w:r>
        <w:rPr>
          <w:kern w:val="0"/>
          <w:sz w:val="24"/>
        </w:rPr>
        <w:t>原则上在入学后第3学期（最迟不超过第4学期）完成开题。开题由3-5名具有正高级专业技术职务人员参加，以学术报告的方式进行。</w:t>
      </w:r>
    </w:p>
    <w:p w14:paraId="6BC2F84B">
      <w:pPr>
        <w:widowControl/>
        <w:numPr>
          <w:ilvl w:val="0"/>
          <w:numId w:val="1"/>
        </w:numPr>
        <w:spacing w:line="360" w:lineRule="auto"/>
        <w:ind w:firstLine="480"/>
        <w:jc w:val="left"/>
        <w:rPr>
          <w:kern w:val="0"/>
          <w:sz w:val="24"/>
        </w:rPr>
      </w:pP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5C0384CF">
      <w:pPr>
        <w:widowControl/>
        <w:numPr>
          <w:ilvl w:val="0"/>
          <w:numId w:val="1"/>
        </w:numPr>
        <w:spacing w:line="360" w:lineRule="auto"/>
        <w:ind w:firstLine="480"/>
        <w:jc w:val="left"/>
        <w:rPr>
          <w:kern w:val="0"/>
          <w:sz w:val="24"/>
        </w:rPr>
      </w:pPr>
      <w:r>
        <w:rPr>
          <w:bCs/>
          <w:kern w:val="0"/>
          <w:sz w:val="24"/>
        </w:rPr>
        <w:t>学位申请：</w:t>
      </w:r>
      <w:r>
        <w:rPr>
          <w:kern w:val="0"/>
          <w:sz w:val="24"/>
        </w:rPr>
        <w:t>达到学位授予条件的申请人，经导师同意后，应于答辩前三个月，向所属学位评定分委员会提出学位申请，提交学位申请材料。</w:t>
      </w:r>
    </w:p>
    <w:p w14:paraId="3E54946C">
      <w:pPr>
        <w:widowControl/>
        <w:numPr>
          <w:ilvl w:val="0"/>
          <w:numId w:val="1"/>
        </w:numPr>
        <w:spacing w:line="360" w:lineRule="auto"/>
        <w:ind w:firstLine="480"/>
        <w:jc w:val="left"/>
        <w:rPr>
          <w:kern w:val="0"/>
          <w:sz w:val="24"/>
        </w:rPr>
      </w:pPr>
      <w:r>
        <w:rPr>
          <w:bCs/>
          <w:kern w:val="0"/>
          <w:sz w:val="24"/>
        </w:rPr>
        <w:t>预答辩：</w:t>
      </w:r>
      <w:r>
        <w:rPr>
          <w:kern w:val="0"/>
          <w:sz w:val="24"/>
        </w:rPr>
        <w:t>学位申请人须进行学位论文预答辩。预答辩通过者，方可进入学位论文评阅、学位论文答辩等环节。学位（毕业）论文预答辩在正式答辩前3个月进行。</w:t>
      </w:r>
    </w:p>
    <w:p w14:paraId="1F3C8390">
      <w:pPr>
        <w:widowControl/>
        <w:numPr>
          <w:ilvl w:val="0"/>
          <w:numId w:val="1"/>
        </w:numPr>
        <w:spacing w:line="360" w:lineRule="auto"/>
        <w:ind w:firstLine="480"/>
        <w:jc w:val="left"/>
        <w:rPr>
          <w:kern w:val="0"/>
          <w:sz w:val="24"/>
        </w:rPr>
      </w:pPr>
      <w:r>
        <w:rPr>
          <w:bCs/>
          <w:kern w:val="0"/>
          <w:sz w:val="24"/>
        </w:rPr>
        <w:t>论文评阅：</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978694F">
      <w:pPr>
        <w:widowControl/>
        <w:numPr>
          <w:ilvl w:val="0"/>
          <w:numId w:val="1"/>
        </w:numPr>
        <w:spacing w:line="360" w:lineRule="auto"/>
        <w:ind w:firstLine="480"/>
        <w:jc w:val="left"/>
        <w:rPr>
          <w:bCs/>
          <w:color w:val="222222"/>
          <w:kern w:val="0"/>
          <w:sz w:val="24"/>
        </w:rPr>
      </w:pPr>
      <w:r>
        <w:rPr>
          <w:bCs/>
          <w:color w:val="222222"/>
          <w:kern w:val="0"/>
          <w:sz w:val="24"/>
        </w:rPr>
        <w:t>答辩：学位（毕业）论文答辩按照</w:t>
      </w:r>
      <w:r>
        <w:rPr>
          <w:color w:val="222222"/>
          <w:kern w:val="0"/>
          <w:sz w:val="24"/>
        </w:rPr>
        <w:t>《河北大学博士、硕士学位授予工作实施细则》（校政字〔2025〕7号）执</w:t>
      </w:r>
      <w:r>
        <w:rPr>
          <w:bCs/>
          <w:color w:val="222222"/>
          <w:kern w:val="0"/>
          <w:sz w:val="24"/>
        </w:rPr>
        <w:t>行。</w:t>
      </w:r>
    </w:p>
    <w:p w14:paraId="60ABA1C3">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7B29F7D">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45BF587">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15次学术活动，并撰写学术报告小结；以主讲人或宣讲人身份，参加在校内外举行的学术报告或学术讲座不少于2次</w:t>
      </w:r>
      <w:r>
        <w:rPr>
          <w:rFonts w:eastAsiaTheme="minorEastAsia"/>
          <w:color w:val="000000"/>
          <w:sz w:val="24"/>
        </w:rPr>
        <w:t>。</w:t>
      </w:r>
    </w:p>
    <w:p w14:paraId="74601797">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39F4A58">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690DFEE">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B87D389">
      <w:pPr>
        <w:spacing w:line="360" w:lineRule="auto"/>
        <w:ind w:firstLine="480" w:firstLineChars="200"/>
        <w:rPr>
          <w:rFonts w:eastAsiaTheme="minorEastAsia"/>
          <w:bCs/>
          <w:color w:val="000000" w:themeColor="text1"/>
          <w:sz w:val="24"/>
          <w14:textFill>
            <w14:solidFill>
              <w14:schemeClr w14:val="tx1"/>
            </w14:solidFill>
          </w14:textFill>
        </w:rPr>
      </w:pPr>
      <w:r>
        <w:rPr>
          <w:rFonts w:hint="eastAsia" w:eastAsiaTheme="minorEastAsia"/>
          <w:bCs/>
          <w:color w:val="000000" w:themeColor="text1"/>
          <w:sz w:val="24"/>
          <w14:textFill>
            <w14:solidFill>
              <w14:schemeClr w14:val="tx1"/>
            </w14:solidFill>
          </w14:textFill>
        </w:rPr>
        <w:t>博士研究生攻读学位期间发表的创新性成果须满足生态环境系《研究生申请学位取得创新性成果的规定》中申请博士学位的要求，方可申请博士学位。</w:t>
      </w:r>
    </w:p>
    <w:p w14:paraId="70686899">
      <w:pPr>
        <w:spacing w:line="360" w:lineRule="auto"/>
        <w:ind w:firstLine="560" w:firstLineChars="200"/>
        <w:rPr>
          <w:rFonts w:eastAsia="黑体"/>
          <w:bCs/>
          <w:sz w:val="28"/>
          <w:szCs w:val="28"/>
        </w:rPr>
      </w:pPr>
      <w:r>
        <w:rPr>
          <w:rFonts w:eastAsia="黑体"/>
          <w:bCs/>
          <w:sz w:val="28"/>
          <w:szCs w:val="28"/>
        </w:rPr>
        <w:t>十一、学位授予</w:t>
      </w:r>
    </w:p>
    <w:p w14:paraId="20779B5A">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满足本系制定的创新性成果要求，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1B0E881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CC86311">
      <w:pPr>
        <w:spacing w:line="360" w:lineRule="auto"/>
        <w:ind w:firstLine="480" w:firstLineChars="200"/>
        <w:rPr>
          <w:rFonts w:eastAsiaTheme="minorEastAsia"/>
          <w:sz w:val="24"/>
        </w:rPr>
      </w:pPr>
      <w:r>
        <w:rPr>
          <w:rFonts w:eastAsiaTheme="minorEastAsia"/>
          <w:color w:val="000000"/>
          <w:sz w:val="24"/>
        </w:rPr>
        <w:t>本专业最低毕业学</w:t>
      </w:r>
      <w:r>
        <w:rPr>
          <w:rFonts w:eastAsiaTheme="minorEastAsia"/>
          <w:sz w:val="24"/>
        </w:rPr>
        <w:t>分为</w:t>
      </w:r>
      <w:r>
        <w:rPr>
          <w:rFonts w:hint="eastAsia" w:eastAsiaTheme="minorEastAsia"/>
          <w:sz w:val="24"/>
        </w:rPr>
        <w:t>19</w:t>
      </w:r>
      <w:r>
        <w:rPr>
          <w:rFonts w:eastAsiaTheme="minorEastAsia"/>
          <w:sz w:val="24"/>
        </w:rPr>
        <w:t>分，其中学位课</w:t>
      </w:r>
      <w:r>
        <w:rPr>
          <w:rFonts w:hint="eastAsia" w:eastAsiaTheme="minorEastAsia"/>
          <w:sz w:val="24"/>
        </w:rPr>
        <w:t>12</w:t>
      </w:r>
      <w:r>
        <w:rPr>
          <w:rFonts w:eastAsiaTheme="minorEastAsia"/>
          <w:sz w:val="24"/>
        </w:rPr>
        <w:t>学分，非学位课</w:t>
      </w:r>
      <w:r>
        <w:rPr>
          <w:rFonts w:hint="eastAsia" w:eastAsiaTheme="minorEastAsia"/>
          <w:sz w:val="24"/>
        </w:rPr>
        <w:t>6</w:t>
      </w:r>
      <w:r>
        <w:rPr>
          <w:rFonts w:eastAsiaTheme="minorEastAsia"/>
          <w:sz w:val="24"/>
        </w:rPr>
        <w:t>学分，必修环节</w:t>
      </w:r>
      <w:r>
        <w:rPr>
          <w:rFonts w:hint="eastAsia" w:eastAsiaTheme="minorEastAsia"/>
          <w:sz w:val="24"/>
        </w:rPr>
        <w:t>1</w:t>
      </w:r>
      <w:r>
        <w:rPr>
          <w:rFonts w:eastAsiaTheme="minorEastAsia"/>
          <w:sz w:val="24"/>
        </w:rPr>
        <w:t>分。</w:t>
      </w:r>
    </w:p>
    <w:p w14:paraId="67BC115E">
      <w:pPr>
        <w:spacing w:line="360" w:lineRule="auto"/>
        <w:ind w:firstLine="480"/>
        <w:rPr>
          <w:i/>
          <w:color w:val="000000"/>
          <w:sz w:val="24"/>
        </w:rPr>
      </w:pPr>
      <w:r>
        <w:rPr>
          <w:rFonts w:eastAsiaTheme="minorEastAsia"/>
          <w:color w:val="000000"/>
          <w:sz w:val="24"/>
        </w:rPr>
        <w:t>课程考试不设补考环节，</w:t>
      </w:r>
      <w:r>
        <w:rPr>
          <w:color w:val="000000"/>
          <w:sz w:val="24"/>
        </w:rPr>
        <w:t>考试成绩低于60分的需重修。</w:t>
      </w:r>
    </w:p>
    <w:p w14:paraId="34014A24">
      <w:pPr>
        <w:spacing w:after="156" w:afterLines="50" w:line="440" w:lineRule="exact"/>
        <w:ind w:firstLine="482" w:firstLineChars="200"/>
        <w:jc w:val="center"/>
        <w:rPr>
          <w:rFonts w:eastAsiaTheme="minorEastAsia"/>
          <w:b/>
          <w:bCs/>
          <w:sz w:val="24"/>
        </w:rPr>
      </w:pPr>
      <w:r>
        <w:rPr>
          <w:rFonts w:hint="eastAsia" w:eastAsiaTheme="minorEastAsia"/>
          <w:b/>
          <w:bCs/>
          <w:sz w:val="24"/>
        </w:rPr>
        <w:t>环境光生物化学</w:t>
      </w:r>
      <w:r>
        <w:rPr>
          <w:rFonts w:eastAsiaTheme="minorEastAsia"/>
          <w:b/>
          <w:bCs/>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55"/>
        <w:gridCol w:w="1242"/>
        <w:gridCol w:w="709"/>
        <w:gridCol w:w="709"/>
        <w:gridCol w:w="1045"/>
      </w:tblGrid>
      <w:tr w14:paraId="3CA8EC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143D6B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355" w:type="dxa"/>
            <w:vAlign w:val="center"/>
          </w:tcPr>
          <w:p w14:paraId="2C9205E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242" w:type="dxa"/>
            <w:vAlign w:val="center"/>
          </w:tcPr>
          <w:p w14:paraId="6BE59AE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8493C1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63684DE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D0F334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1A7321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3A3795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7F08886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DE945F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355" w:type="dxa"/>
            <w:vAlign w:val="center"/>
          </w:tcPr>
          <w:p w14:paraId="3A60CBB1">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242" w:type="dxa"/>
            <w:vAlign w:val="center"/>
          </w:tcPr>
          <w:p w14:paraId="6BC317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709" w:type="dxa"/>
            <w:vAlign w:val="center"/>
          </w:tcPr>
          <w:p w14:paraId="10DA0E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6BA2139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857478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91500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D1A5B7E">
            <w:pPr>
              <w:jc w:val="center"/>
              <w:rPr>
                <w:b/>
                <w:color w:val="000000" w:themeColor="text1"/>
                <w:sz w:val="18"/>
                <w:szCs w:val="18"/>
                <w14:textFill>
                  <w14:solidFill>
                    <w14:schemeClr w14:val="tx1"/>
                  </w14:solidFill>
                </w14:textFill>
              </w:rPr>
            </w:pPr>
          </w:p>
        </w:tc>
        <w:tc>
          <w:tcPr>
            <w:tcW w:w="1226" w:type="dxa"/>
            <w:vMerge w:val="continue"/>
            <w:vAlign w:val="center"/>
          </w:tcPr>
          <w:p w14:paraId="74B226AC">
            <w:pPr>
              <w:jc w:val="center"/>
              <w:rPr>
                <w:b/>
                <w:color w:val="000000" w:themeColor="text1"/>
                <w:sz w:val="18"/>
                <w:szCs w:val="18"/>
                <w14:textFill>
                  <w14:solidFill>
                    <w14:schemeClr w14:val="tx1"/>
                  </w14:solidFill>
                </w14:textFill>
              </w:rPr>
            </w:pPr>
          </w:p>
        </w:tc>
        <w:tc>
          <w:tcPr>
            <w:tcW w:w="3355" w:type="dxa"/>
            <w:vAlign w:val="center"/>
          </w:tcPr>
          <w:p w14:paraId="1085B20D">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242" w:type="dxa"/>
            <w:vAlign w:val="center"/>
          </w:tcPr>
          <w:p w14:paraId="5B4E034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709" w:type="dxa"/>
            <w:vAlign w:val="center"/>
          </w:tcPr>
          <w:p w14:paraId="10EA604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3508F5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AF6D8E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5D50B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7FFC294">
            <w:pPr>
              <w:jc w:val="center"/>
              <w:rPr>
                <w:b/>
                <w:color w:val="000000" w:themeColor="text1"/>
                <w:sz w:val="18"/>
                <w:szCs w:val="18"/>
                <w14:textFill>
                  <w14:solidFill>
                    <w14:schemeClr w14:val="tx1"/>
                  </w14:solidFill>
                </w14:textFill>
              </w:rPr>
            </w:pPr>
          </w:p>
        </w:tc>
        <w:tc>
          <w:tcPr>
            <w:tcW w:w="1226" w:type="dxa"/>
            <w:vMerge w:val="restart"/>
            <w:vAlign w:val="center"/>
          </w:tcPr>
          <w:p w14:paraId="3D36AA12">
            <w:pPr>
              <w:jc w:val="center"/>
              <w:rPr>
                <w:b/>
                <w:sz w:val="18"/>
                <w:szCs w:val="18"/>
              </w:rPr>
            </w:pPr>
            <w:r>
              <w:rPr>
                <w:b/>
                <w:sz w:val="18"/>
                <w:szCs w:val="18"/>
              </w:rPr>
              <w:t>学科基础课</w:t>
            </w:r>
          </w:p>
          <w:p w14:paraId="7EC10E8F">
            <w:pPr>
              <w:jc w:val="center"/>
              <w:rPr>
                <w:b/>
                <w:sz w:val="18"/>
                <w:szCs w:val="18"/>
              </w:rPr>
            </w:pPr>
            <w:r>
              <w:rPr>
                <w:b/>
                <w:sz w:val="18"/>
                <w:szCs w:val="18"/>
              </w:rPr>
              <w:t>（</w:t>
            </w:r>
            <w:r>
              <w:rPr>
                <w:rFonts w:hint="eastAsia"/>
                <w:b/>
                <w:sz w:val="18"/>
                <w:szCs w:val="18"/>
              </w:rPr>
              <w:t>4</w:t>
            </w:r>
            <w:r>
              <w:rPr>
                <w:b/>
                <w:sz w:val="18"/>
                <w:szCs w:val="18"/>
              </w:rPr>
              <w:t>学分）</w:t>
            </w:r>
          </w:p>
        </w:tc>
        <w:tc>
          <w:tcPr>
            <w:tcW w:w="3355" w:type="dxa"/>
            <w:vAlign w:val="center"/>
          </w:tcPr>
          <w:p w14:paraId="10D26067">
            <w:pPr>
              <w:rPr>
                <w:sz w:val="18"/>
                <w:szCs w:val="18"/>
              </w:rPr>
            </w:pPr>
            <w:r>
              <w:rPr>
                <w:sz w:val="18"/>
                <w:szCs w:val="18"/>
              </w:rPr>
              <w:t>学术道德与论文写作</w:t>
            </w:r>
          </w:p>
        </w:tc>
        <w:tc>
          <w:tcPr>
            <w:tcW w:w="1242" w:type="dxa"/>
            <w:vAlign w:val="center"/>
          </w:tcPr>
          <w:p w14:paraId="1F755382">
            <w:pPr>
              <w:jc w:val="center"/>
              <w:rPr>
                <w:i/>
                <w:sz w:val="18"/>
                <w:szCs w:val="18"/>
              </w:rPr>
            </w:pPr>
            <w:r>
              <w:rPr>
                <w:rFonts w:hint="eastAsia"/>
                <w:sz w:val="18"/>
                <w:szCs w:val="18"/>
              </w:rPr>
              <w:t>XB2806001</w:t>
            </w:r>
          </w:p>
        </w:tc>
        <w:tc>
          <w:tcPr>
            <w:tcW w:w="709" w:type="dxa"/>
            <w:vAlign w:val="center"/>
          </w:tcPr>
          <w:p w14:paraId="20050EFB">
            <w:pPr>
              <w:jc w:val="center"/>
            </w:pPr>
            <w:r>
              <w:rPr>
                <w:rFonts w:hint="eastAsia"/>
                <w:sz w:val="18"/>
                <w:szCs w:val="18"/>
              </w:rPr>
              <w:t>1</w:t>
            </w:r>
          </w:p>
        </w:tc>
        <w:tc>
          <w:tcPr>
            <w:tcW w:w="709" w:type="dxa"/>
            <w:vAlign w:val="center"/>
          </w:tcPr>
          <w:p w14:paraId="2DE5AD12">
            <w:pPr>
              <w:jc w:val="center"/>
            </w:pPr>
            <w:r>
              <w:rPr>
                <w:sz w:val="18"/>
                <w:szCs w:val="18"/>
              </w:rPr>
              <w:t>1</w:t>
            </w:r>
          </w:p>
        </w:tc>
        <w:tc>
          <w:tcPr>
            <w:tcW w:w="1045" w:type="dxa"/>
            <w:vAlign w:val="center"/>
          </w:tcPr>
          <w:p w14:paraId="50E14BE4">
            <w:pPr>
              <w:jc w:val="center"/>
              <w:rPr>
                <w:i/>
                <w:sz w:val="18"/>
                <w:szCs w:val="18"/>
              </w:rPr>
            </w:pPr>
            <w:r>
              <w:rPr>
                <w:sz w:val="18"/>
                <w:szCs w:val="18"/>
              </w:rPr>
              <w:t>考查</w:t>
            </w:r>
          </w:p>
        </w:tc>
      </w:tr>
      <w:tr w14:paraId="7BF3C6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3BD9839">
            <w:pPr>
              <w:jc w:val="center"/>
              <w:rPr>
                <w:b/>
                <w:color w:val="000000" w:themeColor="text1"/>
                <w:sz w:val="18"/>
                <w:szCs w:val="18"/>
                <w14:textFill>
                  <w14:solidFill>
                    <w14:schemeClr w14:val="tx1"/>
                  </w14:solidFill>
                </w14:textFill>
              </w:rPr>
            </w:pPr>
          </w:p>
        </w:tc>
        <w:tc>
          <w:tcPr>
            <w:tcW w:w="1226" w:type="dxa"/>
            <w:vMerge w:val="continue"/>
            <w:vAlign w:val="center"/>
          </w:tcPr>
          <w:p w14:paraId="1BDA67C7">
            <w:pPr>
              <w:jc w:val="center"/>
              <w:rPr>
                <w:b/>
                <w:sz w:val="18"/>
                <w:szCs w:val="18"/>
              </w:rPr>
            </w:pPr>
          </w:p>
        </w:tc>
        <w:tc>
          <w:tcPr>
            <w:tcW w:w="3355" w:type="dxa"/>
            <w:vAlign w:val="center"/>
          </w:tcPr>
          <w:p w14:paraId="7F509329">
            <w:pPr>
              <w:adjustRightInd w:val="0"/>
              <w:snapToGrid w:val="0"/>
              <w:rPr>
                <w:sz w:val="18"/>
                <w:szCs w:val="18"/>
              </w:rPr>
            </w:pPr>
            <w:r>
              <w:rPr>
                <w:rFonts w:hint="eastAsia"/>
                <w:sz w:val="18"/>
                <w:szCs w:val="18"/>
              </w:rPr>
              <w:t>高等环境化学</w:t>
            </w:r>
          </w:p>
        </w:tc>
        <w:tc>
          <w:tcPr>
            <w:tcW w:w="1242" w:type="dxa"/>
            <w:vAlign w:val="center"/>
          </w:tcPr>
          <w:p w14:paraId="44B2D7CF">
            <w:pPr>
              <w:jc w:val="center"/>
              <w:rPr>
                <w:sz w:val="18"/>
                <w:szCs w:val="18"/>
              </w:rPr>
            </w:pPr>
            <w:r>
              <w:rPr>
                <w:rFonts w:hint="eastAsia"/>
                <w:sz w:val="18"/>
                <w:szCs w:val="18"/>
              </w:rPr>
              <w:t>XB2806002</w:t>
            </w:r>
          </w:p>
        </w:tc>
        <w:tc>
          <w:tcPr>
            <w:tcW w:w="709" w:type="dxa"/>
            <w:vAlign w:val="center"/>
          </w:tcPr>
          <w:p w14:paraId="3C73BB0E">
            <w:pPr>
              <w:jc w:val="center"/>
            </w:pPr>
            <w:r>
              <w:rPr>
                <w:rFonts w:hint="eastAsia"/>
                <w:sz w:val="18"/>
                <w:szCs w:val="18"/>
              </w:rPr>
              <w:t>2</w:t>
            </w:r>
          </w:p>
        </w:tc>
        <w:tc>
          <w:tcPr>
            <w:tcW w:w="709" w:type="dxa"/>
            <w:vAlign w:val="center"/>
          </w:tcPr>
          <w:p w14:paraId="60430E16">
            <w:pPr>
              <w:jc w:val="center"/>
            </w:pPr>
            <w:r>
              <w:rPr>
                <w:rFonts w:hint="eastAsia"/>
                <w:sz w:val="18"/>
                <w:szCs w:val="18"/>
              </w:rPr>
              <w:t>1</w:t>
            </w:r>
          </w:p>
        </w:tc>
        <w:tc>
          <w:tcPr>
            <w:tcW w:w="1045" w:type="dxa"/>
            <w:vAlign w:val="center"/>
          </w:tcPr>
          <w:p w14:paraId="1FADF8F6">
            <w:pPr>
              <w:jc w:val="center"/>
              <w:rPr>
                <w:sz w:val="18"/>
                <w:szCs w:val="18"/>
              </w:rPr>
            </w:pPr>
            <w:r>
              <w:rPr>
                <w:sz w:val="18"/>
                <w:szCs w:val="18"/>
              </w:rPr>
              <w:t>考查</w:t>
            </w:r>
          </w:p>
        </w:tc>
      </w:tr>
      <w:tr w14:paraId="54C2B4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E16626">
            <w:pPr>
              <w:jc w:val="center"/>
              <w:rPr>
                <w:b/>
                <w:color w:val="000000" w:themeColor="text1"/>
                <w:sz w:val="18"/>
                <w:szCs w:val="18"/>
                <w14:textFill>
                  <w14:solidFill>
                    <w14:schemeClr w14:val="tx1"/>
                  </w14:solidFill>
                </w14:textFill>
              </w:rPr>
            </w:pPr>
          </w:p>
        </w:tc>
        <w:tc>
          <w:tcPr>
            <w:tcW w:w="1226" w:type="dxa"/>
            <w:vMerge w:val="continue"/>
            <w:vAlign w:val="center"/>
          </w:tcPr>
          <w:p w14:paraId="5587C8C1">
            <w:pPr>
              <w:jc w:val="center"/>
              <w:rPr>
                <w:b/>
                <w:sz w:val="18"/>
                <w:szCs w:val="18"/>
              </w:rPr>
            </w:pPr>
          </w:p>
        </w:tc>
        <w:tc>
          <w:tcPr>
            <w:tcW w:w="3355" w:type="dxa"/>
            <w:shd w:val="clear" w:color="auto" w:fill="auto"/>
            <w:vAlign w:val="center"/>
          </w:tcPr>
          <w:p w14:paraId="77E52675">
            <w:r>
              <w:rPr>
                <w:sz w:val="18"/>
                <w:szCs w:val="18"/>
              </w:rPr>
              <w:t>实验设计与数据分析</w:t>
            </w:r>
          </w:p>
        </w:tc>
        <w:tc>
          <w:tcPr>
            <w:tcW w:w="1242" w:type="dxa"/>
            <w:shd w:val="clear" w:color="auto" w:fill="auto"/>
            <w:vAlign w:val="center"/>
          </w:tcPr>
          <w:p w14:paraId="26D08E13">
            <w:pPr>
              <w:jc w:val="center"/>
              <w:rPr>
                <w:sz w:val="18"/>
                <w:szCs w:val="18"/>
              </w:rPr>
            </w:pPr>
            <w:r>
              <w:rPr>
                <w:iCs/>
                <w:sz w:val="18"/>
                <w:szCs w:val="18"/>
              </w:rPr>
              <w:t>XB28</w:t>
            </w:r>
            <w:r>
              <w:rPr>
                <w:rFonts w:hint="eastAsia"/>
                <w:iCs/>
                <w:sz w:val="18"/>
                <w:szCs w:val="18"/>
              </w:rPr>
              <w:t>06</w:t>
            </w:r>
            <w:r>
              <w:rPr>
                <w:iCs/>
                <w:sz w:val="18"/>
                <w:szCs w:val="18"/>
              </w:rPr>
              <w:t>00</w:t>
            </w:r>
            <w:r>
              <w:rPr>
                <w:rFonts w:hint="eastAsia"/>
                <w:iCs/>
                <w:sz w:val="18"/>
                <w:szCs w:val="18"/>
              </w:rPr>
              <w:t>3</w:t>
            </w:r>
          </w:p>
        </w:tc>
        <w:tc>
          <w:tcPr>
            <w:tcW w:w="709" w:type="dxa"/>
            <w:shd w:val="clear" w:color="auto" w:fill="auto"/>
            <w:vAlign w:val="center"/>
          </w:tcPr>
          <w:p w14:paraId="1432DB1F">
            <w:pPr>
              <w:jc w:val="center"/>
            </w:pPr>
            <w:r>
              <w:rPr>
                <w:rFonts w:hint="eastAsia"/>
                <w:sz w:val="18"/>
                <w:szCs w:val="18"/>
              </w:rPr>
              <w:t>1</w:t>
            </w:r>
          </w:p>
        </w:tc>
        <w:tc>
          <w:tcPr>
            <w:tcW w:w="709" w:type="dxa"/>
            <w:shd w:val="clear" w:color="auto" w:fill="auto"/>
            <w:vAlign w:val="center"/>
          </w:tcPr>
          <w:p w14:paraId="0B08B874">
            <w:pPr>
              <w:jc w:val="center"/>
            </w:pPr>
            <w:r>
              <w:rPr>
                <w:sz w:val="18"/>
                <w:szCs w:val="18"/>
              </w:rPr>
              <w:t>1</w:t>
            </w:r>
          </w:p>
        </w:tc>
        <w:tc>
          <w:tcPr>
            <w:tcW w:w="1045" w:type="dxa"/>
            <w:shd w:val="clear" w:color="auto" w:fill="auto"/>
          </w:tcPr>
          <w:p w14:paraId="1F847DEF">
            <w:pPr>
              <w:jc w:val="center"/>
              <w:rPr>
                <w:sz w:val="18"/>
                <w:szCs w:val="18"/>
              </w:rPr>
            </w:pPr>
            <w:r>
              <w:rPr>
                <w:iCs/>
                <w:sz w:val="18"/>
                <w:szCs w:val="18"/>
              </w:rPr>
              <w:t>考查</w:t>
            </w:r>
          </w:p>
        </w:tc>
      </w:tr>
      <w:tr w14:paraId="57C6C7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6" w:hRule="atLeast"/>
          <w:jc w:val="center"/>
        </w:trPr>
        <w:tc>
          <w:tcPr>
            <w:tcW w:w="571" w:type="dxa"/>
            <w:vMerge w:val="continue"/>
            <w:vAlign w:val="center"/>
          </w:tcPr>
          <w:p w14:paraId="13617E60">
            <w:pPr>
              <w:jc w:val="center"/>
              <w:rPr>
                <w:b/>
                <w:color w:val="000000" w:themeColor="text1"/>
                <w:sz w:val="18"/>
                <w:szCs w:val="18"/>
                <w14:textFill>
                  <w14:solidFill>
                    <w14:schemeClr w14:val="tx1"/>
                  </w14:solidFill>
                </w14:textFill>
              </w:rPr>
            </w:pPr>
          </w:p>
        </w:tc>
        <w:tc>
          <w:tcPr>
            <w:tcW w:w="1226" w:type="dxa"/>
            <w:vMerge w:val="restart"/>
            <w:vAlign w:val="center"/>
          </w:tcPr>
          <w:p w14:paraId="734FBA70">
            <w:pPr>
              <w:jc w:val="center"/>
              <w:rPr>
                <w:b/>
                <w:sz w:val="18"/>
                <w:szCs w:val="18"/>
              </w:rPr>
            </w:pPr>
            <w:r>
              <w:rPr>
                <w:b/>
                <w:sz w:val="18"/>
                <w:szCs w:val="18"/>
              </w:rPr>
              <w:t>专业必修课</w:t>
            </w:r>
          </w:p>
          <w:p w14:paraId="17271153">
            <w:pPr>
              <w:jc w:val="center"/>
              <w:rPr>
                <w:b/>
                <w:sz w:val="18"/>
                <w:szCs w:val="18"/>
              </w:rPr>
            </w:pPr>
            <w:r>
              <w:rPr>
                <w:b/>
                <w:sz w:val="18"/>
                <w:szCs w:val="18"/>
              </w:rPr>
              <w:t>（</w:t>
            </w:r>
            <w:r>
              <w:rPr>
                <w:rFonts w:hint="eastAsia"/>
                <w:b/>
                <w:sz w:val="18"/>
                <w:szCs w:val="18"/>
              </w:rPr>
              <w:t>4</w:t>
            </w:r>
            <w:r>
              <w:rPr>
                <w:b/>
                <w:sz w:val="18"/>
                <w:szCs w:val="18"/>
              </w:rPr>
              <w:t>学分）</w:t>
            </w:r>
          </w:p>
        </w:tc>
        <w:tc>
          <w:tcPr>
            <w:tcW w:w="3355" w:type="dxa"/>
            <w:shd w:val="clear" w:color="auto" w:fill="auto"/>
            <w:vAlign w:val="center"/>
          </w:tcPr>
          <w:p w14:paraId="39A037D7">
            <w:pPr>
              <w:adjustRightInd w:val="0"/>
              <w:snapToGrid w:val="0"/>
            </w:pPr>
            <w:r>
              <w:rPr>
                <w:rFonts w:hint="eastAsia"/>
                <w:sz w:val="18"/>
                <w:szCs w:val="18"/>
              </w:rPr>
              <w:t>现代环境生物技术</w:t>
            </w:r>
          </w:p>
        </w:tc>
        <w:tc>
          <w:tcPr>
            <w:tcW w:w="1242" w:type="dxa"/>
            <w:shd w:val="clear" w:color="auto" w:fill="auto"/>
            <w:vAlign w:val="center"/>
          </w:tcPr>
          <w:p w14:paraId="1C07FA8E">
            <w:pPr>
              <w:jc w:val="center"/>
              <w:rPr>
                <w:sz w:val="18"/>
                <w:szCs w:val="18"/>
              </w:rPr>
            </w:pPr>
            <w:r>
              <w:rPr>
                <w:rFonts w:hint="eastAsia"/>
                <w:sz w:val="18"/>
                <w:szCs w:val="18"/>
              </w:rPr>
              <w:t>XB2806004</w:t>
            </w:r>
          </w:p>
        </w:tc>
        <w:tc>
          <w:tcPr>
            <w:tcW w:w="709" w:type="dxa"/>
            <w:shd w:val="clear" w:color="auto" w:fill="auto"/>
            <w:vAlign w:val="center"/>
          </w:tcPr>
          <w:p w14:paraId="1367C3FB">
            <w:pPr>
              <w:jc w:val="center"/>
            </w:pPr>
            <w:r>
              <w:rPr>
                <w:rFonts w:hint="eastAsia"/>
                <w:sz w:val="18"/>
                <w:szCs w:val="18"/>
              </w:rPr>
              <w:t>2</w:t>
            </w:r>
          </w:p>
        </w:tc>
        <w:tc>
          <w:tcPr>
            <w:tcW w:w="709" w:type="dxa"/>
            <w:shd w:val="clear" w:color="auto" w:fill="auto"/>
            <w:vAlign w:val="center"/>
          </w:tcPr>
          <w:p w14:paraId="6FF39AC4">
            <w:pPr>
              <w:jc w:val="center"/>
            </w:pPr>
            <w:r>
              <w:rPr>
                <w:rFonts w:hint="eastAsia"/>
                <w:sz w:val="18"/>
                <w:szCs w:val="18"/>
              </w:rPr>
              <w:t>1</w:t>
            </w:r>
          </w:p>
        </w:tc>
        <w:tc>
          <w:tcPr>
            <w:tcW w:w="1045" w:type="dxa"/>
            <w:shd w:val="clear" w:color="auto" w:fill="auto"/>
            <w:vAlign w:val="center"/>
          </w:tcPr>
          <w:p w14:paraId="27569555">
            <w:pPr>
              <w:jc w:val="center"/>
              <w:rPr>
                <w:iCs/>
                <w:sz w:val="18"/>
                <w:szCs w:val="18"/>
              </w:rPr>
            </w:pPr>
          </w:p>
        </w:tc>
      </w:tr>
      <w:tr w14:paraId="7F475B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6" w:hRule="atLeast"/>
          <w:jc w:val="center"/>
        </w:trPr>
        <w:tc>
          <w:tcPr>
            <w:tcW w:w="571" w:type="dxa"/>
            <w:vMerge w:val="continue"/>
            <w:vAlign w:val="center"/>
          </w:tcPr>
          <w:p w14:paraId="5174C901">
            <w:pPr>
              <w:jc w:val="center"/>
              <w:rPr>
                <w:b/>
                <w:color w:val="000000" w:themeColor="text1"/>
                <w:sz w:val="18"/>
                <w:szCs w:val="18"/>
                <w14:textFill>
                  <w14:solidFill>
                    <w14:schemeClr w14:val="tx1"/>
                  </w14:solidFill>
                </w14:textFill>
              </w:rPr>
            </w:pPr>
          </w:p>
        </w:tc>
        <w:tc>
          <w:tcPr>
            <w:tcW w:w="1226" w:type="dxa"/>
            <w:vMerge w:val="continue"/>
            <w:vAlign w:val="center"/>
          </w:tcPr>
          <w:p w14:paraId="297A72C6">
            <w:pPr>
              <w:jc w:val="center"/>
              <w:rPr>
                <w:b/>
                <w:sz w:val="18"/>
                <w:szCs w:val="18"/>
              </w:rPr>
            </w:pPr>
          </w:p>
        </w:tc>
        <w:tc>
          <w:tcPr>
            <w:tcW w:w="3355" w:type="dxa"/>
            <w:shd w:val="clear" w:color="auto" w:fill="auto"/>
            <w:vAlign w:val="center"/>
          </w:tcPr>
          <w:p w14:paraId="3EB652E1">
            <w:r>
              <w:rPr>
                <w:sz w:val="18"/>
                <w:szCs w:val="18"/>
              </w:rPr>
              <w:t>环境光生物化学学科前沿与发展</w:t>
            </w:r>
          </w:p>
        </w:tc>
        <w:tc>
          <w:tcPr>
            <w:tcW w:w="1242" w:type="dxa"/>
            <w:shd w:val="clear" w:color="auto" w:fill="auto"/>
            <w:vAlign w:val="center"/>
          </w:tcPr>
          <w:p w14:paraId="50F28F8F">
            <w:pPr>
              <w:jc w:val="center"/>
              <w:rPr>
                <w:sz w:val="18"/>
                <w:szCs w:val="18"/>
              </w:rPr>
            </w:pPr>
            <w:r>
              <w:rPr>
                <w:iCs/>
                <w:sz w:val="18"/>
                <w:szCs w:val="18"/>
              </w:rPr>
              <w:t>XB28</w:t>
            </w:r>
            <w:r>
              <w:rPr>
                <w:rFonts w:hint="eastAsia"/>
                <w:iCs/>
                <w:sz w:val="18"/>
                <w:szCs w:val="18"/>
              </w:rPr>
              <w:t>06</w:t>
            </w:r>
            <w:r>
              <w:rPr>
                <w:iCs/>
                <w:sz w:val="18"/>
                <w:szCs w:val="18"/>
              </w:rPr>
              <w:t>00</w:t>
            </w:r>
            <w:r>
              <w:rPr>
                <w:rFonts w:hint="eastAsia"/>
                <w:iCs/>
                <w:sz w:val="18"/>
                <w:szCs w:val="18"/>
              </w:rPr>
              <w:t>5</w:t>
            </w:r>
          </w:p>
        </w:tc>
        <w:tc>
          <w:tcPr>
            <w:tcW w:w="709" w:type="dxa"/>
            <w:shd w:val="clear" w:color="auto" w:fill="auto"/>
            <w:vAlign w:val="center"/>
          </w:tcPr>
          <w:p w14:paraId="3255D0F7">
            <w:pPr>
              <w:jc w:val="center"/>
            </w:pPr>
            <w:r>
              <w:rPr>
                <w:sz w:val="18"/>
                <w:szCs w:val="18"/>
              </w:rPr>
              <w:t>2</w:t>
            </w:r>
          </w:p>
        </w:tc>
        <w:tc>
          <w:tcPr>
            <w:tcW w:w="709" w:type="dxa"/>
            <w:shd w:val="clear" w:color="auto" w:fill="auto"/>
            <w:vAlign w:val="center"/>
          </w:tcPr>
          <w:p w14:paraId="12A601BA">
            <w:pPr>
              <w:jc w:val="center"/>
            </w:pPr>
            <w:r>
              <w:rPr>
                <w:sz w:val="18"/>
                <w:szCs w:val="18"/>
              </w:rPr>
              <w:t>1</w:t>
            </w:r>
          </w:p>
        </w:tc>
        <w:tc>
          <w:tcPr>
            <w:tcW w:w="1045" w:type="dxa"/>
            <w:shd w:val="clear" w:color="auto" w:fill="auto"/>
            <w:vAlign w:val="center"/>
          </w:tcPr>
          <w:p w14:paraId="21E01590">
            <w:pPr>
              <w:jc w:val="center"/>
              <w:rPr>
                <w:sz w:val="18"/>
                <w:szCs w:val="18"/>
              </w:rPr>
            </w:pPr>
            <w:r>
              <w:rPr>
                <w:iCs/>
                <w:sz w:val="18"/>
                <w:szCs w:val="18"/>
              </w:rPr>
              <w:t>考查</w:t>
            </w:r>
          </w:p>
        </w:tc>
      </w:tr>
      <w:tr w14:paraId="4D4225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3C5566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3923C159">
            <w:pPr>
              <w:jc w:val="center"/>
              <w:rPr>
                <w:b/>
                <w:sz w:val="18"/>
                <w:szCs w:val="18"/>
              </w:rPr>
            </w:pPr>
            <w:r>
              <w:rPr>
                <w:b/>
                <w:sz w:val="18"/>
                <w:szCs w:val="18"/>
              </w:rPr>
              <w:t>公共通识课</w:t>
            </w:r>
          </w:p>
          <w:p w14:paraId="0091C7E2">
            <w:pPr>
              <w:jc w:val="center"/>
              <w:rPr>
                <w:b/>
                <w:sz w:val="18"/>
                <w:szCs w:val="18"/>
              </w:rPr>
            </w:pPr>
            <w:r>
              <w:rPr>
                <w:b/>
                <w:sz w:val="18"/>
                <w:szCs w:val="18"/>
              </w:rPr>
              <w:t>（2学分）</w:t>
            </w:r>
          </w:p>
        </w:tc>
        <w:tc>
          <w:tcPr>
            <w:tcW w:w="3355" w:type="dxa"/>
            <w:vAlign w:val="center"/>
          </w:tcPr>
          <w:p w14:paraId="30398558">
            <w:pPr>
              <w:jc w:val="left"/>
              <w:rPr>
                <w:sz w:val="18"/>
                <w:szCs w:val="18"/>
              </w:rPr>
            </w:pPr>
            <w:r>
              <w:rPr>
                <w:sz w:val="18"/>
                <w:szCs w:val="18"/>
              </w:rPr>
              <w:t>《习近平谈治国理政》研读</w:t>
            </w:r>
          </w:p>
        </w:tc>
        <w:tc>
          <w:tcPr>
            <w:tcW w:w="1242" w:type="dxa"/>
            <w:vAlign w:val="center"/>
          </w:tcPr>
          <w:p w14:paraId="786608B4">
            <w:pPr>
              <w:jc w:val="center"/>
              <w:rPr>
                <w:sz w:val="18"/>
                <w:szCs w:val="18"/>
              </w:rPr>
            </w:pPr>
            <w:r>
              <w:rPr>
                <w:sz w:val="18"/>
                <w:szCs w:val="18"/>
              </w:rPr>
              <w:t>TT0000101</w:t>
            </w:r>
          </w:p>
        </w:tc>
        <w:tc>
          <w:tcPr>
            <w:tcW w:w="709" w:type="dxa"/>
            <w:vAlign w:val="center"/>
          </w:tcPr>
          <w:p w14:paraId="7380B17A">
            <w:pPr>
              <w:jc w:val="center"/>
              <w:rPr>
                <w:sz w:val="18"/>
                <w:szCs w:val="18"/>
              </w:rPr>
            </w:pPr>
            <w:r>
              <w:rPr>
                <w:sz w:val="18"/>
                <w:szCs w:val="18"/>
              </w:rPr>
              <w:t>1</w:t>
            </w:r>
          </w:p>
        </w:tc>
        <w:tc>
          <w:tcPr>
            <w:tcW w:w="709" w:type="dxa"/>
            <w:vAlign w:val="center"/>
          </w:tcPr>
          <w:p w14:paraId="2AB87CEB">
            <w:pPr>
              <w:jc w:val="center"/>
              <w:rPr>
                <w:sz w:val="18"/>
                <w:szCs w:val="18"/>
              </w:rPr>
            </w:pPr>
            <w:r>
              <w:rPr>
                <w:sz w:val="18"/>
                <w:szCs w:val="18"/>
              </w:rPr>
              <w:t>1</w:t>
            </w:r>
          </w:p>
        </w:tc>
        <w:tc>
          <w:tcPr>
            <w:tcW w:w="1045" w:type="dxa"/>
            <w:vAlign w:val="center"/>
          </w:tcPr>
          <w:p w14:paraId="3D0590EC">
            <w:pPr>
              <w:jc w:val="center"/>
              <w:rPr>
                <w:sz w:val="18"/>
                <w:szCs w:val="18"/>
              </w:rPr>
            </w:pPr>
            <w:r>
              <w:rPr>
                <w:sz w:val="18"/>
                <w:szCs w:val="18"/>
              </w:rPr>
              <w:t>考查</w:t>
            </w:r>
          </w:p>
        </w:tc>
      </w:tr>
      <w:tr w14:paraId="2E4EA6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C5DD2C7">
            <w:pPr>
              <w:jc w:val="center"/>
              <w:rPr>
                <w:b/>
                <w:color w:val="000000" w:themeColor="text1"/>
                <w:sz w:val="18"/>
                <w:szCs w:val="18"/>
                <w14:textFill>
                  <w14:solidFill>
                    <w14:schemeClr w14:val="tx1"/>
                  </w14:solidFill>
                </w14:textFill>
              </w:rPr>
            </w:pPr>
          </w:p>
        </w:tc>
        <w:tc>
          <w:tcPr>
            <w:tcW w:w="1226" w:type="dxa"/>
            <w:vMerge w:val="continue"/>
            <w:vAlign w:val="center"/>
          </w:tcPr>
          <w:p w14:paraId="0D1885B9">
            <w:pPr>
              <w:jc w:val="center"/>
              <w:rPr>
                <w:b/>
                <w:sz w:val="18"/>
                <w:szCs w:val="18"/>
              </w:rPr>
            </w:pPr>
          </w:p>
        </w:tc>
        <w:tc>
          <w:tcPr>
            <w:tcW w:w="3355" w:type="dxa"/>
            <w:vAlign w:val="center"/>
          </w:tcPr>
          <w:p w14:paraId="239E0140">
            <w:pPr>
              <w:jc w:val="left"/>
              <w:rPr>
                <w:sz w:val="18"/>
                <w:szCs w:val="18"/>
              </w:rPr>
            </w:pPr>
            <w:r>
              <w:rPr>
                <w:sz w:val="18"/>
                <w:szCs w:val="18"/>
              </w:rPr>
              <w:t>马克思恩格斯列宁经典著作选读</w:t>
            </w:r>
          </w:p>
        </w:tc>
        <w:tc>
          <w:tcPr>
            <w:tcW w:w="1242" w:type="dxa"/>
            <w:vAlign w:val="center"/>
          </w:tcPr>
          <w:p w14:paraId="0B9589C3">
            <w:pPr>
              <w:jc w:val="center"/>
              <w:rPr>
                <w:sz w:val="18"/>
                <w:szCs w:val="18"/>
              </w:rPr>
            </w:pPr>
            <w:r>
              <w:rPr>
                <w:sz w:val="18"/>
                <w:szCs w:val="18"/>
              </w:rPr>
              <w:t>TB000010</w:t>
            </w:r>
            <w:r>
              <w:rPr>
                <w:rFonts w:hint="eastAsia"/>
                <w:sz w:val="18"/>
                <w:szCs w:val="18"/>
              </w:rPr>
              <w:t>3</w:t>
            </w:r>
          </w:p>
        </w:tc>
        <w:tc>
          <w:tcPr>
            <w:tcW w:w="709" w:type="dxa"/>
            <w:vAlign w:val="center"/>
          </w:tcPr>
          <w:p w14:paraId="435303EA">
            <w:pPr>
              <w:jc w:val="center"/>
              <w:rPr>
                <w:sz w:val="18"/>
                <w:szCs w:val="18"/>
              </w:rPr>
            </w:pPr>
            <w:r>
              <w:rPr>
                <w:sz w:val="18"/>
                <w:szCs w:val="18"/>
              </w:rPr>
              <w:t>1</w:t>
            </w:r>
          </w:p>
        </w:tc>
        <w:tc>
          <w:tcPr>
            <w:tcW w:w="709" w:type="dxa"/>
            <w:vAlign w:val="center"/>
          </w:tcPr>
          <w:p w14:paraId="1BCBC750">
            <w:pPr>
              <w:jc w:val="center"/>
              <w:rPr>
                <w:sz w:val="18"/>
                <w:szCs w:val="18"/>
              </w:rPr>
            </w:pPr>
            <w:r>
              <w:rPr>
                <w:sz w:val="18"/>
                <w:szCs w:val="18"/>
              </w:rPr>
              <w:t>1</w:t>
            </w:r>
          </w:p>
        </w:tc>
        <w:tc>
          <w:tcPr>
            <w:tcW w:w="1045" w:type="dxa"/>
            <w:vAlign w:val="center"/>
          </w:tcPr>
          <w:p w14:paraId="224D9925">
            <w:pPr>
              <w:jc w:val="center"/>
              <w:rPr>
                <w:sz w:val="18"/>
                <w:szCs w:val="18"/>
              </w:rPr>
            </w:pPr>
            <w:r>
              <w:rPr>
                <w:rFonts w:hint="eastAsia"/>
                <w:sz w:val="18"/>
                <w:szCs w:val="18"/>
              </w:rPr>
              <w:t>考查</w:t>
            </w:r>
          </w:p>
        </w:tc>
      </w:tr>
      <w:tr w14:paraId="295C86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CC706E">
            <w:pPr>
              <w:rPr>
                <w:b/>
                <w:color w:val="000000" w:themeColor="text1"/>
                <w:sz w:val="18"/>
                <w:szCs w:val="18"/>
                <w14:textFill>
                  <w14:solidFill>
                    <w14:schemeClr w14:val="tx1"/>
                  </w14:solidFill>
                </w14:textFill>
              </w:rPr>
            </w:pPr>
          </w:p>
        </w:tc>
        <w:tc>
          <w:tcPr>
            <w:tcW w:w="1226" w:type="dxa"/>
            <w:vMerge w:val="restart"/>
            <w:vAlign w:val="center"/>
          </w:tcPr>
          <w:p w14:paraId="0121F05A">
            <w:pPr>
              <w:jc w:val="center"/>
              <w:rPr>
                <w:b/>
                <w:sz w:val="18"/>
                <w:szCs w:val="18"/>
              </w:rPr>
            </w:pPr>
            <w:r>
              <w:rPr>
                <w:b/>
                <w:sz w:val="18"/>
                <w:szCs w:val="18"/>
              </w:rPr>
              <w:t>方向课</w:t>
            </w:r>
          </w:p>
          <w:p w14:paraId="74C281F5">
            <w:pPr>
              <w:adjustRightInd w:val="0"/>
              <w:snapToGrid w:val="0"/>
              <w:jc w:val="center"/>
              <w:rPr>
                <w:b/>
                <w:sz w:val="18"/>
                <w:szCs w:val="18"/>
              </w:rPr>
            </w:pPr>
            <w:r>
              <w:rPr>
                <w:b/>
                <w:sz w:val="18"/>
                <w:szCs w:val="18"/>
              </w:rPr>
              <w:t>至少修读</w:t>
            </w:r>
            <w:r>
              <w:rPr>
                <w:rFonts w:hint="eastAsia"/>
                <w:b/>
                <w:sz w:val="18"/>
                <w:szCs w:val="18"/>
              </w:rPr>
              <w:t>4</w:t>
            </w:r>
            <w:r>
              <w:rPr>
                <w:b/>
                <w:sz w:val="18"/>
                <w:szCs w:val="18"/>
              </w:rPr>
              <w:t>学分</w:t>
            </w:r>
          </w:p>
        </w:tc>
        <w:tc>
          <w:tcPr>
            <w:tcW w:w="3355" w:type="dxa"/>
            <w:vAlign w:val="center"/>
          </w:tcPr>
          <w:p w14:paraId="241FB3BD">
            <w:pPr>
              <w:rPr>
                <w:i/>
                <w:sz w:val="18"/>
                <w:szCs w:val="18"/>
              </w:rPr>
            </w:pPr>
            <w:r>
              <w:rPr>
                <w:sz w:val="18"/>
                <w:szCs w:val="18"/>
              </w:rPr>
              <w:t>光催化化学</w:t>
            </w:r>
          </w:p>
        </w:tc>
        <w:tc>
          <w:tcPr>
            <w:tcW w:w="1242" w:type="dxa"/>
            <w:vAlign w:val="center"/>
          </w:tcPr>
          <w:p w14:paraId="0523CE73">
            <w:pPr>
              <w:jc w:val="center"/>
              <w:rPr>
                <w:sz w:val="18"/>
                <w:szCs w:val="18"/>
              </w:rPr>
            </w:pPr>
            <w:r>
              <w:rPr>
                <w:iCs/>
                <w:sz w:val="18"/>
                <w:szCs w:val="18"/>
              </w:rPr>
              <w:t>XB28</w:t>
            </w:r>
            <w:r>
              <w:rPr>
                <w:rFonts w:hint="eastAsia"/>
                <w:iCs/>
                <w:sz w:val="18"/>
                <w:szCs w:val="18"/>
              </w:rPr>
              <w:t>06</w:t>
            </w:r>
            <w:r>
              <w:rPr>
                <w:iCs/>
                <w:sz w:val="18"/>
                <w:szCs w:val="18"/>
              </w:rPr>
              <w:t>201</w:t>
            </w:r>
          </w:p>
        </w:tc>
        <w:tc>
          <w:tcPr>
            <w:tcW w:w="709" w:type="dxa"/>
            <w:vAlign w:val="center"/>
          </w:tcPr>
          <w:p w14:paraId="1F2E85F1">
            <w:pPr>
              <w:jc w:val="center"/>
            </w:pPr>
            <w:r>
              <w:rPr>
                <w:sz w:val="18"/>
                <w:szCs w:val="18"/>
              </w:rPr>
              <w:t>2</w:t>
            </w:r>
          </w:p>
        </w:tc>
        <w:tc>
          <w:tcPr>
            <w:tcW w:w="709" w:type="dxa"/>
            <w:vAlign w:val="center"/>
          </w:tcPr>
          <w:p w14:paraId="01D073C8">
            <w:pPr>
              <w:jc w:val="center"/>
            </w:pPr>
            <w:r>
              <w:rPr>
                <w:sz w:val="18"/>
                <w:szCs w:val="18"/>
              </w:rPr>
              <w:t>1</w:t>
            </w:r>
          </w:p>
        </w:tc>
        <w:tc>
          <w:tcPr>
            <w:tcW w:w="1045" w:type="dxa"/>
          </w:tcPr>
          <w:p w14:paraId="62CB829D">
            <w:pPr>
              <w:rPr>
                <w:sz w:val="18"/>
                <w:szCs w:val="18"/>
              </w:rPr>
            </w:pPr>
            <w:r>
              <w:rPr>
                <w:sz w:val="18"/>
                <w:szCs w:val="18"/>
              </w:rPr>
              <w:t>选修/考查</w:t>
            </w:r>
          </w:p>
        </w:tc>
      </w:tr>
      <w:tr w14:paraId="41A5E2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3C60CD5B">
            <w:pPr>
              <w:rPr>
                <w:b/>
                <w:color w:val="000000" w:themeColor="text1"/>
                <w:sz w:val="18"/>
                <w:szCs w:val="18"/>
                <w14:textFill>
                  <w14:solidFill>
                    <w14:schemeClr w14:val="tx1"/>
                  </w14:solidFill>
                </w14:textFill>
              </w:rPr>
            </w:pPr>
          </w:p>
        </w:tc>
        <w:tc>
          <w:tcPr>
            <w:tcW w:w="1226" w:type="dxa"/>
            <w:vMerge w:val="continue"/>
            <w:vAlign w:val="center"/>
          </w:tcPr>
          <w:p w14:paraId="6BB89499">
            <w:pPr>
              <w:adjustRightInd w:val="0"/>
              <w:snapToGrid w:val="0"/>
              <w:jc w:val="center"/>
              <w:rPr>
                <w:b/>
                <w:sz w:val="18"/>
                <w:szCs w:val="18"/>
              </w:rPr>
            </w:pPr>
          </w:p>
        </w:tc>
        <w:tc>
          <w:tcPr>
            <w:tcW w:w="3355" w:type="dxa"/>
            <w:vAlign w:val="center"/>
          </w:tcPr>
          <w:p w14:paraId="60B60700">
            <w:pPr>
              <w:rPr>
                <w:i/>
                <w:sz w:val="18"/>
                <w:szCs w:val="18"/>
              </w:rPr>
            </w:pPr>
            <w:r>
              <w:rPr>
                <w:sz w:val="18"/>
                <w:szCs w:val="18"/>
              </w:rPr>
              <w:t>新污染物环境行为与控制</w:t>
            </w:r>
          </w:p>
        </w:tc>
        <w:tc>
          <w:tcPr>
            <w:tcW w:w="1242" w:type="dxa"/>
            <w:vAlign w:val="center"/>
          </w:tcPr>
          <w:p w14:paraId="1316AB81">
            <w:pPr>
              <w:jc w:val="center"/>
              <w:rPr>
                <w:sz w:val="18"/>
                <w:szCs w:val="18"/>
              </w:rPr>
            </w:pPr>
            <w:r>
              <w:rPr>
                <w:iCs/>
                <w:sz w:val="18"/>
                <w:szCs w:val="18"/>
              </w:rPr>
              <w:t>XB28</w:t>
            </w:r>
            <w:r>
              <w:rPr>
                <w:rFonts w:hint="eastAsia"/>
                <w:iCs/>
                <w:sz w:val="18"/>
                <w:szCs w:val="18"/>
              </w:rPr>
              <w:t>06</w:t>
            </w:r>
            <w:r>
              <w:rPr>
                <w:iCs/>
                <w:sz w:val="18"/>
                <w:szCs w:val="18"/>
              </w:rPr>
              <w:t>202</w:t>
            </w:r>
          </w:p>
        </w:tc>
        <w:tc>
          <w:tcPr>
            <w:tcW w:w="709" w:type="dxa"/>
            <w:vAlign w:val="center"/>
          </w:tcPr>
          <w:p w14:paraId="3C6A73C2">
            <w:pPr>
              <w:jc w:val="center"/>
            </w:pPr>
            <w:r>
              <w:rPr>
                <w:sz w:val="18"/>
                <w:szCs w:val="18"/>
              </w:rPr>
              <w:t>2</w:t>
            </w:r>
          </w:p>
        </w:tc>
        <w:tc>
          <w:tcPr>
            <w:tcW w:w="709" w:type="dxa"/>
            <w:vAlign w:val="center"/>
          </w:tcPr>
          <w:p w14:paraId="293F412F">
            <w:pPr>
              <w:jc w:val="center"/>
            </w:pPr>
            <w:r>
              <w:rPr>
                <w:sz w:val="18"/>
                <w:szCs w:val="18"/>
              </w:rPr>
              <w:t>1</w:t>
            </w:r>
          </w:p>
        </w:tc>
        <w:tc>
          <w:tcPr>
            <w:tcW w:w="1045" w:type="dxa"/>
          </w:tcPr>
          <w:p w14:paraId="1C9356A5">
            <w:pPr>
              <w:rPr>
                <w:sz w:val="18"/>
                <w:szCs w:val="18"/>
              </w:rPr>
            </w:pPr>
            <w:r>
              <w:rPr>
                <w:sz w:val="18"/>
                <w:szCs w:val="18"/>
              </w:rPr>
              <w:t>选修/考查</w:t>
            </w:r>
          </w:p>
        </w:tc>
      </w:tr>
      <w:tr w14:paraId="0BF2EA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3FD9AA">
            <w:pPr>
              <w:rPr>
                <w:b/>
                <w:color w:val="000000" w:themeColor="text1"/>
                <w:sz w:val="18"/>
                <w:szCs w:val="18"/>
                <w14:textFill>
                  <w14:solidFill>
                    <w14:schemeClr w14:val="tx1"/>
                  </w14:solidFill>
                </w14:textFill>
              </w:rPr>
            </w:pPr>
          </w:p>
        </w:tc>
        <w:tc>
          <w:tcPr>
            <w:tcW w:w="1226" w:type="dxa"/>
            <w:vMerge w:val="continue"/>
            <w:vAlign w:val="center"/>
          </w:tcPr>
          <w:p w14:paraId="5FB46830">
            <w:pPr>
              <w:jc w:val="center"/>
              <w:rPr>
                <w:b/>
                <w:sz w:val="18"/>
                <w:szCs w:val="18"/>
              </w:rPr>
            </w:pPr>
          </w:p>
        </w:tc>
        <w:tc>
          <w:tcPr>
            <w:tcW w:w="3355" w:type="dxa"/>
            <w:vAlign w:val="center"/>
          </w:tcPr>
          <w:p w14:paraId="5252BD84">
            <w:pPr>
              <w:rPr>
                <w:i/>
                <w:sz w:val="18"/>
                <w:szCs w:val="18"/>
              </w:rPr>
            </w:pPr>
            <w:r>
              <w:rPr>
                <w:sz w:val="18"/>
                <w:szCs w:val="18"/>
              </w:rPr>
              <w:t>生态毒理学</w:t>
            </w:r>
          </w:p>
        </w:tc>
        <w:tc>
          <w:tcPr>
            <w:tcW w:w="1242" w:type="dxa"/>
            <w:vAlign w:val="center"/>
          </w:tcPr>
          <w:p w14:paraId="28FE971D">
            <w:pPr>
              <w:jc w:val="center"/>
              <w:rPr>
                <w:sz w:val="18"/>
                <w:szCs w:val="18"/>
              </w:rPr>
            </w:pPr>
            <w:r>
              <w:rPr>
                <w:iCs/>
                <w:sz w:val="18"/>
                <w:szCs w:val="18"/>
              </w:rPr>
              <w:t>XB28</w:t>
            </w:r>
            <w:r>
              <w:rPr>
                <w:rFonts w:hint="eastAsia"/>
                <w:iCs/>
                <w:sz w:val="18"/>
                <w:szCs w:val="18"/>
              </w:rPr>
              <w:t>06</w:t>
            </w:r>
            <w:r>
              <w:rPr>
                <w:iCs/>
                <w:sz w:val="18"/>
                <w:szCs w:val="18"/>
              </w:rPr>
              <w:t>203</w:t>
            </w:r>
          </w:p>
        </w:tc>
        <w:tc>
          <w:tcPr>
            <w:tcW w:w="709" w:type="dxa"/>
            <w:vAlign w:val="center"/>
          </w:tcPr>
          <w:p w14:paraId="5B457C3C">
            <w:pPr>
              <w:jc w:val="center"/>
              <w:rPr>
                <w:sz w:val="18"/>
                <w:szCs w:val="18"/>
              </w:rPr>
            </w:pPr>
            <w:r>
              <w:rPr>
                <w:sz w:val="18"/>
                <w:szCs w:val="18"/>
              </w:rPr>
              <w:t>2</w:t>
            </w:r>
          </w:p>
        </w:tc>
        <w:tc>
          <w:tcPr>
            <w:tcW w:w="709" w:type="dxa"/>
            <w:vAlign w:val="center"/>
          </w:tcPr>
          <w:p w14:paraId="0CD5D938">
            <w:pPr>
              <w:jc w:val="center"/>
              <w:rPr>
                <w:i/>
                <w:sz w:val="18"/>
                <w:szCs w:val="18"/>
              </w:rPr>
            </w:pPr>
            <w:r>
              <w:rPr>
                <w:sz w:val="18"/>
                <w:szCs w:val="18"/>
              </w:rPr>
              <w:t>1</w:t>
            </w:r>
          </w:p>
        </w:tc>
        <w:tc>
          <w:tcPr>
            <w:tcW w:w="1045" w:type="dxa"/>
          </w:tcPr>
          <w:p w14:paraId="3B488CA6">
            <w:pPr>
              <w:rPr>
                <w:sz w:val="18"/>
                <w:szCs w:val="18"/>
              </w:rPr>
            </w:pPr>
            <w:r>
              <w:rPr>
                <w:sz w:val="18"/>
                <w:szCs w:val="18"/>
              </w:rPr>
              <w:t>选修/考查</w:t>
            </w:r>
          </w:p>
        </w:tc>
      </w:tr>
      <w:tr w14:paraId="63C87F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6" w:hRule="atLeast"/>
          <w:jc w:val="center"/>
        </w:trPr>
        <w:tc>
          <w:tcPr>
            <w:tcW w:w="571" w:type="dxa"/>
            <w:vMerge w:val="continue"/>
          </w:tcPr>
          <w:p w14:paraId="05FAD678">
            <w:pPr>
              <w:rPr>
                <w:b/>
                <w:color w:val="000000" w:themeColor="text1"/>
                <w:sz w:val="18"/>
                <w:szCs w:val="18"/>
                <w14:textFill>
                  <w14:solidFill>
                    <w14:schemeClr w14:val="tx1"/>
                  </w14:solidFill>
                </w14:textFill>
              </w:rPr>
            </w:pPr>
          </w:p>
        </w:tc>
        <w:tc>
          <w:tcPr>
            <w:tcW w:w="1226" w:type="dxa"/>
            <w:vMerge w:val="continue"/>
            <w:vAlign w:val="center"/>
          </w:tcPr>
          <w:p w14:paraId="6EFE2A0B">
            <w:pPr>
              <w:adjustRightInd w:val="0"/>
              <w:snapToGrid w:val="0"/>
              <w:jc w:val="center"/>
              <w:rPr>
                <w:b/>
                <w:sz w:val="18"/>
                <w:szCs w:val="18"/>
              </w:rPr>
            </w:pPr>
          </w:p>
        </w:tc>
        <w:tc>
          <w:tcPr>
            <w:tcW w:w="3355" w:type="dxa"/>
            <w:vAlign w:val="center"/>
          </w:tcPr>
          <w:p w14:paraId="417F38FC">
            <w:pPr>
              <w:rPr>
                <w:i/>
                <w:sz w:val="18"/>
                <w:szCs w:val="18"/>
              </w:rPr>
            </w:pPr>
            <w:r>
              <w:rPr>
                <w:sz w:val="18"/>
                <w:szCs w:val="18"/>
              </w:rPr>
              <w:t>环境光化学</w:t>
            </w:r>
          </w:p>
        </w:tc>
        <w:tc>
          <w:tcPr>
            <w:tcW w:w="1242" w:type="dxa"/>
            <w:vAlign w:val="center"/>
          </w:tcPr>
          <w:p w14:paraId="0C8777F8">
            <w:pPr>
              <w:jc w:val="center"/>
              <w:rPr>
                <w:sz w:val="18"/>
                <w:szCs w:val="18"/>
              </w:rPr>
            </w:pPr>
            <w:r>
              <w:rPr>
                <w:iCs/>
                <w:sz w:val="18"/>
                <w:szCs w:val="18"/>
              </w:rPr>
              <w:t>XB28</w:t>
            </w:r>
            <w:r>
              <w:rPr>
                <w:rFonts w:hint="eastAsia"/>
                <w:iCs/>
                <w:sz w:val="18"/>
                <w:szCs w:val="18"/>
              </w:rPr>
              <w:t>06</w:t>
            </w:r>
            <w:r>
              <w:rPr>
                <w:iCs/>
                <w:sz w:val="18"/>
                <w:szCs w:val="18"/>
              </w:rPr>
              <w:t>204</w:t>
            </w:r>
          </w:p>
        </w:tc>
        <w:tc>
          <w:tcPr>
            <w:tcW w:w="709" w:type="dxa"/>
            <w:vAlign w:val="center"/>
          </w:tcPr>
          <w:p w14:paraId="0E13DE52">
            <w:pPr>
              <w:jc w:val="center"/>
            </w:pPr>
            <w:r>
              <w:rPr>
                <w:sz w:val="18"/>
                <w:szCs w:val="18"/>
              </w:rPr>
              <w:t>2</w:t>
            </w:r>
          </w:p>
        </w:tc>
        <w:tc>
          <w:tcPr>
            <w:tcW w:w="709" w:type="dxa"/>
            <w:vAlign w:val="center"/>
          </w:tcPr>
          <w:p w14:paraId="63471802">
            <w:pPr>
              <w:jc w:val="center"/>
            </w:pPr>
          </w:p>
        </w:tc>
        <w:tc>
          <w:tcPr>
            <w:tcW w:w="1045" w:type="dxa"/>
          </w:tcPr>
          <w:p w14:paraId="7B11CE6E">
            <w:pPr>
              <w:rPr>
                <w:sz w:val="18"/>
                <w:szCs w:val="18"/>
              </w:rPr>
            </w:pPr>
            <w:r>
              <w:rPr>
                <w:sz w:val="18"/>
                <w:szCs w:val="18"/>
              </w:rPr>
              <w:t>选修/考查</w:t>
            </w:r>
          </w:p>
        </w:tc>
      </w:tr>
      <w:tr w14:paraId="0B2064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6" w:hRule="atLeast"/>
          <w:jc w:val="center"/>
        </w:trPr>
        <w:tc>
          <w:tcPr>
            <w:tcW w:w="571" w:type="dxa"/>
            <w:vMerge w:val="continue"/>
          </w:tcPr>
          <w:p w14:paraId="16D645F0">
            <w:pPr>
              <w:rPr>
                <w:b/>
                <w:color w:val="000000" w:themeColor="text1"/>
                <w:sz w:val="18"/>
                <w:szCs w:val="18"/>
                <w14:textFill>
                  <w14:solidFill>
                    <w14:schemeClr w14:val="tx1"/>
                  </w14:solidFill>
                </w14:textFill>
              </w:rPr>
            </w:pPr>
          </w:p>
        </w:tc>
        <w:tc>
          <w:tcPr>
            <w:tcW w:w="1226" w:type="dxa"/>
            <w:vMerge w:val="continue"/>
            <w:vAlign w:val="center"/>
          </w:tcPr>
          <w:p w14:paraId="72FD5F18">
            <w:pPr>
              <w:adjustRightInd w:val="0"/>
              <w:snapToGrid w:val="0"/>
              <w:jc w:val="center"/>
              <w:rPr>
                <w:b/>
                <w:sz w:val="18"/>
                <w:szCs w:val="18"/>
              </w:rPr>
            </w:pPr>
          </w:p>
        </w:tc>
        <w:tc>
          <w:tcPr>
            <w:tcW w:w="3355" w:type="dxa"/>
            <w:shd w:val="clear" w:color="auto" w:fill="auto"/>
            <w:vAlign w:val="center"/>
          </w:tcPr>
          <w:p w14:paraId="5589F7FC">
            <w:pPr>
              <w:jc w:val="left"/>
              <w:rPr>
                <w:sz w:val="18"/>
                <w:szCs w:val="18"/>
              </w:rPr>
            </w:pPr>
            <w:r>
              <w:rPr>
                <w:rFonts w:hint="eastAsia"/>
                <w:sz w:val="18"/>
                <w:szCs w:val="18"/>
              </w:rPr>
              <w:t>生态保护与修复</w:t>
            </w:r>
          </w:p>
        </w:tc>
        <w:tc>
          <w:tcPr>
            <w:tcW w:w="1242" w:type="dxa"/>
            <w:shd w:val="clear" w:color="auto" w:fill="auto"/>
            <w:vAlign w:val="center"/>
          </w:tcPr>
          <w:p w14:paraId="5E3F0439">
            <w:pPr>
              <w:jc w:val="center"/>
              <w:rPr>
                <w:rFonts w:hint="eastAsia" w:eastAsia="宋体"/>
                <w:sz w:val="18"/>
                <w:szCs w:val="18"/>
                <w:lang w:eastAsia="zh-CN"/>
              </w:rPr>
            </w:pPr>
            <w:r>
              <w:rPr>
                <w:iCs/>
                <w:sz w:val="18"/>
                <w:szCs w:val="18"/>
              </w:rPr>
              <w:t>XB28</w:t>
            </w:r>
            <w:r>
              <w:rPr>
                <w:rFonts w:hint="eastAsia"/>
                <w:iCs/>
                <w:sz w:val="18"/>
                <w:szCs w:val="18"/>
              </w:rPr>
              <w:t>06</w:t>
            </w:r>
            <w:r>
              <w:rPr>
                <w:iCs/>
                <w:sz w:val="18"/>
                <w:szCs w:val="18"/>
              </w:rPr>
              <w:t>20</w:t>
            </w:r>
            <w:r>
              <w:rPr>
                <w:rFonts w:hint="eastAsia"/>
                <w:iCs/>
                <w:sz w:val="18"/>
                <w:szCs w:val="18"/>
                <w:lang w:val="en-US" w:eastAsia="zh-CN"/>
              </w:rPr>
              <w:t>5</w:t>
            </w:r>
          </w:p>
        </w:tc>
        <w:tc>
          <w:tcPr>
            <w:tcW w:w="709" w:type="dxa"/>
            <w:shd w:val="clear" w:color="auto" w:fill="auto"/>
            <w:vAlign w:val="center"/>
          </w:tcPr>
          <w:p w14:paraId="1610910B">
            <w:pPr>
              <w:jc w:val="center"/>
              <w:rPr>
                <w:sz w:val="18"/>
                <w:szCs w:val="18"/>
              </w:rPr>
            </w:pPr>
            <w:r>
              <w:rPr>
                <w:sz w:val="18"/>
                <w:szCs w:val="18"/>
              </w:rPr>
              <w:t>2</w:t>
            </w:r>
          </w:p>
        </w:tc>
        <w:tc>
          <w:tcPr>
            <w:tcW w:w="709" w:type="dxa"/>
            <w:shd w:val="clear" w:color="auto" w:fill="auto"/>
            <w:vAlign w:val="center"/>
          </w:tcPr>
          <w:p w14:paraId="2F91D80C">
            <w:pPr>
              <w:jc w:val="center"/>
              <w:rPr>
                <w:sz w:val="18"/>
                <w:szCs w:val="18"/>
              </w:rPr>
            </w:pPr>
            <w:r>
              <w:rPr>
                <w:sz w:val="18"/>
                <w:szCs w:val="18"/>
              </w:rPr>
              <w:t>1</w:t>
            </w:r>
          </w:p>
        </w:tc>
        <w:tc>
          <w:tcPr>
            <w:tcW w:w="1045" w:type="dxa"/>
            <w:shd w:val="clear" w:color="auto" w:fill="auto"/>
          </w:tcPr>
          <w:p w14:paraId="43B46D16">
            <w:pPr>
              <w:jc w:val="left"/>
              <w:rPr>
                <w:sz w:val="18"/>
                <w:szCs w:val="18"/>
              </w:rPr>
            </w:pPr>
            <w:r>
              <w:rPr>
                <w:sz w:val="18"/>
                <w:szCs w:val="18"/>
              </w:rPr>
              <w:t>选修/考查</w:t>
            </w:r>
          </w:p>
        </w:tc>
      </w:tr>
      <w:tr w14:paraId="5E0669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2BD4AE">
            <w:pPr>
              <w:rPr>
                <w:b/>
                <w:color w:val="000000" w:themeColor="text1"/>
                <w:sz w:val="18"/>
                <w:szCs w:val="18"/>
                <w14:textFill>
                  <w14:solidFill>
                    <w14:schemeClr w14:val="tx1"/>
                  </w14:solidFill>
                </w14:textFill>
              </w:rPr>
            </w:pPr>
          </w:p>
        </w:tc>
        <w:tc>
          <w:tcPr>
            <w:tcW w:w="1226" w:type="dxa"/>
            <w:vMerge w:val="continue"/>
          </w:tcPr>
          <w:p w14:paraId="5E53BA99">
            <w:pPr>
              <w:adjustRightInd w:val="0"/>
              <w:snapToGrid w:val="0"/>
              <w:jc w:val="center"/>
              <w:rPr>
                <w:b/>
                <w:sz w:val="18"/>
                <w:szCs w:val="18"/>
              </w:rPr>
            </w:pPr>
          </w:p>
        </w:tc>
        <w:tc>
          <w:tcPr>
            <w:tcW w:w="3355" w:type="dxa"/>
            <w:shd w:val="clear" w:color="auto" w:fill="auto"/>
            <w:vAlign w:val="center"/>
          </w:tcPr>
          <w:p w14:paraId="7D594D94">
            <w:pPr>
              <w:jc w:val="left"/>
              <w:rPr>
                <w:sz w:val="18"/>
                <w:szCs w:val="18"/>
              </w:rPr>
            </w:pPr>
            <w:r>
              <w:rPr>
                <w:rFonts w:hint="eastAsia"/>
                <w:sz w:val="18"/>
                <w:szCs w:val="18"/>
              </w:rPr>
              <w:t>资源与环境前沿进展</w:t>
            </w:r>
          </w:p>
        </w:tc>
        <w:tc>
          <w:tcPr>
            <w:tcW w:w="1242" w:type="dxa"/>
            <w:shd w:val="clear" w:color="auto" w:fill="auto"/>
            <w:vAlign w:val="center"/>
          </w:tcPr>
          <w:p w14:paraId="45197905">
            <w:pPr>
              <w:jc w:val="center"/>
              <w:rPr>
                <w:rFonts w:hint="eastAsia" w:eastAsia="宋体"/>
                <w:sz w:val="18"/>
                <w:szCs w:val="18"/>
                <w:lang w:eastAsia="zh-CN"/>
              </w:rPr>
            </w:pPr>
            <w:r>
              <w:rPr>
                <w:iCs/>
                <w:sz w:val="18"/>
                <w:szCs w:val="18"/>
              </w:rPr>
              <w:t>XB28</w:t>
            </w:r>
            <w:r>
              <w:rPr>
                <w:rFonts w:hint="eastAsia"/>
                <w:iCs/>
                <w:sz w:val="18"/>
                <w:szCs w:val="18"/>
              </w:rPr>
              <w:t>06</w:t>
            </w:r>
            <w:r>
              <w:rPr>
                <w:iCs/>
                <w:sz w:val="18"/>
                <w:szCs w:val="18"/>
              </w:rPr>
              <w:t>20</w:t>
            </w:r>
            <w:r>
              <w:rPr>
                <w:rFonts w:hint="eastAsia"/>
                <w:iCs/>
                <w:sz w:val="18"/>
                <w:szCs w:val="18"/>
                <w:lang w:val="en-US" w:eastAsia="zh-CN"/>
              </w:rPr>
              <w:t>6</w:t>
            </w:r>
            <w:bookmarkStart w:id="0" w:name="_GoBack"/>
            <w:bookmarkEnd w:id="0"/>
          </w:p>
        </w:tc>
        <w:tc>
          <w:tcPr>
            <w:tcW w:w="709" w:type="dxa"/>
            <w:shd w:val="clear" w:color="auto" w:fill="auto"/>
            <w:vAlign w:val="center"/>
          </w:tcPr>
          <w:p w14:paraId="26943377">
            <w:pPr>
              <w:jc w:val="center"/>
              <w:rPr>
                <w:sz w:val="18"/>
                <w:szCs w:val="18"/>
              </w:rPr>
            </w:pPr>
            <w:r>
              <w:rPr>
                <w:sz w:val="18"/>
                <w:szCs w:val="18"/>
              </w:rPr>
              <w:t>2</w:t>
            </w:r>
          </w:p>
        </w:tc>
        <w:tc>
          <w:tcPr>
            <w:tcW w:w="709" w:type="dxa"/>
            <w:shd w:val="clear" w:color="auto" w:fill="auto"/>
            <w:vAlign w:val="center"/>
          </w:tcPr>
          <w:p w14:paraId="0C55779F">
            <w:pPr>
              <w:jc w:val="center"/>
              <w:rPr>
                <w:sz w:val="18"/>
                <w:szCs w:val="18"/>
              </w:rPr>
            </w:pPr>
            <w:r>
              <w:rPr>
                <w:sz w:val="18"/>
                <w:szCs w:val="18"/>
              </w:rPr>
              <w:t>1</w:t>
            </w:r>
          </w:p>
        </w:tc>
        <w:tc>
          <w:tcPr>
            <w:tcW w:w="1045" w:type="dxa"/>
            <w:shd w:val="clear" w:color="auto" w:fill="auto"/>
          </w:tcPr>
          <w:p w14:paraId="39D5F04A">
            <w:pPr>
              <w:jc w:val="left"/>
              <w:rPr>
                <w:sz w:val="18"/>
                <w:szCs w:val="18"/>
              </w:rPr>
            </w:pPr>
            <w:r>
              <w:rPr>
                <w:sz w:val="18"/>
                <w:szCs w:val="18"/>
              </w:rPr>
              <w:t>选修/考查</w:t>
            </w:r>
          </w:p>
        </w:tc>
      </w:tr>
      <w:tr w14:paraId="4A4161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4517F6A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2D68735">
            <w:pPr>
              <w:jc w:val="center"/>
              <w:rPr>
                <w:b/>
                <w:color w:val="000000" w:themeColor="text1"/>
                <w:sz w:val="18"/>
                <w:szCs w:val="18"/>
                <w14:textFill>
                  <w14:solidFill>
                    <w14:schemeClr w14:val="tx1"/>
                  </w14:solidFill>
                </w14:textFill>
              </w:rPr>
            </w:pPr>
          </w:p>
        </w:tc>
        <w:tc>
          <w:tcPr>
            <w:tcW w:w="1226" w:type="dxa"/>
            <w:vMerge w:val="restart"/>
            <w:vAlign w:val="center"/>
          </w:tcPr>
          <w:p w14:paraId="1117549E">
            <w:pPr>
              <w:jc w:val="center"/>
              <w:rPr>
                <w:b/>
                <w:sz w:val="18"/>
                <w:szCs w:val="18"/>
              </w:rPr>
            </w:pPr>
            <w:r>
              <w:rPr>
                <w:b/>
                <w:sz w:val="18"/>
                <w:szCs w:val="18"/>
              </w:rPr>
              <w:t>素质拓展</w:t>
            </w:r>
          </w:p>
        </w:tc>
        <w:tc>
          <w:tcPr>
            <w:tcW w:w="3355" w:type="dxa"/>
            <w:vAlign w:val="center"/>
          </w:tcPr>
          <w:p w14:paraId="380BA432">
            <w:pPr>
              <w:rPr>
                <w:sz w:val="18"/>
                <w:szCs w:val="18"/>
              </w:rPr>
            </w:pPr>
            <w:r>
              <w:rPr>
                <w:sz w:val="18"/>
                <w:szCs w:val="18"/>
              </w:rPr>
              <w:t>入学教育</w:t>
            </w:r>
          </w:p>
        </w:tc>
        <w:tc>
          <w:tcPr>
            <w:tcW w:w="1242" w:type="dxa"/>
            <w:vAlign w:val="center"/>
          </w:tcPr>
          <w:p w14:paraId="158BF810">
            <w:pPr>
              <w:jc w:val="center"/>
              <w:rPr>
                <w:sz w:val="18"/>
                <w:szCs w:val="18"/>
              </w:rPr>
            </w:pPr>
          </w:p>
        </w:tc>
        <w:tc>
          <w:tcPr>
            <w:tcW w:w="709" w:type="dxa"/>
            <w:vAlign w:val="center"/>
          </w:tcPr>
          <w:p w14:paraId="3276A2D8">
            <w:pPr>
              <w:jc w:val="center"/>
              <w:rPr>
                <w:sz w:val="18"/>
                <w:szCs w:val="18"/>
              </w:rPr>
            </w:pPr>
          </w:p>
        </w:tc>
        <w:tc>
          <w:tcPr>
            <w:tcW w:w="709" w:type="dxa"/>
            <w:vAlign w:val="center"/>
          </w:tcPr>
          <w:p w14:paraId="27D15234">
            <w:pPr>
              <w:jc w:val="center"/>
              <w:rPr>
                <w:sz w:val="18"/>
                <w:szCs w:val="18"/>
              </w:rPr>
            </w:pPr>
            <w:r>
              <w:rPr>
                <w:sz w:val="18"/>
                <w:szCs w:val="18"/>
              </w:rPr>
              <w:t>1</w:t>
            </w:r>
          </w:p>
        </w:tc>
        <w:tc>
          <w:tcPr>
            <w:tcW w:w="1045" w:type="dxa"/>
            <w:vMerge w:val="restart"/>
            <w:vAlign w:val="center"/>
          </w:tcPr>
          <w:p w14:paraId="53A1A77E">
            <w:pPr>
              <w:jc w:val="center"/>
              <w:rPr>
                <w:i/>
                <w:sz w:val="18"/>
                <w:szCs w:val="18"/>
              </w:rPr>
            </w:pPr>
          </w:p>
        </w:tc>
      </w:tr>
      <w:tr w14:paraId="453C6C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431E1A9">
            <w:pPr>
              <w:jc w:val="center"/>
              <w:rPr>
                <w:b/>
                <w:color w:val="000000" w:themeColor="text1"/>
                <w:sz w:val="18"/>
                <w:szCs w:val="18"/>
                <w14:textFill>
                  <w14:solidFill>
                    <w14:schemeClr w14:val="tx1"/>
                  </w14:solidFill>
                </w14:textFill>
              </w:rPr>
            </w:pPr>
          </w:p>
        </w:tc>
        <w:tc>
          <w:tcPr>
            <w:tcW w:w="1226" w:type="dxa"/>
            <w:vMerge w:val="continue"/>
            <w:vAlign w:val="center"/>
          </w:tcPr>
          <w:p w14:paraId="0A183C3C">
            <w:pPr>
              <w:jc w:val="center"/>
              <w:rPr>
                <w:b/>
                <w:color w:val="000000" w:themeColor="text1"/>
                <w:sz w:val="18"/>
                <w:szCs w:val="18"/>
                <w14:textFill>
                  <w14:solidFill>
                    <w14:schemeClr w14:val="tx1"/>
                  </w14:solidFill>
                </w14:textFill>
              </w:rPr>
            </w:pPr>
          </w:p>
        </w:tc>
        <w:tc>
          <w:tcPr>
            <w:tcW w:w="3355" w:type="dxa"/>
            <w:vAlign w:val="center"/>
          </w:tcPr>
          <w:p w14:paraId="040B151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242" w:type="dxa"/>
            <w:vAlign w:val="center"/>
          </w:tcPr>
          <w:p w14:paraId="2A180345">
            <w:pPr>
              <w:jc w:val="center"/>
              <w:rPr>
                <w:color w:val="000000" w:themeColor="text1"/>
                <w:sz w:val="18"/>
                <w:szCs w:val="18"/>
                <w14:textFill>
                  <w14:solidFill>
                    <w14:schemeClr w14:val="tx1"/>
                  </w14:solidFill>
                </w14:textFill>
              </w:rPr>
            </w:pPr>
          </w:p>
        </w:tc>
        <w:tc>
          <w:tcPr>
            <w:tcW w:w="709" w:type="dxa"/>
            <w:vAlign w:val="center"/>
          </w:tcPr>
          <w:p w14:paraId="1A274AB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565434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1-8</w:t>
            </w:r>
          </w:p>
        </w:tc>
        <w:tc>
          <w:tcPr>
            <w:tcW w:w="1045" w:type="dxa"/>
            <w:vMerge w:val="continue"/>
            <w:vAlign w:val="center"/>
          </w:tcPr>
          <w:p w14:paraId="3F2924DE">
            <w:pPr>
              <w:jc w:val="center"/>
              <w:rPr>
                <w:color w:val="000000" w:themeColor="text1"/>
                <w:sz w:val="18"/>
                <w:szCs w:val="18"/>
                <w14:textFill>
                  <w14:solidFill>
                    <w14:schemeClr w14:val="tx1"/>
                  </w14:solidFill>
                </w14:textFill>
              </w:rPr>
            </w:pPr>
          </w:p>
        </w:tc>
      </w:tr>
      <w:tr w14:paraId="6558C8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9E2793">
            <w:pPr>
              <w:rPr>
                <w:b/>
                <w:color w:val="000000" w:themeColor="text1"/>
                <w:sz w:val="18"/>
                <w:szCs w:val="18"/>
                <w14:textFill>
                  <w14:solidFill>
                    <w14:schemeClr w14:val="tx1"/>
                  </w14:solidFill>
                </w14:textFill>
              </w:rPr>
            </w:pPr>
          </w:p>
        </w:tc>
        <w:tc>
          <w:tcPr>
            <w:tcW w:w="1226" w:type="dxa"/>
            <w:vMerge w:val="restart"/>
            <w:vAlign w:val="center"/>
          </w:tcPr>
          <w:p w14:paraId="1C781DF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355" w:type="dxa"/>
            <w:vAlign w:val="center"/>
          </w:tcPr>
          <w:p w14:paraId="408BF7F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242" w:type="dxa"/>
            <w:vAlign w:val="center"/>
          </w:tcPr>
          <w:p w14:paraId="4D48E50A">
            <w:pPr>
              <w:jc w:val="center"/>
              <w:rPr>
                <w:color w:val="000000" w:themeColor="text1"/>
                <w:sz w:val="18"/>
                <w:szCs w:val="18"/>
                <w14:textFill>
                  <w14:solidFill>
                    <w14:schemeClr w14:val="tx1"/>
                  </w14:solidFill>
                </w14:textFill>
              </w:rPr>
            </w:pPr>
          </w:p>
        </w:tc>
        <w:tc>
          <w:tcPr>
            <w:tcW w:w="709" w:type="dxa"/>
            <w:vAlign w:val="center"/>
          </w:tcPr>
          <w:p w14:paraId="3DEEF7CA">
            <w:pPr>
              <w:jc w:val="center"/>
              <w:rPr>
                <w:color w:val="000000" w:themeColor="text1"/>
                <w:sz w:val="18"/>
                <w:szCs w:val="18"/>
                <w14:textFill>
                  <w14:solidFill>
                    <w14:schemeClr w14:val="tx1"/>
                  </w14:solidFill>
                </w14:textFill>
              </w:rPr>
            </w:pPr>
          </w:p>
        </w:tc>
        <w:tc>
          <w:tcPr>
            <w:tcW w:w="709" w:type="dxa"/>
            <w:vAlign w:val="center"/>
          </w:tcPr>
          <w:p w14:paraId="7FA7DD42">
            <w:pPr>
              <w:jc w:val="center"/>
              <w:rPr>
                <w:iCs/>
                <w:sz w:val="18"/>
                <w:szCs w:val="18"/>
              </w:rPr>
            </w:pPr>
            <w:r>
              <w:rPr>
                <w:rFonts w:hint="eastAsia"/>
                <w:iCs/>
                <w:sz w:val="18"/>
                <w:szCs w:val="18"/>
              </w:rPr>
              <w:t>3-4</w:t>
            </w:r>
          </w:p>
        </w:tc>
        <w:tc>
          <w:tcPr>
            <w:tcW w:w="1045" w:type="dxa"/>
            <w:vMerge w:val="restart"/>
            <w:vAlign w:val="center"/>
          </w:tcPr>
          <w:p w14:paraId="4742B9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569FB3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0966D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05E4E0">
            <w:pPr>
              <w:rPr>
                <w:b/>
                <w:color w:val="000000" w:themeColor="text1"/>
                <w:sz w:val="18"/>
                <w:szCs w:val="18"/>
                <w14:textFill>
                  <w14:solidFill>
                    <w14:schemeClr w14:val="tx1"/>
                  </w14:solidFill>
                </w14:textFill>
              </w:rPr>
            </w:pPr>
          </w:p>
        </w:tc>
        <w:tc>
          <w:tcPr>
            <w:tcW w:w="1226" w:type="dxa"/>
            <w:vMerge w:val="continue"/>
            <w:vAlign w:val="center"/>
          </w:tcPr>
          <w:p w14:paraId="1DAAA59A">
            <w:pPr>
              <w:jc w:val="center"/>
              <w:rPr>
                <w:b/>
                <w:color w:val="000000" w:themeColor="text1"/>
                <w:sz w:val="18"/>
                <w:szCs w:val="18"/>
                <w14:textFill>
                  <w14:solidFill>
                    <w14:schemeClr w14:val="tx1"/>
                  </w14:solidFill>
                </w14:textFill>
              </w:rPr>
            </w:pPr>
          </w:p>
        </w:tc>
        <w:tc>
          <w:tcPr>
            <w:tcW w:w="3355" w:type="dxa"/>
            <w:vAlign w:val="center"/>
          </w:tcPr>
          <w:p w14:paraId="39D388B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242" w:type="dxa"/>
            <w:vAlign w:val="center"/>
          </w:tcPr>
          <w:p w14:paraId="0F637372">
            <w:pPr>
              <w:jc w:val="center"/>
              <w:rPr>
                <w:color w:val="000000" w:themeColor="text1"/>
                <w:sz w:val="18"/>
                <w:szCs w:val="18"/>
                <w14:textFill>
                  <w14:solidFill>
                    <w14:schemeClr w14:val="tx1"/>
                  </w14:solidFill>
                </w14:textFill>
              </w:rPr>
            </w:pPr>
          </w:p>
        </w:tc>
        <w:tc>
          <w:tcPr>
            <w:tcW w:w="709" w:type="dxa"/>
            <w:vAlign w:val="center"/>
          </w:tcPr>
          <w:p w14:paraId="73E33F7A">
            <w:pPr>
              <w:jc w:val="center"/>
              <w:rPr>
                <w:color w:val="000000" w:themeColor="text1"/>
                <w:sz w:val="18"/>
                <w:szCs w:val="18"/>
                <w14:textFill>
                  <w14:solidFill>
                    <w14:schemeClr w14:val="tx1"/>
                  </w14:solidFill>
                </w14:textFill>
              </w:rPr>
            </w:pPr>
          </w:p>
        </w:tc>
        <w:tc>
          <w:tcPr>
            <w:tcW w:w="709" w:type="dxa"/>
            <w:vAlign w:val="center"/>
          </w:tcPr>
          <w:p w14:paraId="02EBFE64">
            <w:pPr>
              <w:jc w:val="center"/>
              <w:rPr>
                <w:iCs/>
                <w:sz w:val="18"/>
                <w:szCs w:val="18"/>
              </w:rPr>
            </w:pPr>
            <w:r>
              <w:rPr>
                <w:rFonts w:hint="eastAsia"/>
                <w:iCs/>
                <w:sz w:val="18"/>
                <w:szCs w:val="18"/>
              </w:rPr>
              <w:t>2-3</w:t>
            </w:r>
          </w:p>
        </w:tc>
        <w:tc>
          <w:tcPr>
            <w:tcW w:w="1045" w:type="dxa"/>
            <w:vMerge w:val="continue"/>
            <w:vAlign w:val="center"/>
          </w:tcPr>
          <w:p w14:paraId="793E0468">
            <w:pPr>
              <w:jc w:val="center"/>
              <w:rPr>
                <w:color w:val="000000" w:themeColor="text1"/>
                <w:sz w:val="18"/>
                <w:szCs w:val="18"/>
                <w14:textFill>
                  <w14:solidFill>
                    <w14:schemeClr w14:val="tx1"/>
                  </w14:solidFill>
                </w14:textFill>
              </w:rPr>
            </w:pPr>
          </w:p>
        </w:tc>
      </w:tr>
      <w:tr w14:paraId="1D271E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D64152">
            <w:pPr>
              <w:rPr>
                <w:b/>
                <w:color w:val="000000" w:themeColor="text1"/>
                <w:sz w:val="18"/>
                <w:szCs w:val="18"/>
                <w14:textFill>
                  <w14:solidFill>
                    <w14:schemeClr w14:val="tx1"/>
                  </w14:solidFill>
                </w14:textFill>
              </w:rPr>
            </w:pPr>
          </w:p>
        </w:tc>
        <w:tc>
          <w:tcPr>
            <w:tcW w:w="1226" w:type="dxa"/>
            <w:vMerge w:val="continue"/>
            <w:vAlign w:val="center"/>
          </w:tcPr>
          <w:p w14:paraId="130487D1">
            <w:pPr>
              <w:jc w:val="center"/>
              <w:rPr>
                <w:b/>
                <w:color w:val="000000" w:themeColor="text1"/>
                <w:sz w:val="18"/>
                <w:szCs w:val="18"/>
                <w14:textFill>
                  <w14:solidFill>
                    <w14:schemeClr w14:val="tx1"/>
                  </w14:solidFill>
                </w14:textFill>
              </w:rPr>
            </w:pPr>
          </w:p>
        </w:tc>
        <w:tc>
          <w:tcPr>
            <w:tcW w:w="3355" w:type="dxa"/>
            <w:vAlign w:val="center"/>
          </w:tcPr>
          <w:p w14:paraId="06EE19B6">
            <w:pPr>
              <w:rPr>
                <w:sz w:val="18"/>
                <w:szCs w:val="18"/>
              </w:rPr>
            </w:pPr>
            <w:r>
              <w:rPr>
                <w:sz w:val="18"/>
                <w:szCs w:val="18"/>
              </w:rPr>
              <w:t>论文中期进展报告</w:t>
            </w:r>
          </w:p>
        </w:tc>
        <w:tc>
          <w:tcPr>
            <w:tcW w:w="1242" w:type="dxa"/>
            <w:vAlign w:val="center"/>
          </w:tcPr>
          <w:p w14:paraId="0E728018">
            <w:pPr>
              <w:jc w:val="center"/>
              <w:rPr>
                <w:color w:val="000000" w:themeColor="text1"/>
                <w:sz w:val="18"/>
                <w:szCs w:val="18"/>
                <w14:textFill>
                  <w14:solidFill>
                    <w14:schemeClr w14:val="tx1"/>
                  </w14:solidFill>
                </w14:textFill>
              </w:rPr>
            </w:pPr>
          </w:p>
        </w:tc>
        <w:tc>
          <w:tcPr>
            <w:tcW w:w="709" w:type="dxa"/>
            <w:vAlign w:val="center"/>
          </w:tcPr>
          <w:p w14:paraId="0851C3A1">
            <w:pPr>
              <w:jc w:val="center"/>
              <w:rPr>
                <w:color w:val="000000" w:themeColor="text1"/>
                <w:sz w:val="18"/>
                <w:szCs w:val="18"/>
                <w14:textFill>
                  <w14:solidFill>
                    <w14:schemeClr w14:val="tx1"/>
                  </w14:solidFill>
                </w14:textFill>
              </w:rPr>
            </w:pPr>
          </w:p>
        </w:tc>
        <w:tc>
          <w:tcPr>
            <w:tcW w:w="709" w:type="dxa"/>
            <w:vAlign w:val="center"/>
          </w:tcPr>
          <w:p w14:paraId="0A9D5D77">
            <w:pPr>
              <w:jc w:val="center"/>
              <w:rPr>
                <w:iCs/>
                <w:sz w:val="18"/>
                <w:szCs w:val="18"/>
              </w:rPr>
            </w:pPr>
            <w:r>
              <w:rPr>
                <w:rFonts w:hint="eastAsia"/>
                <w:iCs/>
                <w:sz w:val="18"/>
                <w:szCs w:val="18"/>
              </w:rPr>
              <w:t>5-6</w:t>
            </w:r>
          </w:p>
        </w:tc>
        <w:tc>
          <w:tcPr>
            <w:tcW w:w="1045" w:type="dxa"/>
            <w:vMerge w:val="continue"/>
          </w:tcPr>
          <w:p w14:paraId="45DF8A5D">
            <w:pPr>
              <w:jc w:val="center"/>
              <w:rPr>
                <w:color w:val="000000" w:themeColor="text1"/>
                <w:sz w:val="18"/>
                <w:szCs w:val="18"/>
                <w14:textFill>
                  <w14:solidFill>
                    <w14:schemeClr w14:val="tx1"/>
                  </w14:solidFill>
                </w14:textFill>
              </w:rPr>
            </w:pPr>
          </w:p>
        </w:tc>
      </w:tr>
      <w:tr w14:paraId="0A029D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A69711">
            <w:pPr>
              <w:rPr>
                <w:b/>
                <w:color w:val="000000" w:themeColor="text1"/>
                <w:sz w:val="18"/>
                <w:szCs w:val="18"/>
                <w14:textFill>
                  <w14:solidFill>
                    <w14:schemeClr w14:val="tx1"/>
                  </w14:solidFill>
                </w14:textFill>
              </w:rPr>
            </w:pPr>
          </w:p>
        </w:tc>
        <w:tc>
          <w:tcPr>
            <w:tcW w:w="1226" w:type="dxa"/>
            <w:vMerge w:val="continue"/>
            <w:vAlign w:val="center"/>
          </w:tcPr>
          <w:p w14:paraId="6B7B1020">
            <w:pPr>
              <w:jc w:val="center"/>
              <w:rPr>
                <w:b/>
                <w:color w:val="000000" w:themeColor="text1"/>
                <w:sz w:val="18"/>
                <w:szCs w:val="18"/>
                <w14:textFill>
                  <w14:solidFill>
                    <w14:schemeClr w14:val="tx1"/>
                  </w14:solidFill>
                </w14:textFill>
              </w:rPr>
            </w:pPr>
          </w:p>
        </w:tc>
        <w:tc>
          <w:tcPr>
            <w:tcW w:w="3355" w:type="dxa"/>
            <w:vAlign w:val="center"/>
          </w:tcPr>
          <w:p w14:paraId="55F5947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242" w:type="dxa"/>
            <w:vAlign w:val="center"/>
          </w:tcPr>
          <w:p w14:paraId="7C6E555D">
            <w:pPr>
              <w:jc w:val="center"/>
              <w:rPr>
                <w:color w:val="000000" w:themeColor="text1"/>
                <w:sz w:val="18"/>
                <w:szCs w:val="18"/>
                <w14:textFill>
                  <w14:solidFill>
                    <w14:schemeClr w14:val="tx1"/>
                  </w14:solidFill>
                </w14:textFill>
              </w:rPr>
            </w:pPr>
          </w:p>
        </w:tc>
        <w:tc>
          <w:tcPr>
            <w:tcW w:w="709" w:type="dxa"/>
            <w:vAlign w:val="center"/>
          </w:tcPr>
          <w:p w14:paraId="4D7309D7">
            <w:pPr>
              <w:jc w:val="center"/>
              <w:rPr>
                <w:color w:val="000000" w:themeColor="text1"/>
                <w:sz w:val="18"/>
                <w:szCs w:val="18"/>
                <w14:textFill>
                  <w14:solidFill>
                    <w14:schemeClr w14:val="tx1"/>
                  </w14:solidFill>
                </w14:textFill>
              </w:rPr>
            </w:pPr>
          </w:p>
        </w:tc>
        <w:tc>
          <w:tcPr>
            <w:tcW w:w="709" w:type="dxa"/>
            <w:vAlign w:val="center"/>
          </w:tcPr>
          <w:p w14:paraId="77FE5466">
            <w:pPr>
              <w:jc w:val="center"/>
              <w:rPr>
                <w:iCs/>
                <w:sz w:val="18"/>
                <w:szCs w:val="18"/>
              </w:rPr>
            </w:pPr>
            <w:r>
              <w:rPr>
                <w:rFonts w:hint="eastAsia"/>
                <w:iCs/>
                <w:sz w:val="18"/>
                <w:szCs w:val="18"/>
              </w:rPr>
              <w:t>7</w:t>
            </w:r>
          </w:p>
        </w:tc>
        <w:tc>
          <w:tcPr>
            <w:tcW w:w="1045" w:type="dxa"/>
            <w:vMerge w:val="continue"/>
          </w:tcPr>
          <w:p w14:paraId="108CBECC">
            <w:pPr>
              <w:jc w:val="center"/>
              <w:rPr>
                <w:color w:val="000000" w:themeColor="text1"/>
                <w:sz w:val="18"/>
                <w:szCs w:val="18"/>
                <w14:textFill>
                  <w14:solidFill>
                    <w14:schemeClr w14:val="tx1"/>
                  </w14:solidFill>
                </w14:textFill>
              </w:rPr>
            </w:pPr>
          </w:p>
        </w:tc>
      </w:tr>
      <w:tr w14:paraId="5CB3D8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A4E866">
            <w:pPr>
              <w:rPr>
                <w:color w:val="000000" w:themeColor="text1"/>
                <w:sz w:val="18"/>
                <w:szCs w:val="18"/>
                <w14:textFill>
                  <w14:solidFill>
                    <w14:schemeClr w14:val="tx1"/>
                  </w14:solidFill>
                </w14:textFill>
              </w:rPr>
            </w:pPr>
          </w:p>
        </w:tc>
        <w:tc>
          <w:tcPr>
            <w:tcW w:w="1226" w:type="dxa"/>
            <w:vMerge w:val="continue"/>
          </w:tcPr>
          <w:p w14:paraId="0BE382C2">
            <w:pPr>
              <w:jc w:val="center"/>
              <w:rPr>
                <w:color w:val="000000" w:themeColor="text1"/>
                <w:sz w:val="18"/>
                <w:szCs w:val="18"/>
                <w14:textFill>
                  <w14:solidFill>
                    <w14:schemeClr w14:val="tx1"/>
                  </w14:solidFill>
                </w14:textFill>
              </w:rPr>
            </w:pPr>
          </w:p>
        </w:tc>
        <w:tc>
          <w:tcPr>
            <w:tcW w:w="3355" w:type="dxa"/>
            <w:vAlign w:val="center"/>
          </w:tcPr>
          <w:p w14:paraId="1BBE752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242" w:type="dxa"/>
            <w:vAlign w:val="center"/>
          </w:tcPr>
          <w:p w14:paraId="1E1F35A1">
            <w:pPr>
              <w:jc w:val="center"/>
              <w:rPr>
                <w:color w:val="000000" w:themeColor="text1"/>
                <w:sz w:val="18"/>
                <w:szCs w:val="18"/>
                <w14:textFill>
                  <w14:solidFill>
                    <w14:schemeClr w14:val="tx1"/>
                  </w14:solidFill>
                </w14:textFill>
              </w:rPr>
            </w:pPr>
          </w:p>
        </w:tc>
        <w:tc>
          <w:tcPr>
            <w:tcW w:w="709" w:type="dxa"/>
            <w:vAlign w:val="center"/>
          </w:tcPr>
          <w:p w14:paraId="08829086">
            <w:pPr>
              <w:jc w:val="center"/>
              <w:rPr>
                <w:color w:val="000000" w:themeColor="text1"/>
                <w:sz w:val="18"/>
                <w:szCs w:val="18"/>
                <w14:textFill>
                  <w14:solidFill>
                    <w14:schemeClr w14:val="tx1"/>
                  </w14:solidFill>
                </w14:textFill>
              </w:rPr>
            </w:pPr>
          </w:p>
        </w:tc>
        <w:tc>
          <w:tcPr>
            <w:tcW w:w="709" w:type="dxa"/>
            <w:vAlign w:val="center"/>
          </w:tcPr>
          <w:p w14:paraId="7520A6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1CC90E76">
            <w:pPr>
              <w:jc w:val="center"/>
              <w:rPr>
                <w:color w:val="000000" w:themeColor="text1"/>
                <w:sz w:val="18"/>
                <w:szCs w:val="18"/>
                <w14:textFill>
                  <w14:solidFill>
                    <w14:schemeClr w14:val="tx1"/>
                  </w14:solidFill>
                </w14:textFill>
              </w:rPr>
            </w:pPr>
          </w:p>
        </w:tc>
      </w:tr>
      <w:tr w14:paraId="0C9644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0E2499">
            <w:pPr>
              <w:rPr>
                <w:color w:val="000000" w:themeColor="text1"/>
                <w:sz w:val="18"/>
                <w:szCs w:val="18"/>
                <w14:textFill>
                  <w14:solidFill>
                    <w14:schemeClr w14:val="tx1"/>
                  </w14:solidFill>
                </w14:textFill>
              </w:rPr>
            </w:pPr>
          </w:p>
        </w:tc>
        <w:tc>
          <w:tcPr>
            <w:tcW w:w="1226" w:type="dxa"/>
            <w:vMerge w:val="continue"/>
          </w:tcPr>
          <w:p w14:paraId="00AF5C9E">
            <w:pPr>
              <w:jc w:val="center"/>
              <w:rPr>
                <w:color w:val="000000" w:themeColor="text1"/>
                <w:sz w:val="18"/>
                <w:szCs w:val="18"/>
                <w14:textFill>
                  <w14:solidFill>
                    <w14:schemeClr w14:val="tx1"/>
                  </w14:solidFill>
                </w14:textFill>
              </w:rPr>
            </w:pPr>
          </w:p>
        </w:tc>
        <w:tc>
          <w:tcPr>
            <w:tcW w:w="3355" w:type="dxa"/>
            <w:vAlign w:val="center"/>
          </w:tcPr>
          <w:p w14:paraId="74784A2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242" w:type="dxa"/>
            <w:vAlign w:val="center"/>
          </w:tcPr>
          <w:p w14:paraId="000576AF">
            <w:pPr>
              <w:jc w:val="center"/>
              <w:rPr>
                <w:color w:val="000000" w:themeColor="text1"/>
                <w:sz w:val="18"/>
                <w:szCs w:val="18"/>
                <w14:textFill>
                  <w14:solidFill>
                    <w14:schemeClr w14:val="tx1"/>
                  </w14:solidFill>
                </w14:textFill>
              </w:rPr>
            </w:pPr>
          </w:p>
        </w:tc>
        <w:tc>
          <w:tcPr>
            <w:tcW w:w="709" w:type="dxa"/>
            <w:vAlign w:val="center"/>
          </w:tcPr>
          <w:p w14:paraId="4FAE8C9D">
            <w:pPr>
              <w:jc w:val="center"/>
              <w:rPr>
                <w:color w:val="000000" w:themeColor="text1"/>
                <w:sz w:val="18"/>
                <w:szCs w:val="18"/>
                <w14:textFill>
                  <w14:solidFill>
                    <w14:schemeClr w14:val="tx1"/>
                  </w14:solidFill>
                </w14:textFill>
              </w:rPr>
            </w:pPr>
          </w:p>
        </w:tc>
        <w:tc>
          <w:tcPr>
            <w:tcW w:w="709" w:type="dxa"/>
            <w:vAlign w:val="center"/>
          </w:tcPr>
          <w:p w14:paraId="2A77A3C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491B686E">
            <w:pPr>
              <w:jc w:val="center"/>
              <w:rPr>
                <w:color w:val="000000" w:themeColor="text1"/>
                <w:sz w:val="18"/>
                <w:szCs w:val="18"/>
                <w14:textFill>
                  <w14:solidFill>
                    <w14:schemeClr w14:val="tx1"/>
                  </w14:solidFill>
                </w14:textFill>
              </w:rPr>
            </w:pPr>
          </w:p>
        </w:tc>
      </w:tr>
    </w:tbl>
    <w:p w14:paraId="523B4603">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B60D3E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4423030">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8829FF8">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44E7FA"/>
    <w:multiLevelType w:val="singleLevel"/>
    <w:tmpl w:val="2644E7FA"/>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lMzJiZDc3YzM0ZjgyYTIyNGNlYzc4MmEzM2ZhYTM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B00"/>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3786"/>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BA4"/>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5270"/>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DA8"/>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91"/>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8A"/>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558"/>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3AD"/>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62A9"/>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538689E"/>
    <w:rsid w:val="070F4B3C"/>
    <w:rsid w:val="08C00A53"/>
    <w:rsid w:val="08F376CA"/>
    <w:rsid w:val="0A931CFB"/>
    <w:rsid w:val="0F621C35"/>
    <w:rsid w:val="14357918"/>
    <w:rsid w:val="156009C5"/>
    <w:rsid w:val="1A2E3797"/>
    <w:rsid w:val="1FE96C05"/>
    <w:rsid w:val="2E1A0E6B"/>
    <w:rsid w:val="36557C3D"/>
    <w:rsid w:val="367222F3"/>
    <w:rsid w:val="382924EE"/>
    <w:rsid w:val="383473BA"/>
    <w:rsid w:val="3E66117E"/>
    <w:rsid w:val="4340116F"/>
    <w:rsid w:val="45235AEC"/>
    <w:rsid w:val="4DF87158"/>
    <w:rsid w:val="52832D52"/>
    <w:rsid w:val="5385202A"/>
    <w:rsid w:val="54532916"/>
    <w:rsid w:val="63E678B4"/>
    <w:rsid w:val="66E31E89"/>
    <w:rsid w:val="67184A3F"/>
    <w:rsid w:val="6EE15F4D"/>
    <w:rsid w:val="76B63116"/>
    <w:rsid w:val="7820387C"/>
    <w:rsid w:val="7D612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3898</Words>
  <Characters>4089</Characters>
  <Lines>171</Lines>
  <Paragraphs>174</Paragraphs>
  <TotalTime>16</TotalTime>
  <ScaleCrop>false</ScaleCrop>
  <LinksUpToDate>false</LinksUpToDate>
  <CharactersWithSpaces>4104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师者</cp:lastModifiedBy>
  <cp:lastPrinted>2025-03-14T03:17:00Z</cp:lastPrinted>
  <dcterms:modified xsi:type="dcterms:W3CDTF">2025-06-24T08:14:30Z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TemplateDocerSaveRecord">
    <vt:lpwstr>eyJoZGlkIjoiNGVhNjAzNzhjNWYyZmVjNmQzMjRjNDE2NjdlNjAwOTMiLCJ1c2VySWQiOiI2Nzg2MDcyODcifQ==</vt:lpwstr>
  </property>
  <property fmtid="{D5CDD505-2E9C-101B-9397-08002B2CF9AE}" pid="4" name="ICV">
    <vt:lpwstr>4D68F53722914EB98F0AECAB630A74B5_13</vt:lpwstr>
  </property>
</Properties>
</file>