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9909D">
      <w:pPr>
        <w:ind w:left="321" w:leftChars="153" w:right="227"/>
        <w:jc w:val="center"/>
        <w:rPr>
          <w:rFonts w:hint="eastAsia" w:ascii="黑体" w:hAnsi="黑体" w:eastAsia="黑体" w:cs="黑体"/>
          <w:b/>
          <w:bCs/>
          <w:sz w:val="36"/>
          <w:szCs w:val="36"/>
          <w:u w:val="none"/>
        </w:rPr>
      </w:pPr>
      <w:r>
        <w:rPr>
          <w:rFonts w:hint="eastAsia" w:ascii="黑体" w:hAnsi="黑体" w:eastAsia="黑体" w:cs="黑体"/>
          <w:b/>
          <w:bCs/>
          <w:sz w:val="36"/>
          <w:szCs w:val="36"/>
          <w:u w:val="none"/>
          <w:lang w:val="en-US" w:eastAsia="zh-CN"/>
        </w:rPr>
        <w:t>马克思主义哲学</w:t>
      </w:r>
      <w:r>
        <w:rPr>
          <w:rFonts w:hint="eastAsia" w:ascii="黑体" w:hAnsi="黑体" w:eastAsia="黑体" w:cs="黑体"/>
          <w:b/>
          <w:bCs/>
          <w:sz w:val="36"/>
          <w:szCs w:val="36"/>
          <w:u w:val="none"/>
        </w:rPr>
        <w:t>专业学术学位博士研究生培养方案</w:t>
      </w:r>
    </w:p>
    <w:p w14:paraId="4740E0F6">
      <w:pPr>
        <w:ind w:left="321" w:leftChars="153" w:right="227"/>
        <w:jc w:val="center"/>
        <w:rPr>
          <w:rFonts w:hint="eastAsia" w:ascii="黑体" w:hAnsi="黑体" w:eastAsia="黑体" w:cs="黑体"/>
          <w:b/>
          <w:bCs/>
          <w:sz w:val="28"/>
          <w:szCs w:val="28"/>
        </w:rPr>
      </w:pPr>
      <w:r>
        <w:rPr>
          <w:rFonts w:hint="eastAsia" w:ascii="黑体" w:hAnsi="黑体" w:eastAsia="黑体" w:cs="黑体"/>
          <w:b/>
          <w:bCs/>
          <w:sz w:val="28"/>
          <w:szCs w:val="28"/>
        </w:rPr>
        <w:t>（</w:t>
      </w:r>
      <w:r>
        <w:rPr>
          <w:rFonts w:hint="eastAsia" w:ascii="黑体" w:hAnsi="黑体" w:eastAsia="黑体" w:cs="黑体"/>
          <w:b/>
          <w:bCs/>
          <w:sz w:val="28"/>
          <w:szCs w:val="28"/>
          <w:lang w:val="en-US" w:eastAsia="zh-CN"/>
        </w:rPr>
        <w:t>马克思主义学院</w:t>
      </w:r>
      <w:r>
        <w:rPr>
          <w:rFonts w:hint="eastAsia" w:ascii="黑体" w:hAnsi="黑体" w:eastAsia="黑体" w:cs="黑体"/>
          <w:b/>
          <w:bCs/>
          <w:sz w:val="28"/>
          <w:szCs w:val="28"/>
        </w:rPr>
        <w:t>)</w:t>
      </w:r>
    </w:p>
    <w:p w14:paraId="740F123D">
      <w:pPr>
        <w:keepNext w:val="0"/>
        <w:keepLines w:val="0"/>
        <w:pageBreakBefore w:val="0"/>
        <w:kinsoku/>
        <w:wordWrap/>
        <w:overflowPunct/>
        <w:topLinePunct w:val="0"/>
        <w:autoSpaceDE/>
        <w:autoSpaceDN/>
        <w:bidi w:val="0"/>
        <w:adjustRightInd/>
        <w:snapToGrid w:val="0"/>
        <w:spacing w:line="360" w:lineRule="auto"/>
        <w:ind w:firstLine="560"/>
        <w:textAlignment w:val="auto"/>
        <w:rPr>
          <w:rFonts w:eastAsia="黑体"/>
          <w:bCs/>
          <w:sz w:val="28"/>
          <w:szCs w:val="28"/>
        </w:rPr>
      </w:pPr>
    </w:p>
    <w:p w14:paraId="4D1A035A">
      <w:pPr>
        <w:keepNext w:val="0"/>
        <w:keepLines w:val="0"/>
        <w:pageBreakBefore w:val="0"/>
        <w:kinsoku/>
        <w:wordWrap/>
        <w:overflowPunct/>
        <w:topLinePunct w:val="0"/>
        <w:autoSpaceDE/>
        <w:autoSpaceDN/>
        <w:bidi w:val="0"/>
        <w:adjustRightInd/>
        <w:snapToGrid w:val="0"/>
        <w:spacing w:line="360" w:lineRule="auto"/>
        <w:ind w:firstLine="560"/>
        <w:textAlignment w:val="auto"/>
        <w:rPr>
          <w:rFonts w:eastAsia="黑体"/>
          <w:bCs/>
          <w:sz w:val="28"/>
          <w:szCs w:val="28"/>
        </w:rPr>
      </w:pPr>
      <w:r>
        <w:rPr>
          <w:rFonts w:eastAsia="黑体"/>
          <w:bCs/>
          <w:sz w:val="28"/>
          <w:szCs w:val="28"/>
        </w:rPr>
        <w:t>一、专业名称、代码</w:t>
      </w:r>
    </w:p>
    <w:p w14:paraId="7600FF3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color w:val="auto"/>
          <w:kern w:val="0"/>
          <w:sz w:val="24"/>
          <w:szCs w:val="24"/>
        </w:rPr>
      </w:pPr>
      <w:r>
        <w:rPr>
          <w:color w:val="auto"/>
          <w:kern w:val="0"/>
          <w:sz w:val="24"/>
          <w:szCs w:val="24"/>
        </w:rPr>
        <w:t>专业名称：</w:t>
      </w:r>
      <w:r>
        <w:rPr>
          <w:rFonts w:hint="eastAsia"/>
          <w:color w:val="auto"/>
          <w:kern w:val="0"/>
          <w:sz w:val="24"/>
          <w:szCs w:val="24"/>
          <w:lang w:val="en-US" w:eastAsia="zh-CN"/>
        </w:rPr>
        <w:t>马克思主义哲学</w:t>
      </w:r>
    </w:p>
    <w:p w14:paraId="2AD4406F">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cs="宋体"/>
          <w:color w:val="auto"/>
          <w:sz w:val="24"/>
          <w:szCs w:val="24"/>
        </w:rPr>
      </w:pPr>
      <w:r>
        <w:rPr>
          <w:color w:val="auto"/>
          <w:kern w:val="0"/>
          <w:sz w:val="24"/>
          <w:szCs w:val="24"/>
        </w:rPr>
        <w:t>专业代码：</w:t>
      </w:r>
      <w:r>
        <w:rPr>
          <w:rFonts w:hint="eastAsia" w:ascii="宋体" w:hAnsi="宋体" w:cs="宋体"/>
          <w:color w:val="auto"/>
          <w:sz w:val="24"/>
          <w:szCs w:val="24"/>
        </w:rPr>
        <w:t>010101</w:t>
      </w:r>
    </w:p>
    <w:p w14:paraId="51FC197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0CD8739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auto"/>
          <w:sz w:val="24"/>
        </w:rPr>
      </w:pPr>
      <w:r>
        <w:rPr>
          <w:rFonts w:hint="eastAsia" w:ascii="宋体" w:hAnsi="宋体" w:cs="宋体"/>
          <w:color w:val="000000"/>
          <w:sz w:val="24"/>
        </w:rPr>
        <w:t>马克思主义哲学专业博士学科是隶属</w:t>
      </w:r>
      <w:r>
        <w:rPr>
          <w:rFonts w:hint="eastAsia" w:ascii="宋体" w:hAnsi="宋体" w:cs="宋体"/>
          <w:color w:val="000000"/>
          <w:sz w:val="24"/>
          <w:lang w:val="en-US" w:eastAsia="zh-CN"/>
        </w:rPr>
        <w:t>河北大学</w:t>
      </w:r>
      <w:r>
        <w:rPr>
          <w:rFonts w:hint="eastAsia" w:ascii="宋体" w:hAnsi="宋体" w:cs="宋体"/>
          <w:color w:val="000000"/>
          <w:sz w:val="24"/>
        </w:rPr>
        <w:t>哲学一级学科的二级学科。本二级学科主要设马克思主义哲学基本理论研究、中国化马克思主义哲学研究、马克思主义思想道德理论教育研究三个方向</w:t>
      </w:r>
      <w:r>
        <w:rPr>
          <w:rFonts w:hint="eastAsia" w:ascii="宋体" w:hAnsi="宋体" w:cs="宋体"/>
          <w:color w:val="auto"/>
          <w:sz w:val="24"/>
        </w:rPr>
        <w:t>。</w:t>
      </w:r>
    </w:p>
    <w:p w14:paraId="02C76920">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在马克思主义哲学基本理论研究方向，突出马克思空间哲学研究、劳动现代性与中国式现代化研究、劳动哲学与共同富裕思想研究、马克思世界交往理论研究、马克思经济哲学研究等。</w:t>
      </w:r>
    </w:p>
    <w:p w14:paraId="37E1944F">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color w:val="auto"/>
          <w:sz w:val="24"/>
          <w:lang w:eastAsia="zh-CN"/>
        </w:rPr>
      </w:pPr>
      <w:r>
        <w:rPr>
          <w:rFonts w:hint="eastAsia" w:ascii="宋体" w:hAnsi="宋体" w:cs="宋体"/>
          <w:color w:val="auto"/>
          <w:sz w:val="24"/>
          <w:lang w:val="en-US" w:eastAsia="zh-CN"/>
        </w:rPr>
        <w:t>在中国化马克思主义哲学研究方向，突出中国化马克思主义基本原理研究、社会主义核心价值观研究、互联网社会主义意识形态研究、中国特色社会主义理论体系方法论研究、</w:t>
      </w:r>
      <w:r>
        <w:rPr>
          <w:rFonts w:hint="eastAsia" w:ascii="宋体" w:hAnsi="宋体" w:cs="宋体"/>
          <w:color w:val="auto"/>
          <w:sz w:val="24"/>
        </w:rPr>
        <w:t>马克思主义</w:t>
      </w:r>
      <w:r>
        <w:rPr>
          <w:rFonts w:hint="eastAsia" w:ascii="宋体" w:hAnsi="宋体" w:cs="宋体"/>
          <w:color w:val="auto"/>
          <w:sz w:val="24"/>
          <w:lang w:val="en-US" w:eastAsia="zh-CN"/>
        </w:rPr>
        <w:t>应用伦理学研究</w:t>
      </w:r>
      <w:r>
        <w:rPr>
          <w:rFonts w:hint="eastAsia" w:ascii="宋体" w:hAnsi="宋体" w:cs="宋体"/>
          <w:color w:val="auto"/>
          <w:sz w:val="24"/>
          <w:lang w:eastAsia="zh-CN"/>
        </w:rPr>
        <w:t>。</w:t>
      </w:r>
    </w:p>
    <w:p w14:paraId="51637EB4">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eastAsia="宋体"/>
          <w:i/>
          <w:color w:val="auto"/>
          <w:sz w:val="24"/>
          <w:lang w:eastAsia="zh-CN"/>
        </w:rPr>
      </w:pPr>
      <w:r>
        <w:rPr>
          <w:rFonts w:hint="eastAsia" w:ascii="宋体" w:hAnsi="宋体" w:cs="宋体"/>
          <w:color w:val="000000"/>
          <w:sz w:val="24"/>
          <w:lang w:val="en-US" w:eastAsia="zh-CN"/>
        </w:rPr>
        <w:t>在</w:t>
      </w:r>
      <w:r>
        <w:rPr>
          <w:rFonts w:hint="eastAsia" w:ascii="宋体" w:hAnsi="宋体" w:cs="宋体"/>
          <w:color w:val="000000"/>
          <w:sz w:val="24"/>
        </w:rPr>
        <w:t>马克思主义思想道德理论教育研究</w:t>
      </w:r>
      <w:r>
        <w:rPr>
          <w:rFonts w:hint="eastAsia" w:ascii="宋体" w:hAnsi="宋体" w:cs="宋体"/>
          <w:color w:val="000000"/>
          <w:sz w:val="24"/>
          <w:lang w:val="en-US" w:eastAsia="zh-CN"/>
        </w:rPr>
        <w:t>方向，突出</w:t>
      </w:r>
      <w:r>
        <w:rPr>
          <w:rFonts w:hint="eastAsia" w:ascii="宋体" w:hAnsi="宋体" w:cs="宋体"/>
          <w:color w:val="auto"/>
          <w:sz w:val="24"/>
          <w:lang w:val="en-US" w:eastAsia="zh-CN"/>
        </w:rPr>
        <w:t>高校“滴灌式”思想政治教育研究、高校思想政治理论课改革创新研究、高校思政课“微电影”实践教学研究。</w:t>
      </w:r>
    </w:p>
    <w:p w14:paraId="07632A59">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eastAsia="黑体"/>
          <w:bCs/>
          <w:sz w:val="28"/>
          <w:szCs w:val="28"/>
        </w:rPr>
        <w:t>三、研究方向</w:t>
      </w:r>
    </w:p>
    <w:p w14:paraId="2F0789F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bCs/>
          <w:sz w:val="24"/>
        </w:rPr>
      </w:pPr>
      <w:r>
        <w:rPr>
          <w:rFonts w:hint="eastAsia" w:ascii="宋体" w:hAnsi="宋体" w:cs="Arial"/>
          <w:sz w:val="24"/>
        </w:rPr>
        <w:t>本学科以马克思主义哲学教育为主线，以</w:t>
      </w:r>
      <w:r>
        <w:rPr>
          <w:rFonts w:hint="eastAsia" w:ascii="宋体" w:hAnsi="宋体"/>
          <w:bCs/>
          <w:sz w:val="24"/>
        </w:rPr>
        <w:t>马克思主义哲学基本理论</w:t>
      </w:r>
      <w:r>
        <w:rPr>
          <w:rFonts w:hint="eastAsia" w:ascii="宋体" w:hAnsi="宋体" w:cs="Arial"/>
          <w:sz w:val="24"/>
        </w:rPr>
        <w:t>、中国化马克思主义哲学、马克思主义思想道德教育理论为主要研究方向，全方位研究马克思主义哲学基本理论与方法、中国化马克思主义哲学理论与实践和马克思主义思想道德教育理论的热点问题。本学科三</w:t>
      </w:r>
      <w:r>
        <w:rPr>
          <w:rFonts w:hint="eastAsia" w:ascii="宋体" w:hAnsi="宋体" w:cs="Arial"/>
          <w:color w:val="000000"/>
          <w:sz w:val="24"/>
        </w:rPr>
        <w:t>个</w:t>
      </w:r>
      <w:r>
        <w:rPr>
          <w:rFonts w:hint="eastAsia" w:ascii="宋体" w:hAnsi="宋体" w:cs="Arial"/>
          <w:sz w:val="24"/>
        </w:rPr>
        <w:t>研究方向在内容和方法上既相互独立，又相互交叉和补充，着力体现马克思主义哲学专业的系统完整性、内容广博性和发展创新性。本学科致力于培养高素质高水平的马克思主义哲学方面</w:t>
      </w:r>
      <w:r>
        <w:rPr>
          <w:rFonts w:ascii="宋体" w:hAnsi="宋体"/>
          <w:bCs/>
          <w:sz w:val="24"/>
        </w:rPr>
        <w:t>的教学、科研</w:t>
      </w:r>
      <w:r>
        <w:rPr>
          <w:rFonts w:hint="eastAsia" w:ascii="宋体" w:hAnsi="宋体"/>
          <w:bCs/>
          <w:sz w:val="24"/>
        </w:rPr>
        <w:t>、</w:t>
      </w:r>
      <w:r>
        <w:rPr>
          <w:rFonts w:ascii="宋体" w:hAnsi="宋体"/>
          <w:bCs/>
          <w:sz w:val="24"/>
        </w:rPr>
        <w:t>党政</w:t>
      </w:r>
      <w:r>
        <w:rPr>
          <w:rFonts w:hint="eastAsia" w:ascii="宋体" w:hAnsi="宋体"/>
          <w:bCs/>
          <w:sz w:val="24"/>
        </w:rPr>
        <w:t>及</w:t>
      </w:r>
      <w:r>
        <w:rPr>
          <w:rFonts w:ascii="宋体" w:hAnsi="宋体"/>
          <w:bCs/>
          <w:sz w:val="24"/>
        </w:rPr>
        <w:t>管理</w:t>
      </w:r>
      <w:r>
        <w:rPr>
          <w:rFonts w:hint="eastAsia" w:ascii="宋体" w:hAnsi="宋体"/>
          <w:bCs/>
          <w:sz w:val="24"/>
        </w:rPr>
        <w:t>人才</w:t>
      </w:r>
      <w:r>
        <w:rPr>
          <w:rFonts w:ascii="宋体" w:hAnsi="宋体"/>
          <w:bCs/>
          <w:sz w:val="24"/>
        </w:rPr>
        <w:t>。</w:t>
      </w:r>
    </w:p>
    <w:p w14:paraId="69BF9BE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cs="宋体"/>
          <w:bCs/>
          <w:color w:val="000000"/>
          <w:sz w:val="24"/>
        </w:rPr>
      </w:pPr>
      <w:r>
        <w:rPr>
          <w:rFonts w:hint="eastAsia" w:ascii="宋体" w:hAnsi="宋体" w:cs="宋体"/>
          <w:bCs/>
          <w:color w:val="000000"/>
          <w:sz w:val="24"/>
        </w:rPr>
        <w:t>1.</w:t>
      </w:r>
      <w:r>
        <w:rPr>
          <w:rFonts w:hint="eastAsia" w:ascii="宋体" w:hAnsi="宋体" w:cs="宋体"/>
          <w:bCs/>
          <w:sz w:val="24"/>
        </w:rPr>
        <w:t>马克思主义哲学基本理论研究</w:t>
      </w:r>
    </w:p>
    <w:p w14:paraId="5121066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bCs/>
          <w:color w:val="000000"/>
          <w:sz w:val="24"/>
        </w:rPr>
      </w:pPr>
      <w:r>
        <w:rPr>
          <w:rFonts w:hint="eastAsia" w:ascii="宋体" w:hAnsi="宋体" w:cs="宋体"/>
          <w:bCs/>
          <w:color w:val="000000"/>
          <w:sz w:val="24"/>
        </w:rPr>
        <w:t>本方向运用马克思主义哲学理论和方法，研究探讨当代世界经济哲学和道德发展的理论热点问题及其社会经济生活中的道德问题，特别中国特色社会主义市场经济建设中道德建设的实际问题，培养学生用马克思主义哲学理论分析认识解决社会问题的能力。</w:t>
      </w:r>
    </w:p>
    <w:p w14:paraId="33E9D389">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bCs/>
          <w:sz w:val="24"/>
        </w:rPr>
      </w:pPr>
      <w:r>
        <w:rPr>
          <w:rFonts w:hint="eastAsia" w:ascii="宋体" w:hAnsi="宋体" w:cs="宋体"/>
          <w:bCs/>
          <w:sz w:val="24"/>
        </w:rPr>
        <w:t>2.中国化马克思主义哲学研究</w:t>
      </w:r>
    </w:p>
    <w:p w14:paraId="4FA368CC">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bCs/>
          <w:sz w:val="24"/>
        </w:rPr>
      </w:pPr>
      <w:r>
        <w:rPr>
          <w:rFonts w:hint="eastAsia" w:ascii="宋体" w:hAnsi="宋体" w:cs="宋体"/>
          <w:bCs/>
          <w:sz w:val="24"/>
        </w:rPr>
        <w:t>本方向坚持理论与实践的有机结合，研究中国化马克思主义政治哲学、政治伦理学问题，特别是习近平新时代中国特色社会主义思想中的哲学和方法论内容以及社会主义核心价值观建构中的哲学问题；注重对新时期我国价值观建设的综合研究以及对当代大学生社会主义核心价值观教育的研究，为相关部门提供决策依据。</w:t>
      </w:r>
    </w:p>
    <w:p w14:paraId="285412E5">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bCs/>
          <w:sz w:val="24"/>
        </w:rPr>
      </w:pPr>
      <w:r>
        <w:rPr>
          <w:rFonts w:hint="eastAsia" w:ascii="宋体" w:hAnsi="宋体" w:cs="宋体"/>
          <w:bCs/>
          <w:sz w:val="24"/>
        </w:rPr>
        <w:t>3.马克思主义思想道德教育理论研究</w:t>
      </w:r>
    </w:p>
    <w:p w14:paraId="6AF08BE0">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eastAsiaTheme="minorEastAsia"/>
          <w:i/>
          <w:color w:val="FF0000"/>
          <w:sz w:val="24"/>
        </w:rPr>
      </w:pPr>
      <w:r>
        <w:rPr>
          <w:rFonts w:hint="eastAsia" w:ascii="宋体" w:hAnsi="宋体" w:cs="宋体"/>
          <w:bCs/>
          <w:sz w:val="24"/>
        </w:rPr>
        <w:t>本方向坚持以马克思主义哲学为指导，研究中国化马克思主义思想道德教育理论和马克思主义幸福理论，同时紧密结合中国特色社会主义建设实际，运用马克思主义哲学方法，研究中国特色社会主义建设思想道德教育中实际问题，</w:t>
      </w:r>
      <w:r>
        <w:rPr>
          <w:rFonts w:hint="eastAsia" w:ascii="宋体" w:hAnsi="宋体" w:cs="宋体"/>
          <w:bCs/>
          <w:color w:val="333333"/>
          <w:sz w:val="24"/>
        </w:rPr>
        <w:t>为中国共产党实现为人民谋幸福的初心提供哲学论证，为社会成员幸福生活提供价值观导向</w:t>
      </w:r>
      <w:r>
        <w:rPr>
          <w:rFonts w:hint="eastAsia" w:ascii="宋体" w:hAnsi="宋体" w:cs="宋体"/>
          <w:bCs/>
          <w:sz w:val="24"/>
        </w:rPr>
        <w:t>。</w:t>
      </w:r>
    </w:p>
    <w:p w14:paraId="5BAE1ABB">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eastAsia="黑体"/>
          <w:bCs/>
          <w:sz w:val="28"/>
          <w:szCs w:val="28"/>
        </w:rPr>
        <w:t>四、学制及学习年限</w:t>
      </w:r>
    </w:p>
    <w:p w14:paraId="5AC6949E">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eastAsiaTheme="minorEastAsia"/>
          <w:i/>
          <w:color w:val="FF0000"/>
          <w:sz w:val="24"/>
        </w:rPr>
      </w:pPr>
      <w:r>
        <w:rPr>
          <w:rFonts w:eastAsiaTheme="minorEastAsia"/>
          <w:color w:val="auto"/>
          <w:sz w:val="24"/>
        </w:rPr>
        <w:t>本专业学制为4年，在</w:t>
      </w:r>
      <w:r>
        <w:rPr>
          <w:rFonts w:eastAsiaTheme="minorEastAsia"/>
          <w:color w:val="000000"/>
          <w:sz w:val="24"/>
        </w:rPr>
        <w:t>校最长学习年限（含休学）不超过8年。</w:t>
      </w:r>
    </w:p>
    <w:p w14:paraId="56D208CD">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eastAsia="黑体"/>
          <w:bCs/>
          <w:sz w:val="28"/>
          <w:szCs w:val="28"/>
        </w:rPr>
        <w:t>五、培养目标</w:t>
      </w:r>
    </w:p>
    <w:p w14:paraId="304C09D4">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bCs/>
          <w:sz w:val="24"/>
        </w:rPr>
      </w:pPr>
      <w:r>
        <w:rPr>
          <w:rFonts w:hint="eastAsia" w:ascii="宋体" w:hAnsi="宋体" w:cs="宋体"/>
          <w:sz w:val="24"/>
        </w:rPr>
        <w:t>1.树立正确的中国特色社会主义核心价值观，具有坚定的理想信念，高尚的道德情操，优良的学术作风，高度的社会责任感。具有坚定的马克思主义信仰和社会主义信念，全面、准确地掌握马克思主义的基本理论，拥</w:t>
      </w:r>
      <w:r>
        <w:rPr>
          <w:rFonts w:hint="eastAsia" w:ascii="宋体" w:hAnsi="宋体" w:cs="宋体"/>
          <w:bCs/>
          <w:sz w:val="24"/>
        </w:rPr>
        <w:t>护社会主义制度，热爱祖国，遵纪守法，品行端正。一切言行与党中央保持一致。</w:t>
      </w:r>
    </w:p>
    <w:p w14:paraId="49240EB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cs="宋体"/>
          <w:bCs/>
          <w:sz w:val="24"/>
        </w:rPr>
      </w:pPr>
      <w:r>
        <w:rPr>
          <w:rFonts w:hint="eastAsia" w:ascii="宋体" w:hAnsi="宋体" w:cs="宋体"/>
          <w:sz w:val="24"/>
        </w:rPr>
        <w:t>2.掌握</w:t>
      </w:r>
      <w:r>
        <w:rPr>
          <w:rFonts w:hint="eastAsia" w:ascii="宋体" w:hAnsi="宋体" w:cs="宋体"/>
          <w:bCs/>
          <w:sz w:val="24"/>
        </w:rPr>
        <w:t>马克思主义哲学专业</w:t>
      </w:r>
      <w:r>
        <w:rPr>
          <w:rFonts w:hint="eastAsia" w:ascii="宋体" w:hAnsi="宋体" w:cs="宋体"/>
          <w:sz w:val="24"/>
        </w:rPr>
        <w:t>坚实宽广的基础理论和系统深入的专门知识，掌握</w:t>
      </w:r>
      <w:r>
        <w:rPr>
          <w:rFonts w:hint="eastAsia" w:ascii="宋体" w:hAnsi="宋体" w:cs="宋体"/>
          <w:bCs/>
          <w:sz w:val="24"/>
        </w:rPr>
        <w:t>马克思主义哲学</w:t>
      </w:r>
      <w:r>
        <w:rPr>
          <w:rFonts w:hint="eastAsia" w:ascii="宋体" w:hAnsi="宋体" w:cs="宋体"/>
          <w:sz w:val="24"/>
        </w:rPr>
        <w:t>的科学研究方法及必要的技能，熟悉学科专业的前沿研究领域，具有独立从事科学研究和解决实际问题的能力。</w:t>
      </w:r>
      <w:r>
        <w:rPr>
          <w:rFonts w:hint="eastAsia" w:ascii="宋体" w:hAnsi="宋体" w:cs="宋体"/>
          <w:bCs/>
          <w:sz w:val="24"/>
        </w:rPr>
        <w:t>善于运用马克思主义立场、观点、方法开展马克思主义哲学的高水平研究，具有较强分析、解决人们思想问题与实际问题的能力，在学科或专门研究方面取得创造性成果。能胜任与本学科相关的教学、科研和党政、群团、学生教育管理工作。</w:t>
      </w:r>
    </w:p>
    <w:p w14:paraId="7D4157FA">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cs="宋体"/>
          <w:bCs/>
          <w:sz w:val="24"/>
        </w:rPr>
      </w:pPr>
      <w:r>
        <w:rPr>
          <w:rFonts w:hint="eastAsia" w:ascii="宋体" w:hAnsi="宋体" w:cs="宋体"/>
          <w:sz w:val="24"/>
        </w:rPr>
        <w:t>3.至少掌握一门外国语，能熟练阅读本专业的外文资料，具有撰写学术论文和进行国际学术交流的能力。</w:t>
      </w:r>
    </w:p>
    <w:p w14:paraId="1F9BB8C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hint="eastAsia" w:ascii="宋体" w:hAnsi="宋体" w:cs="宋体"/>
          <w:sz w:val="24"/>
        </w:rPr>
        <w:t>4.具有良好的团队意识和团队合作精神。</w:t>
      </w:r>
    </w:p>
    <w:p w14:paraId="6C616F3C">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hint="eastAsia" w:ascii="宋体" w:hAnsi="宋体" w:cs="宋体"/>
          <w:sz w:val="24"/>
        </w:rPr>
        <w:t>5.具有健康的身体和良好的心理素质。</w:t>
      </w:r>
    </w:p>
    <w:p w14:paraId="4399187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s="宋体"/>
          <w:sz w:val="24"/>
        </w:rPr>
      </w:pPr>
      <w:r>
        <w:rPr>
          <w:rFonts w:hint="eastAsia" w:ascii="宋体" w:hAnsi="宋体" w:cs="宋体"/>
          <w:sz w:val="24"/>
        </w:rPr>
        <w:t>6.培养德智体美劳全面发展的社会主义</w:t>
      </w:r>
      <w:r>
        <w:rPr>
          <w:rFonts w:hint="eastAsia" w:ascii="宋体" w:hAnsi="宋体" w:cs="宋体"/>
          <w:sz w:val="24"/>
          <w:lang w:val="en-US" w:eastAsia="zh-CN"/>
        </w:rPr>
        <w:t>建设者和</w:t>
      </w:r>
      <w:r>
        <w:rPr>
          <w:rFonts w:hint="eastAsia" w:ascii="宋体" w:hAnsi="宋体" w:cs="宋体"/>
          <w:sz w:val="24"/>
        </w:rPr>
        <w:t>接班人。</w:t>
      </w:r>
    </w:p>
    <w:p w14:paraId="11BAC1C6">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eastAsia="黑体"/>
          <w:bCs/>
          <w:sz w:val="28"/>
          <w:szCs w:val="28"/>
        </w:rPr>
      </w:pPr>
      <w:r>
        <w:rPr>
          <w:rFonts w:hint="eastAsia" w:eastAsia="黑体"/>
          <w:bCs/>
          <w:sz w:val="28"/>
          <w:szCs w:val="28"/>
        </w:rPr>
        <w:t>六、培养方式</w:t>
      </w:r>
    </w:p>
    <w:p w14:paraId="145499B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cs="宋体"/>
          <w:sz w:val="24"/>
          <w:lang w:val="en-US" w:eastAsia="zh-CN"/>
        </w:rPr>
      </w:pPr>
      <w:r>
        <w:rPr>
          <w:rFonts w:hint="eastAsia" w:ascii="宋体" w:hAnsi="宋体" w:cs="宋体"/>
          <w:sz w:val="24"/>
          <w:lang w:val="en-US" w:eastAsia="zh-CN"/>
        </w:rPr>
        <w:t>1.围绕</w:t>
      </w:r>
      <w:r>
        <w:rPr>
          <w:rFonts w:hint="default" w:ascii="宋体" w:hAnsi="宋体" w:cs="宋体"/>
          <w:sz w:val="24"/>
        </w:rPr>
        <w:t>培养目标</w:t>
      </w:r>
      <w:r>
        <w:rPr>
          <w:rFonts w:hint="eastAsia" w:ascii="宋体" w:hAnsi="宋体" w:cs="宋体"/>
          <w:sz w:val="24"/>
          <w:lang w:val="en-US" w:eastAsia="zh-CN"/>
        </w:rPr>
        <w:t>合理设置课程。注重学位课、非学位课、必修环节的结构优化，实现公共必修课、学科基础课、专业必修课和公共通识课的统一性和互补性。实现理论教学、课程实践和素质拓展的有机结合。</w:t>
      </w:r>
    </w:p>
    <w:p w14:paraId="36AF9EFB">
      <w:pPr>
        <w:pStyle w:val="6"/>
        <w:topLinePunct/>
        <w:snapToGrid w:val="0"/>
        <w:spacing w:before="0" w:beforeLines="0" w:afterLines="0" w:line="360" w:lineRule="auto"/>
        <w:ind w:left="0" w:firstLineChars="200"/>
        <w:jc w:val="both"/>
        <w:rPr>
          <w:rFonts w:hint="eastAsia" w:hAnsi="宋体" w:cs="Arial"/>
          <w:sz w:val="24"/>
          <w:szCs w:val="24"/>
        </w:rPr>
      </w:pPr>
      <w:r>
        <w:rPr>
          <w:rFonts w:hint="eastAsia" w:ascii="宋体" w:hAnsi="宋体" w:eastAsia="宋体" w:cs="宋体"/>
          <w:kern w:val="2"/>
          <w:sz w:val="24"/>
          <w:szCs w:val="24"/>
          <w:lang w:val="en-US" w:eastAsia="zh-CN" w:bidi="ar-SA"/>
        </w:rPr>
        <w:t>2.课程</w:t>
      </w:r>
      <w:r>
        <w:rPr>
          <w:rFonts w:hint="eastAsia" w:hAnsi="宋体" w:cs="Arial"/>
          <w:sz w:val="24"/>
          <w:szCs w:val="24"/>
        </w:rPr>
        <w:t>教学采用研讨式、专题式、启发式等教学方</w:t>
      </w:r>
      <w:r>
        <w:rPr>
          <w:rFonts w:hint="eastAsia" w:hAnsi="宋体"/>
          <w:sz w:val="24"/>
          <w:szCs w:val="22"/>
        </w:rPr>
        <w:t>法，</w:t>
      </w:r>
      <w:r>
        <w:rPr>
          <w:rFonts w:hint="eastAsia" w:hAnsi="宋体"/>
          <w:sz w:val="24"/>
          <w:szCs w:val="22"/>
          <w:lang w:val="en-US" w:eastAsia="zh-CN"/>
        </w:rPr>
        <w:t>实现</w:t>
      </w:r>
      <w:r>
        <w:rPr>
          <w:rFonts w:hint="eastAsia" w:hAnsi="宋体" w:cs="Arial"/>
          <w:sz w:val="24"/>
          <w:szCs w:val="24"/>
        </w:rPr>
        <w:t>课堂讲授、交流研讨、案例分析有机结合。</w:t>
      </w:r>
    </w:p>
    <w:p w14:paraId="5A357C38">
      <w:pPr>
        <w:pStyle w:val="6"/>
        <w:topLinePunct/>
        <w:snapToGrid w:val="0"/>
        <w:spacing w:before="0" w:beforeLines="0" w:afterLines="0" w:line="360" w:lineRule="auto"/>
        <w:ind w:left="0" w:firstLineChars="200"/>
        <w:jc w:val="both"/>
        <w:rPr>
          <w:rFonts w:hint="eastAsia" w:ascii="宋体" w:hAnsi="宋体" w:cs="宋体"/>
          <w:sz w:val="24"/>
          <w:lang w:val="en-US" w:eastAsia="zh-CN"/>
        </w:rPr>
      </w:pPr>
      <w:r>
        <w:rPr>
          <w:rFonts w:hint="eastAsia" w:ascii="宋体" w:hAnsi="宋体" w:cs="宋体"/>
          <w:sz w:val="24"/>
          <w:lang w:val="en-US" w:eastAsia="zh-CN"/>
        </w:rPr>
        <w:t>3.强化</w:t>
      </w:r>
      <w:r>
        <w:rPr>
          <w:rFonts w:hint="default" w:ascii="宋体" w:hAnsi="宋体" w:cs="宋体"/>
          <w:sz w:val="24"/>
        </w:rPr>
        <w:t>实践教学环节</w:t>
      </w:r>
      <w:r>
        <w:rPr>
          <w:rFonts w:hint="eastAsia" w:ascii="宋体" w:hAnsi="宋体" w:cs="宋体"/>
          <w:sz w:val="24"/>
          <w:lang w:eastAsia="zh-CN"/>
        </w:rPr>
        <w:t>。</w:t>
      </w:r>
      <w:r>
        <w:rPr>
          <w:rFonts w:hint="eastAsia" w:ascii="宋体" w:hAnsi="宋体" w:cs="宋体"/>
          <w:sz w:val="24"/>
          <w:lang w:val="en-US" w:eastAsia="zh-CN"/>
        </w:rPr>
        <w:t>鼓励博士研究生参与导师科研项目，积极参加学术活动。</w:t>
      </w:r>
    </w:p>
    <w:p w14:paraId="3CE4D23D">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lang w:val="en-US" w:eastAsia="zh-CN"/>
        </w:rPr>
      </w:pPr>
      <w:r>
        <w:rPr>
          <w:rFonts w:hint="eastAsia" w:ascii="宋体" w:hAnsi="宋体" w:cs="宋体"/>
          <w:sz w:val="24"/>
          <w:lang w:val="en-US" w:eastAsia="zh-CN"/>
        </w:rPr>
        <w:t>4.</w:t>
      </w:r>
      <w:r>
        <w:rPr>
          <w:rFonts w:hint="default" w:ascii="宋体" w:hAnsi="宋体" w:cs="宋体"/>
          <w:sz w:val="24"/>
        </w:rPr>
        <w:t>实施导师制与团队合作</w:t>
      </w:r>
      <w:r>
        <w:rPr>
          <w:rFonts w:hint="eastAsia" w:ascii="宋体" w:hAnsi="宋体" w:cs="宋体"/>
          <w:sz w:val="24"/>
          <w:lang w:eastAsia="zh-CN"/>
        </w:rPr>
        <w:t>，</w:t>
      </w:r>
      <w:r>
        <w:rPr>
          <w:rFonts w:hint="eastAsia" w:hAnsi="宋体" w:cs="Arial"/>
          <w:sz w:val="24"/>
          <w:szCs w:val="24"/>
        </w:rPr>
        <w:t>充分发挥</w:t>
      </w:r>
      <w:r>
        <w:rPr>
          <w:rFonts w:hint="eastAsia" w:hAnsi="宋体" w:cs="Arial"/>
          <w:sz w:val="24"/>
          <w:szCs w:val="24"/>
          <w:lang w:val="en-US" w:eastAsia="zh-CN"/>
        </w:rPr>
        <w:t>导师组作用。</w:t>
      </w:r>
    </w:p>
    <w:p w14:paraId="710DCAA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hint="eastAsia" w:eastAsia="黑体"/>
          <w:bCs/>
          <w:sz w:val="28"/>
          <w:szCs w:val="28"/>
        </w:rPr>
        <w:t>七</w:t>
      </w:r>
      <w:r>
        <w:rPr>
          <w:rFonts w:eastAsia="黑体"/>
          <w:bCs/>
          <w:sz w:val="28"/>
          <w:szCs w:val="28"/>
        </w:rPr>
        <w:t>、中期筛选</w:t>
      </w:r>
    </w:p>
    <w:p w14:paraId="6846C8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4AC6A23B">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0532D3DE">
      <w:pPr>
        <w:keepNext w:val="0"/>
        <w:keepLines w:val="0"/>
        <w:pageBreakBefore w:val="0"/>
        <w:widowControl/>
        <w:kinsoku/>
        <w:wordWrap/>
        <w:overflowPunct/>
        <w:topLinePunct w:val="0"/>
        <w:autoSpaceDE/>
        <w:autoSpaceDN/>
        <w:bidi w:val="0"/>
        <w:adjustRightInd/>
        <w:snapToGrid w:val="0"/>
        <w:spacing w:line="360" w:lineRule="auto"/>
        <w:ind w:firstLine="480"/>
        <w:jc w:val="left"/>
        <w:textAlignment w:val="auto"/>
        <w:rPr>
          <w:rFonts w:eastAsia="宋体"/>
          <w:i/>
          <w:color w:val="FF0000"/>
          <w:kern w:val="0"/>
          <w:sz w:val="24"/>
          <w:szCs w:val="18"/>
        </w:rPr>
      </w:pPr>
      <w:r>
        <w:rPr>
          <w:rFonts w:hint="eastAsia" w:ascii="宋体" w:hAnsi="宋体" w:eastAsia="宋体" w:cs="宋体"/>
          <w:kern w:val="2"/>
          <w:sz w:val="24"/>
          <w:szCs w:val="24"/>
          <w:lang w:val="en-US" w:eastAsia="zh-CN" w:bidi="ar-SA"/>
        </w:rPr>
        <w:t>1.</w:t>
      </w:r>
      <w:r>
        <w:rPr>
          <w:rFonts w:eastAsia="宋体"/>
          <w:bCs/>
          <w:color w:val="222222"/>
          <w:kern w:val="0"/>
          <w:sz w:val="24"/>
        </w:rPr>
        <w:t>总体要求：</w:t>
      </w:r>
      <w:r>
        <w:rPr>
          <w:rFonts w:eastAsia="宋体"/>
          <w:color w:val="000000" w:themeColor="text1"/>
          <w:kern w:val="0"/>
          <w:sz w:val="24"/>
          <w14:textFill>
            <w14:solidFill>
              <w14:schemeClr w14:val="tx1"/>
            </w14:solidFill>
          </w14:textFill>
        </w:rPr>
        <w:t>按照《河北大学关于开展2025版研究生培养方案修订工作的指导意见》（校政字</w:t>
      </w:r>
      <w:r>
        <w:rPr>
          <w:rFonts w:eastAsia="宋体"/>
          <w:bCs/>
          <w:sz w:val="24"/>
        </w:rPr>
        <w:t>〔2025〕9号</w:t>
      </w:r>
      <w:r>
        <w:rPr>
          <w:rFonts w:eastAsia="宋体"/>
          <w:color w:val="000000" w:themeColor="text1"/>
          <w:kern w:val="0"/>
          <w:sz w:val="24"/>
          <w14:textFill>
            <w14:solidFill>
              <w14:schemeClr w14:val="tx1"/>
            </w14:solidFill>
          </w14:textFill>
        </w:rPr>
        <w:t>）规定，博士研究生论文开题与答辩时间间隔原则上不少于18个月。学位（毕业）论文应当表明作者具有独立从事学术研究工作的能力，在学术研究领域做出创新性成果。</w:t>
      </w:r>
    </w:p>
    <w:p w14:paraId="42F405FA">
      <w:pPr>
        <w:keepNext w:val="0"/>
        <w:keepLines w:val="0"/>
        <w:pageBreakBefore w:val="0"/>
        <w:widowControl/>
        <w:kinsoku/>
        <w:wordWrap/>
        <w:overflowPunct/>
        <w:topLinePunct w:val="0"/>
        <w:autoSpaceDE/>
        <w:autoSpaceDN/>
        <w:bidi w:val="0"/>
        <w:adjustRightInd/>
        <w:snapToGrid w:val="0"/>
        <w:spacing w:line="360" w:lineRule="auto"/>
        <w:ind w:firstLine="480"/>
        <w:jc w:val="left"/>
        <w:textAlignment w:val="auto"/>
        <w:rPr>
          <w:rFonts w:hint="eastAsia" w:ascii="宋体" w:hAnsi="宋体" w:eastAsia="宋体" w:cs="宋体"/>
          <w:bCs/>
          <w:sz w:val="24"/>
        </w:rPr>
      </w:pPr>
      <w:r>
        <w:rPr>
          <w:rFonts w:hint="eastAsia" w:ascii="宋体" w:hAnsi="宋体" w:eastAsia="宋体" w:cs="宋体"/>
          <w:kern w:val="2"/>
          <w:sz w:val="24"/>
          <w:szCs w:val="24"/>
          <w:lang w:val="en-US" w:eastAsia="zh-CN" w:bidi="ar-SA"/>
        </w:rPr>
        <w:t>2.</w:t>
      </w:r>
      <w:r>
        <w:rPr>
          <w:rFonts w:eastAsia="宋体"/>
          <w:bCs/>
          <w:color w:val="222222"/>
          <w:kern w:val="0"/>
          <w:sz w:val="24"/>
        </w:rPr>
        <w:t>开题：</w:t>
      </w:r>
      <w:r>
        <w:rPr>
          <w:rFonts w:hint="eastAsia" w:ascii="宋体" w:hAnsi="宋体" w:eastAsia="宋体" w:cs="宋体"/>
          <w:bCs/>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D96DD8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eastAsia="宋体"/>
          <w:i/>
          <w:color w:val="FF0000"/>
          <w:kern w:val="0"/>
          <w:sz w:val="24"/>
          <w:szCs w:val="18"/>
        </w:rPr>
      </w:pPr>
      <w:r>
        <w:rPr>
          <w:rFonts w:hint="eastAsia" w:ascii="宋体" w:hAnsi="宋体" w:eastAsia="宋体" w:cs="宋体"/>
          <w:bCs/>
          <w:sz w:val="24"/>
          <w:lang w:val="en-US" w:eastAsia="zh-CN"/>
        </w:rPr>
        <w:t>开题包括三个环节：（1）选题：</w:t>
      </w:r>
      <w:r>
        <w:rPr>
          <w:rFonts w:hint="eastAsia" w:ascii="宋体" w:hAnsi="宋体" w:eastAsia="宋体" w:cs="宋体"/>
          <w:bCs/>
          <w:sz w:val="24"/>
        </w:rPr>
        <w:t>博士学位（毕业）论文的选题应体现学科领域的前沿性和先进性。选题一般在第二学期完成，第二学期开学后，学生向学科组提出选题申请，一般至少选3个以上题目，经与自己导师协商提交学院，经学科组审议通过后，可进入开题准备环节。</w:t>
      </w:r>
      <w:r>
        <w:rPr>
          <w:rFonts w:hint="eastAsia" w:ascii="宋体" w:hAnsi="宋体" w:eastAsia="宋体" w:cs="宋体"/>
          <w:bCs/>
          <w:sz w:val="24"/>
          <w:lang w:eastAsia="zh-CN"/>
        </w:rPr>
        <w:t>（</w:t>
      </w:r>
      <w:r>
        <w:rPr>
          <w:rFonts w:hint="eastAsia" w:ascii="宋体" w:hAnsi="宋体" w:eastAsia="宋体" w:cs="宋体"/>
          <w:bCs/>
          <w:sz w:val="24"/>
          <w:lang w:val="en-US" w:eastAsia="zh-CN"/>
        </w:rPr>
        <w:t>2</w:t>
      </w:r>
      <w:r>
        <w:rPr>
          <w:rFonts w:hint="eastAsia" w:ascii="宋体" w:hAnsi="宋体" w:eastAsia="宋体" w:cs="宋体"/>
          <w:bCs/>
          <w:sz w:val="24"/>
          <w:lang w:eastAsia="zh-CN"/>
        </w:rPr>
        <w:t>）</w:t>
      </w:r>
      <w:r>
        <w:rPr>
          <w:rFonts w:hint="eastAsia" w:ascii="宋体" w:hAnsi="宋体" w:eastAsia="宋体" w:cs="宋体"/>
          <w:bCs/>
          <w:sz w:val="24"/>
        </w:rPr>
        <w:t>开题预审。由学科组对学生提交的开题报告进行预审，主要审查选题的政治方向、学科属性和整体框架设计，对存在较大问题的返回学生修改，修改仍不合格者延期开题。</w:t>
      </w:r>
      <w:r>
        <w:rPr>
          <w:rFonts w:hint="eastAsia" w:ascii="宋体" w:hAnsi="宋体" w:eastAsia="宋体" w:cs="宋体"/>
          <w:bCs/>
          <w:sz w:val="24"/>
          <w:lang w:eastAsia="zh-CN"/>
        </w:rPr>
        <w:t>（</w:t>
      </w:r>
      <w:r>
        <w:rPr>
          <w:rFonts w:hint="eastAsia" w:ascii="宋体" w:hAnsi="宋体" w:eastAsia="宋体" w:cs="宋体"/>
          <w:bCs/>
          <w:sz w:val="24"/>
        </w:rPr>
        <w:t>3</w:t>
      </w:r>
      <w:r>
        <w:rPr>
          <w:rFonts w:hint="eastAsia" w:ascii="宋体" w:hAnsi="宋体" w:eastAsia="宋体" w:cs="宋体"/>
          <w:bCs/>
          <w:sz w:val="24"/>
          <w:lang w:eastAsia="zh-CN"/>
        </w:rPr>
        <w:t>）</w:t>
      </w:r>
      <w:r>
        <w:rPr>
          <w:rFonts w:hint="eastAsia" w:ascii="宋体" w:hAnsi="宋体" w:eastAsia="宋体" w:cs="宋体"/>
          <w:bCs/>
          <w:sz w:val="24"/>
          <w:lang w:val="en-US" w:eastAsia="zh-CN"/>
        </w:rPr>
        <w:t>正式</w:t>
      </w:r>
      <w:r>
        <w:rPr>
          <w:rFonts w:hint="eastAsia" w:ascii="宋体" w:hAnsi="宋体" w:eastAsia="宋体" w:cs="宋体"/>
          <w:bCs/>
          <w:sz w:val="24"/>
        </w:rPr>
        <w:t>开题。第三个学期开始后，学生向学科组提出开题申请并提交开题报告，经学科组审议通过后，可参加开题。开题报告能够清晰表述研究内容及其研究的学术价值。原则上在入学后第3学期（最迟不超过第4学期）完成开题。开题由3-5名具有正高级专业技术职务人员参加，以学术报告的方式进行。</w:t>
      </w:r>
    </w:p>
    <w:p w14:paraId="23A67A80">
      <w:pPr>
        <w:keepNext w:val="0"/>
        <w:keepLines w:val="0"/>
        <w:pageBreakBefore w:val="0"/>
        <w:widowControl/>
        <w:kinsoku/>
        <w:wordWrap/>
        <w:overflowPunct/>
        <w:topLinePunct w:val="0"/>
        <w:autoSpaceDE/>
        <w:autoSpaceDN/>
        <w:bidi w:val="0"/>
        <w:adjustRightInd/>
        <w:snapToGrid w:val="0"/>
        <w:spacing w:line="360" w:lineRule="auto"/>
        <w:ind w:firstLine="480"/>
        <w:jc w:val="left"/>
        <w:textAlignment w:val="auto"/>
        <w:rPr>
          <w:rFonts w:eastAsia="宋体"/>
          <w:i w:val="0"/>
          <w:iCs w:val="0"/>
          <w:color w:val="auto"/>
          <w:kern w:val="0"/>
          <w:sz w:val="24"/>
        </w:rPr>
      </w:pPr>
      <w:r>
        <w:rPr>
          <w:rFonts w:hint="eastAsia" w:ascii="宋体" w:hAnsi="宋体" w:eastAsia="宋体" w:cs="宋体"/>
          <w:kern w:val="2"/>
          <w:sz w:val="24"/>
          <w:szCs w:val="24"/>
          <w:lang w:val="en-US" w:eastAsia="zh-CN" w:bidi="ar-SA"/>
        </w:rPr>
        <w:t>3.</w:t>
      </w:r>
      <w:r>
        <w:rPr>
          <w:rFonts w:eastAsia="宋体"/>
          <w:bCs/>
          <w:i w:val="0"/>
          <w:iCs w:val="0"/>
          <w:color w:val="auto"/>
          <w:kern w:val="0"/>
          <w:sz w:val="24"/>
        </w:rPr>
        <w:t>中期进展报告：</w:t>
      </w:r>
      <w:r>
        <w:rPr>
          <w:rFonts w:eastAsia="宋体"/>
          <w:i w:val="0"/>
          <w:iCs w:val="0"/>
          <w:color w:val="auto"/>
          <w:kern w:val="0"/>
          <w:sz w:val="24"/>
        </w:rPr>
        <w:t>中期进展报告是检查研究生个人综合能力及学位论文进展、指导研究生把握学位（毕业）论文方向、提高学位（毕业）论文质量的必要环节。中期进展报告原则上应在入学后第5学期进行；</w:t>
      </w:r>
      <w:r>
        <w:rPr>
          <w:rFonts w:hint="eastAsia" w:eastAsia="宋体"/>
          <w:i w:val="0"/>
          <w:iCs w:val="0"/>
          <w:color w:val="auto"/>
          <w:kern w:val="0"/>
          <w:sz w:val="24"/>
          <w:lang w:val="en-US" w:eastAsia="zh-CN"/>
        </w:rPr>
        <w:t>由</w:t>
      </w:r>
      <w:r>
        <w:rPr>
          <w:rFonts w:eastAsia="宋体"/>
          <w:i w:val="0"/>
          <w:iCs w:val="0"/>
          <w:color w:val="auto"/>
          <w:kern w:val="0"/>
          <w:sz w:val="24"/>
        </w:rPr>
        <w:t>导师组</w:t>
      </w:r>
      <w:r>
        <w:rPr>
          <w:rFonts w:hint="eastAsia" w:eastAsia="宋体"/>
          <w:i w:val="0"/>
          <w:iCs w:val="0"/>
          <w:color w:val="auto"/>
          <w:kern w:val="0"/>
          <w:sz w:val="24"/>
          <w:lang w:val="en-US" w:eastAsia="zh-CN"/>
        </w:rPr>
        <w:t>通过答辩或审查论文的方式</w:t>
      </w:r>
      <w:r>
        <w:rPr>
          <w:rFonts w:eastAsia="宋体"/>
          <w:i w:val="0"/>
          <w:iCs w:val="0"/>
          <w:color w:val="auto"/>
          <w:kern w:val="0"/>
          <w:sz w:val="24"/>
        </w:rPr>
        <w:t>组织考核。</w:t>
      </w:r>
    </w:p>
    <w:p w14:paraId="11816072">
      <w:pPr>
        <w:keepNext w:val="0"/>
        <w:keepLines w:val="0"/>
        <w:pageBreakBefore w:val="0"/>
        <w:widowControl/>
        <w:kinsoku/>
        <w:wordWrap/>
        <w:overflowPunct/>
        <w:topLinePunct w:val="0"/>
        <w:autoSpaceDE/>
        <w:autoSpaceDN/>
        <w:bidi w:val="0"/>
        <w:adjustRightInd/>
        <w:snapToGrid w:val="0"/>
        <w:spacing w:line="360" w:lineRule="auto"/>
        <w:ind w:firstLine="480"/>
        <w:jc w:val="left"/>
        <w:textAlignment w:val="auto"/>
        <w:rPr>
          <w:i w:val="0"/>
          <w:iCs w:val="0"/>
          <w:color w:val="auto"/>
          <w:kern w:val="0"/>
          <w:sz w:val="24"/>
        </w:rPr>
      </w:pPr>
      <w:r>
        <w:rPr>
          <w:rFonts w:hint="eastAsia" w:ascii="宋体" w:hAnsi="宋体" w:eastAsia="宋体" w:cs="宋体"/>
          <w:kern w:val="2"/>
          <w:sz w:val="24"/>
          <w:szCs w:val="24"/>
          <w:lang w:val="en-US" w:eastAsia="zh-CN" w:bidi="ar-SA"/>
        </w:rPr>
        <w:t>4.</w:t>
      </w:r>
      <w:r>
        <w:rPr>
          <w:bCs/>
          <w:i w:val="0"/>
          <w:iCs w:val="0"/>
          <w:color w:val="auto"/>
          <w:kern w:val="0"/>
          <w:sz w:val="24"/>
        </w:rPr>
        <w:t>学位申请：</w:t>
      </w:r>
      <w:r>
        <w:rPr>
          <w:i w:val="0"/>
          <w:iCs w:val="0"/>
          <w:color w:val="auto"/>
          <w:kern w:val="0"/>
          <w:sz w:val="24"/>
        </w:rPr>
        <w:t>达到学位授予条件的申请人，经导师同意后，应于答辩前三个月，向所属学位评定分委员会提出学位申请，提交学位申请材料。</w:t>
      </w:r>
    </w:p>
    <w:p w14:paraId="2ACFC5B2">
      <w:pPr>
        <w:keepNext w:val="0"/>
        <w:keepLines w:val="0"/>
        <w:pageBreakBefore w:val="0"/>
        <w:widowControl/>
        <w:kinsoku/>
        <w:wordWrap/>
        <w:overflowPunct/>
        <w:topLinePunct w:val="0"/>
        <w:autoSpaceDE/>
        <w:autoSpaceDN/>
        <w:bidi w:val="0"/>
        <w:adjustRightInd/>
        <w:snapToGrid w:val="0"/>
        <w:spacing w:line="360" w:lineRule="auto"/>
        <w:ind w:firstLine="480"/>
        <w:jc w:val="left"/>
        <w:textAlignment w:val="auto"/>
        <w:rPr>
          <w:i w:val="0"/>
          <w:iCs w:val="0"/>
          <w:color w:val="auto"/>
          <w:kern w:val="0"/>
          <w:sz w:val="24"/>
        </w:rPr>
      </w:pPr>
      <w:r>
        <w:rPr>
          <w:rFonts w:hint="eastAsia" w:ascii="宋体" w:hAnsi="宋体" w:eastAsia="宋体" w:cs="宋体"/>
          <w:kern w:val="2"/>
          <w:sz w:val="24"/>
          <w:szCs w:val="24"/>
          <w:lang w:val="en-US" w:eastAsia="zh-CN" w:bidi="ar-SA"/>
        </w:rPr>
        <w:t>5.</w:t>
      </w:r>
      <w:r>
        <w:rPr>
          <w:bCs/>
          <w:i w:val="0"/>
          <w:iCs w:val="0"/>
          <w:color w:val="auto"/>
          <w:kern w:val="0"/>
          <w:sz w:val="24"/>
        </w:rPr>
        <w:t>预答辩：</w:t>
      </w:r>
      <w:r>
        <w:rPr>
          <w:i w:val="0"/>
          <w:iCs w:val="0"/>
          <w:color w:val="auto"/>
          <w:kern w:val="0"/>
          <w:sz w:val="24"/>
        </w:rPr>
        <w:t>学位申请人须进行学位论文预答辩。预答辩通过者，方可进入学位论文评阅、学位论文答辩等环节。学位（毕业）论文预答辩在正式答辩前3个月进行。</w:t>
      </w:r>
    </w:p>
    <w:p w14:paraId="1FCCE1B8">
      <w:pPr>
        <w:keepNext w:val="0"/>
        <w:keepLines w:val="0"/>
        <w:pageBreakBefore w:val="0"/>
        <w:widowControl/>
        <w:kinsoku/>
        <w:wordWrap/>
        <w:overflowPunct/>
        <w:topLinePunct w:val="0"/>
        <w:autoSpaceDE/>
        <w:autoSpaceDN/>
        <w:bidi w:val="0"/>
        <w:adjustRightInd/>
        <w:snapToGrid w:val="0"/>
        <w:spacing w:line="360" w:lineRule="auto"/>
        <w:ind w:firstLine="480"/>
        <w:jc w:val="left"/>
        <w:textAlignment w:val="auto"/>
        <w:rPr>
          <w:color w:val="222222"/>
          <w:kern w:val="0"/>
          <w:sz w:val="24"/>
        </w:rPr>
      </w:pPr>
      <w:r>
        <w:rPr>
          <w:rFonts w:hint="eastAsia" w:ascii="宋体" w:hAnsi="宋体" w:eastAsia="宋体" w:cs="宋体"/>
          <w:kern w:val="2"/>
          <w:sz w:val="24"/>
          <w:szCs w:val="24"/>
          <w:lang w:val="en-US" w:eastAsia="zh-CN" w:bidi="ar-SA"/>
        </w:rPr>
        <w:t>6.</w:t>
      </w:r>
      <w:r>
        <w:rPr>
          <w:bCs/>
          <w:i w:val="0"/>
          <w:iCs w:val="0"/>
          <w:color w:val="auto"/>
          <w:kern w:val="0"/>
          <w:sz w:val="24"/>
        </w:rPr>
        <w:t>论文评阅：</w:t>
      </w:r>
      <w:r>
        <w:rPr>
          <w:i w:val="0"/>
          <w:iCs w:val="0"/>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w:t>
      </w:r>
      <w:r>
        <w:rPr>
          <w:color w:val="222222"/>
          <w:kern w:val="0"/>
          <w:sz w:val="24"/>
        </w:rPr>
        <w:t>学研究生学位论文或者实践成果评审管理办法》（校政字〔2025〕8号）执行。</w:t>
      </w:r>
    </w:p>
    <w:p w14:paraId="16F710F8">
      <w:pPr>
        <w:keepNext w:val="0"/>
        <w:keepLines w:val="0"/>
        <w:pageBreakBefore w:val="0"/>
        <w:widowControl/>
        <w:kinsoku/>
        <w:wordWrap/>
        <w:overflowPunct/>
        <w:topLinePunct w:val="0"/>
        <w:autoSpaceDE/>
        <w:autoSpaceDN/>
        <w:bidi w:val="0"/>
        <w:adjustRightInd/>
        <w:snapToGrid w:val="0"/>
        <w:spacing w:line="360" w:lineRule="auto"/>
        <w:ind w:firstLine="480"/>
        <w:jc w:val="left"/>
        <w:textAlignment w:val="auto"/>
        <w:rPr>
          <w:color w:val="222222"/>
          <w:kern w:val="0"/>
          <w:sz w:val="24"/>
        </w:rPr>
      </w:pPr>
      <w:r>
        <w:rPr>
          <w:rFonts w:hint="eastAsia" w:ascii="宋体" w:hAnsi="宋体" w:eastAsia="宋体" w:cs="宋体"/>
          <w:kern w:val="2"/>
          <w:sz w:val="24"/>
          <w:szCs w:val="24"/>
          <w:lang w:val="en-US" w:eastAsia="zh-CN" w:bidi="ar-SA"/>
        </w:rPr>
        <w:t>7.</w:t>
      </w:r>
      <w:r>
        <w:rPr>
          <w:bCs/>
          <w:color w:val="222222"/>
          <w:kern w:val="0"/>
          <w:sz w:val="24"/>
        </w:rPr>
        <w:t>答辩：学位（毕业）论文答辩按照</w:t>
      </w:r>
      <w:r>
        <w:rPr>
          <w:color w:val="222222"/>
          <w:kern w:val="0"/>
          <w:sz w:val="24"/>
        </w:rPr>
        <w:t>《河北大学博士、硕士学位授予工作实施细则》（校政字〔2025〕7号）执行。</w:t>
      </w:r>
    </w:p>
    <w:p w14:paraId="1533374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07201A1F">
      <w:pPr>
        <w:keepNext w:val="0"/>
        <w:keepLines w:val="0"/>
        <w:pageBreakBefore w:val="0"/>
        <w:kinsoku/>
        <w:wordWrap/>
        <w:overflowPunct/>
        <w:topLinePunct w:val="0"/>
        <w:autoSpaceDE/>
        <w:autoSpaceDN/>
        <w:bidi w:val="0"/>
        <w:adjustRightInd/>
        <w:snapToGrid w:val="0"/>
        <w:spacing w:line="360" w:lineRule="auto"/>
        <w:ind w:firstLine="480" w:firstLineChars="200"/>
        <w:jc w:val="both"/>
        <w:textAlignment w:val="auto"/>
        <w:rPr>
          <w:rFonts w:eastAsiaTheme="minorEastAsia"/>
          <w:bCs/>
          <w:sz w:val="24"/>
        </w:rPr>
      </w:pPr>
      <w:r>
        <w:rPr>
          <w:rFonts w:hint="eastAsia" w:ascii="宋体" w:hAnsi="宋体" w:eastAsia="宋体" w:cs="宋体"/>
          <w:kern w:val="2"/>
          <w:sz w:val="24"/>
          <w:szCs w:val="24"/>
          <w:lang w:val="en-US" w:eastAsia="zh-CN" w:bidi="ar-SA"/>
        </w:rPr>
        <w:t>1.</w:t>
      </w:r>
      <w:r>
        <w:rPr>
          <w:rFonts w:eastAsiaTheme="minorEastAsia"/>
          <w:bCs/>
          <w:sz w:val="24"/>
        </w:rPr>
        <w:t>课程学习。研究生在规定修业年限内完成培养方案规定的课程学习，考核成绩合格，获得规定的学分。</w:t>
      </w:r>
    </w:p>
    <w:p w14:paraId="6C02F476">
      <w:pPr>
        <w:keepNext w:val="0"/>
        <w:keepLines w:val="0"/>
        <w:pageBreakBefore w:val="0"/>
        <w:kinsoku/>
        <w:wordWrap/>
        <w:overflowPunct/>
        <w:topLinePunct w:val="0"/>
        <w:autoSpaceDE/>
        <w:autoSpaceDN/>
        <w:bidi w:val="0"/>
        <w:adjustRightInd/>
        <w:snapToGrid w:val="0"/>
        <w:spacing w:line="360" w:lineRule="auto"/>
        <w:ind w:firstLine="480" w:firstLineChars="200"/>
        <w:jc w:val="both"/>
        <w:textAlignment w:val="auto"/>
        <w:rPr>
          <w:rFonts w:eastAsiaTheme="minorEastAsia"/>
          <w:i/>
          <w:color w:val="FF0000"/>
          <w:sz w:val="24"/>
        </w:rPr>
      </w:pPr>
      <w:r>
        <w:rPr>
          <w:rFonts w:hint="eastAsia" w:ascii="宋体" w:hAnsi="宋体" w:eastAsia="宋体" w:cs="宋体"/>
          <w:kern w:val="2"/>
          <w:sz w:val="24"/>
          <w:szCs w:val="24"/>
          <w:lang w:val="en-US" w:eastAsia="zh-CN" w:bidi="ar-SA"/>
        </w:rPr>
        <w:t>2.</w:t>
      </w:r>
      <w:r>
        <w:rPr>
          <w:rFonts w:eastAsiaTheme="minorEastAsia"/>
          <w:bCs/>
          <w:sz w:val="24"/>
        </w:rPr>
        <w:t>学术活动。研究生</w:t>
      </w:r>
      <w:r>
        <w:rPr>
          <w:rFonts w:eastAsiaTheme="minorEastAsia"/>
          <w:color w:val="000000"/>
          <w:sz w:val="24"/>
        </w:rPr>
        <w:t>在读期间参加不少于</w:t>
      </w:r>
      <w:r>
        <w:rPr>
          <w:rFonts w:eastAsiaTheme="minorEastAsia"/>
          <w:i w:val="0"/>
          <w:iCs/>
          <w:color w:val="auto"/>
          <w:sz w:val="24"/>
        </w:rPr>
        <w:t>15</w:t>
      </w:r>
      <w:r>
        <w:rPr>
          <w:rFonts w:eastAsiaTheme="minorEastAsia"/>
          <w:color w:val="000000"/>
          <w:sz w:val="24"/>
        </w:rPr>
        <w:t>次学术活动，并撰写学术报告小结；以主讲人或宣讲人身份，参加在校内外举行的学术报告或学术讲座不少于</w:t>
      </w:r>
      <w:r>
        <w:rPr>
          <w:rFonts w:eastAsiaTheme="minorEastAsia"/>
          <w:i w:val="0"/>
          <w:iCs/>
          <w:color w:val="auto"/>
          <w:sz w:val="24"/>
        </w:rPr>
        <w:t>2</w:t>
      </w:r>
      <w:r>
        <w:rPr>
          <w:rFonts w:eastAsiaTheme="minorEastAsia"/>
          <w:color w:val="000000"/>
          <w:sz w:val="24"/>
        </w:rPr>
        <w:t>次。</w:t>
      </w:r>
      <w:r>
        <w:rPr>
          <w:rFonts w:hint="eastAsia" w:eastAsiaTheme="minorEastAsia"/>
          <w:bCs/>
          <w:color w:val="auto"/>
          <w:sz w:val="24"/>
          <w:lang w:val="en-US" w:eastAsia="zh-CN"/>
        </w:rPr>
        <w:t>学生每学期末放假前两周提交一次该学期参加学术活动的情况报告，对自己所参加的学术活动进行登记备案。</w:t>
      </w:r>
    </w:p>
    <w:p w14:paraId="1FDE045F">
      <w:pPr>
        <w:keepNext w:val="0"/>
        <w:keepLines w:val="0"/>
        <w:pageBreakBefore w:val="0"/>
        <w:kinsoku/>
        <w:wordWrap/>
        <w:overflowPunct/>
        <w:topLinePunct w:val="0"/>
        <w:autoSpaceDE/>
        <w:autoSpaceDN/>
        <w:bidi w:val="0"/>
        <w:adjustRightInd/>
        <w:snapToGrid w:val="0"/>
        <w:spacing w:line="360" w:lineRule="auto"/>
        <w:ind w:firstLine="480" w:firstLineChars="200"/>
        <w:jc w:val="both"/>
        <w:textAlignment w:val="auto"/>
        <w:rPr>
          <w:rFonts w:eastAsiaTheme="minorEastAsia"/>
          <w:bCs/>
          <w:sz w:val="24"/>
        </w:rPr>
      </w:pPr>
      <w:r>
        <w:rPr>
          <w:rFonts w:hint="eastAsia" w:ascii="宋体" w:hAnsi="宋体" w:eastAsia="宋体" w:cs="宋体"/>
          <w:kern w:val="2"/>
          <w:sz w:val="24"/>
          <w:szCs w:val="24"/>
          <w:lang w:val="en-US" w:eastAsia="zh-CN" w:bidi="ar-SA"/>
        </w:rPr>
        <w:t>3.</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570E375E">
      <w:pPr>
        <w:keepNext w:val="0"/>
        <w:keepLines w:val="0"/>
        <w:pageBreakBefore w:val="0"/>
        <w:kinsoku/>
        <w:wordWrap/>
        <w:overflowPunct/>
        <w:topLinePunct w:val="0"/>
        <w:autoSpaceDE/>
        <w:autoSpaceDN/>
        <w:bidi w:val="0"/>
        <w:adjustRightInd/>
        <w:snapToGrid w:val="0"/>
        <w:spacing w:line="360" w:lineRule="auto"/>
        <w:ind w:firstLine="480" w:firstLineChars="200"/>
        <w:jc w:val="both"/>
        <w:textAlignment w:val="auto"/>
        <w:rPr>
          <w:rFonts w:eastAsiaTheme="minorEastAsia"/>
          <w:bCs/>
          <w:sz w:val="24"/>
        </w:rPr>
      </w:pPr>
      <w:r>
        <w:rPr>
          <w:rFonts w:hint="eastAsia" w:ascii="宋体" w:hAnsi="宋体" w:eastAsia="宋体" w:cs="宋体"/>
          <w:kern w:val="2"/>
          <w:sz w:val="24"/>
          <w:szCs w:val="24"/>
          <w:lang w:val="en-US" w:eastAsia="zh-CN" w:bidi="ar-SA"/>
        </w:rPr>
        <w:t>4.</w:t>
      </w:r>
      <w:r>
        <w:rPr>
          <w:rFonts w:eastAsiaTheme="minorEastAsia"/>
          <w:bCs/>
          <w:sz w:val="24"/>
        </w:rPr>
        <w:t>论文答辩。学位（毕业）论文经专家评审合格、通过学位（毕业）答辩，符合毕业资格审查后，准予毕业。</w:t>
      </w:r>
    </w:p>
    <w:p w14:paraId="65855069">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hint="eastAsia" w:eastAsia="黑体"/>
          <w:bCs/>
          <w:sz w:val="28"/>
          <w:szCs w:val="28"/>
        </w:rPr>
        <w:t>十</w:t>
      </w:r>
      <w:r>
        <w:rPr>
          <w:rFonts w:eastAsia="黑体"/>
          <w:bCs/>
          <w:sz w:val="28"/>
          <w:szCs w:val="28"/>
        </w:rPr>
        <w:t>、创新性成果</w:t>
      </w:r>
    </w:p>
    <w:p w14:paraId="37E4A565">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eastAsia="微软雅黑"/>
          <w:color w:val="000000"/>
          <w:sz w:val="24"/>
          <w:lang w:val="en-US" w:eastAsia="zh-CN"/>
        </w:rPr>
      </w:pPr>
      <w:r>
        <w:rPr>
          <w:rFonts w:hint="eastAsia" w:eastAsiaTheme="minorEastAsia"/>
          <w:color w:val="000000"/>
          <w:sz w:val="24"/>
          <w:lang w:val="en-US" w:eastAsia="zh-CN"/>
        </w:rPr>
        <w:t>创新性成果，依照河北大学马克思主义学院相关规定执行。</w:t>
      </w:r>
    </w:p>
    <w:p w14:paraId="0B6DFA2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eastAsia="黑体"/>
          <w:bCs/>
          <w:sz w:val="28"/>
          <w:szCs w:val="28"/>
        </w:rPr>
        <w:t>十一、学位授予</w:t>
      </w:r>
    </w:p>
    <w:p w14:paraId="20FFD5F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rFonts w:eastAsiaTheme="minorEastAsia"/>
          <w:bCs/>
          <w:sz w:val="24"/>
        </w:rPr>
        <w:t>本学院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7D24327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85E439F">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i w:val="0"/>
          <w:iCs/>
          <w:color w:val="auto"/>
          <w:sz w:val="24"/>
        </w:rPr>
      </w:pPr>
      <w:r>
        <w:rPr>
          <w:rFonts w:hint="eastAsia" w:ascii="宋体" w:hAnsi="宋体" w:eastAsia="宋体" w:cs="宋体"/>
          <w:color w:val="000000"/>
          <w:sz w:val="24"/>
        </w:rPr>
        <w:t>本专业最低毕业学分为</w:t>
      </w:r>
      <w:r>
        <w:rPr>
          <w:rFonts w:hint="eastAsia" w:ascii="宋体" w:hAnsi="宋体" w:eastAsia="宋体" w:cs="宋体"/>
          <w:color w:val="000000"/>
          <w:sz w:val="24"/>
          <w:lang w:val="en-US" w:eastAsia="zh-CN"/>
        </w:rPr>
        <w:t>21学</w:t>
      </w:r>
      <w:r>
        <w:rPr>
          <w:rFonts w:hint="eastAsia" w:ascii="宋体" w:hAnsi="宋体" w:eastAsia="宋体" w:cs="宋体"/>
          <w:color w:val="000000"/>
          <w:sz w:val="24"/>
        </w:rPr>
        <w:t>分，其中学位课</w:t>
      </w:r>
      <w:r>
        <w:rPr>
          <w:rFonts w:hint="eastAsia" w:ascii="宋体" w:hAnsi="宋体" w:eastAsia="宋体" w:cs="宋体"/>
          <w:color w:val="000000"/>
          <w:sz w:val="24"/>
          <w:lang w:val="en-US" w:eastAsia="zh-CN"/>
        </w:rPr>
        <w:t>16</w:t>
      </w:r>
      <w:r>
        <w:rPr>
          <w:rFonts w:hint="eastAsia" w:ascii="宋体" w:hAnsi="宋体" w:eastAsia="宋体" w:cs="宋体"/>
          <w:color w:val="000000"/>
          <w:sz w:val="24"/>
        </w:rPr>
        <w:t>学分，非学位课</w:t>
      </w:r>
      <w:r>
        <w:rPr>
          <w:rFonts w:hint="eastAsia" w:ascii="宋体" w:hAnsi="宋体" w:eastAsia="宋体" w:cs="宋体"/>
          <w:color w:val="000000"/>
          <w:sz w:val="24"/>
          <w:lang w:val="en-US" w:eastAsia="zh-CN"/>
        </w:rPr>
        <w:t>4</w:t>
      </w:r>
      <w:r>
        <w:rPr>
          <w:rFonts w:hint="eastAsia" w:ascii="宋体" w:hAnsi="宋体" w:eastAsia="宋体" w:cs="宋体"/>
          <w:color w:val="000000"/>
          <w:sz w:val="24"/>
        </w:rPr>
        <w:t>学分，必修环</w:t>
      </w:r>
      <w:r>
        <w:rPr>
          <w:rFonts w:hint="eastAsia" w:ascii="宋体" w:hAnsi="宋体" w:eastAsia="宋体" w:cs="宋体"/>
          <w:color w:val="auto"/>
          <w:sz w:val="24"/>
        </w:rPr>
        <w:t>节</w:t>
      </w:r>
      <w:r>
        <w:rPr>
          <w:rFonts w:hint="eastAsia" w:ascii="宋体" w:hAnsi="宋体" w:eastAsia="宋体" w:cs="宋体"/>
          <w:color w:val="auto"/>
          <w:sz w:val="24"/>
          <w:lang w:val="en-US" w:eastAsia="zh-CN"/>
        </w:rPr>
        <w:t>1学</w:t>
      </w:r>
      <w:r>
        <w:rPr>
          <w:rFonts w:hint="eastAsia" w:ascii="宋体" w:hAnsi="宋体" w:eastAsia="宋体" w:cs="宋体"/>
          <w:color w:val="000000"/>
          <w:sz w:val="24"/>
        </w:rPr>
        <w:t>分。课程考试不设补考环节，考试成绩低于60分的需重修。</w:t>
      </w:r>
      <w:r>
        <w:rPr>
          <w:rFonts w:hint="eastAsia" w:ascii="宋体" w:hAnsi="宋体" w:eastAsia="宋体" w:cs="宋体"/>
          <w:i w:val="0"/>
          <w:iCs/>
          <w:color w:val="auto"/>
          <w:sz w:val="24"/>
        </w:rPr>
        <w:t>课程考核方式包括考试和考查，可以采用口试、笔试或写读书报告、论文的形式</w:t>
      </w:r>
      <w:r>
        <w:rPr>
          <w:rFonts w:hint="eastAsia" w:ascii="宋体" w:hAnsi="宋体" w:eastAsia="宋体" w:cs="宋体"/>
          <w:i w:val="0"/>
          <w:iCs/>
          <w:color w:val="auto"/>
          <w:sz w:val="24"/>
          <w:lang w:eastAsia="zh-CN"/>
        </w:rPr>
        <w:t>。</w:t>
      </w:r>
      <w:r>
        <w:rPr>
          <w:rFonts w:hint="eastAsia" w:ascii="宋体" w:hAnsi="宋体" w:eastAsia="宋体" w:cs="宋体"/>
          <w:i w:val="0"/>
          <w:iCs/>
          <w:color w:val="auto"/>
          <w:sz w:val="24"/>
        </w:rPr>
        <w:t>无论采取何种考核方式，均应能真实反映学生对所学课程掌握的程度及运用知识的能力。</w:t>
      </w:r>
      <w:r>
        <w:rPr>
          <w:rFonts w:hint="eastAsia" w:ascii="宋体" w:hAnsi="宋体" w:eastAsia="宋体" w:cs="宋体"/>
          <w:i w:val="0"/>
          <w:iCs/>
          <w:color w:val="auto"/>
          <w:sz w:val="24"/>
          <w:lang w:val="en-US" w:eastAsia="zh-CN"/>
        </w:rPr>
        <w:t>其中《哲学基本问题与方法》《马克思主义发展史》2门课程采取闭卷考试方式。</w:t>
      </w:r>
    </w:p>
    <w:p w14:paraId="4F5B399B">
      <w:pPr>
        <w:spacing w:after="156" w:afterLines="50" w:line="440" w:lineRule="exact"/>
        <w:ind w:firstLine="482" w:firstLineChars="200"/>
        <w:jc w:val="center"/>
        <w:rPr>
          <w:rFonts w:eastAsiaTheme="minorEastAsia"/>
          <w:b/>
          <w:bCs/>
          <w:sz w:val="24"/>
        </w:rPr>
      </w:pPr>
      <w:r>
        <w:rPr>
          <w:rFonts w:hint="eastAsia" w:eastAsiaTheme="minorEastAsia"/>
          <w:b/>
          <w:bCs/>
          <w:color w:val="auto"/>
          <w:sz w:val="24"/>
          <w:lang w:val="en-US" w:eastAsia="zh-CN"/>
        </w:rPr>
        <w:t>马克思主义哲学</w:t>
      </w:r>
      <w:r>
        <w:rPr>
          <w:rFonts w:eastAsiaTheme="minorEastAsia"/>
          <w:b/>
          <w:bCs/>
          <w:color w:val="auto"/>
          <w:sz w:val="24"/>
        </w:rPr>
        <w:t>专</w:t>
      </w:r>
      <w:r>
        <w:rPr>
          <w:rFonts w:eastAsiaTheme="minorEastAsia"/>
          <w:b/>
          <w:bCs/>
          <w:sz w:val="24"/>
        </w:rPr>
        <w:t>业学术学位博士研究生课程及培养环节设置一览表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2937"/>
        <w:gridCol w:w="1320"/>
        <w:gridCol w:w="690"/>
        <w:gridCol w:w="702"/>
        <w:gridCol w:w="1411"/>
      </w:tblGrid>
      <w:tr w14:paraId="45AE0F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0CE0FA3">
            <w:pPr>
              <w:jc w:val="center"/>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课程类别</w:t>
            </w:r>
          </w:p>
        </w:tc>
        <w:tc>
          <w:tcPr>
            <w:tcW w:w="2937" w:type="dxa"/>
            <w:vAlign w:val="center"/>
          </w:tcPr>
          <w:p w14:paraId="15254406">
            <w:pPr>
              <w:jc w:val="center"/>
              <w:rPr>
                <w:rFonts w:hint="eastAsia" w:ascii="宋体" w:hAnsi="宋体" w:eastAsia="宋体" w:cs="宋体"/>
                <w:b/>
                <w:color w:val="auto"/>
                <w:szCs w:val="21"/>
              </w:rPr>
            </w:pPr>
            <w:r>
              <w:rPr>
                <w:rFonts w:hint="eastAsia" w:ascii="宋体" w:hAnsi="宋体" w:eastAsia="宋体" w:cs="宋体"/>
                <w:b/>
                <w:color w:val="auto"/>
                <w:szCs w:val="21"/>
              </w:rPr>
              <w:t>课程说明</w:t>
            </w:r>
          </w:p>
        </w:tc>
        <w:tc>
          <w:tcPr>
            <w:tcW w:w="1320" w:type="dxa"/>
            <w:vAlign w:val="center"/>
          </w:tcPr>
          <w:p w14:paraId="6CC08CA1">
            <w:pPr>
              <w:jc w:val="center"/>
              <w:rPr>
                <w:rFonts w:hint="eastAsia" w:ascii="宋体" w:hAnsi="宋体" w:eastAsia="宋体" w:cs="宋体"/>
                <w:b/>
                <w:color w:val="auto"/>
                <w:szCs w:val="21"/>
              </w:rPr>
            </w:pPr>
            <w:r>
              <w:rPr>
                <w:rFonts w:hint="eastAsia" w:ascii="宋体" w:hAnsi="宋体" w:eastAsia="宋体" w:cs="宋体"/>
                <w:b/>
                <w:color w:val="auto"/>
                <w:szCs w:val="21"/>
              </w:rPr>
              <w:t>课程编号</w:t>
            </w:r>
          </w:p>
        </w:tc>
        <w:tc>
          <w:tcPr>
            <w:tcW w:w="690" w:type="dxa"/>
            <w:vAlign w:val="center"/>
          </w:tcPr>
          <w:p w14:paraId="4D1DC33E">
            <w:pPr>
              <w:jc w:val="center"/>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学分</w:t>
            </w:r>
          </w:p>
        </w:tc>
        <w:tc>
          <w:tcPr>
            <w:tcW w:w="702" w:type="dxa"/>
            <w:vAlign w:val="center"/>
          </w:tcPr>
          <w:p w14:paraId="1BAA9D40">
            <w:pPr>
              <w:jc w:val="center"/>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学期</w:t>
            </w:r>
          </w:p>
        </w:tc>
        <w:tc>
          <w:tcPr>
            <w:tcW w:w="1411" w:type="dxa"/>
            <w:vAlign w:val="center"/>
          </w:tcPr>
          <w:p w14:paraId="7DE71B4B">
            <w:pPr>
              <w:jc w:val="center"/>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备注</w:t>
            </w:r>
          </w:p>
        </w:tc>
      </w:tr>
      <w:tr w14:paraId="69C1DE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3" w:hRule="atLeast"/>
          <w:jc w:val="center"/>
        </w:trPr>
        <w:tc>
          <w:tcPr>
            <w:tcW w:w="571" w:type="dxa"/>
            <w:vMerge w:val="restart"/>
            <w:vAlign w:val="center"/>
          </w:tcPr>
          <w:p w14:paraId="18573FB4">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学位课</w:t>
            </w:r>
          </w:p>
        </w:tc>
        <w:tc>
          <w:tcPr>
            <w:tcW w:w="1226" w:type="dxa"/>
            <w:vMerge w:val="restart"/>
            <w:vAlign w:val="center"/>
          </w:tcPr>
          <w:p w14:paraId="2A7E6AAE">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公共必修课</w:t>
            </w:r>
          </w:p>
          <w:p w14:paraId="11BBF9A1">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（4学分）</w:t>
            </w:r>
          </w:p>
        </w:tc>
        <w:tc>
          <w:tcPr>
            <w:tcW w:w="2937" w:type="dxa"/>
            <w:vAlign w:val="center"/>
          </w:tcPr>
          <w:p w14:paraId="453A35D8">
            <w:pPr>
              <w:jc w:val="left"/>
              <w:rPr>
                <w:rFonts w:hint="eastAsia" w:ascii="宋体" w:hAnsi="宋体" w:eastAsia="宋体" w:cs="宋体"/>
                <w:color w:val="auto"/>
                <w:sz w:val="18"/>
                <w:szCs w:val="18"/>
              </w:rPr>
            </w:pPr>
            <w:r>
              <w:rPr>
                <w:rFonts w:hint="eastAsia" w:ascii="宋体" w:hAnsi="宋体" w:eastAsia="宋体" w:cs="宋体"/>
                <w:color w:val="auto"/>
                <w:sz w:val="18"/>
                <w:szCs w:val="18"/>
              </w:rPr>
              <w:t>中国马克思主义与当代</w:t>
            </w:r>
          </w:p>
        </w:tc>
        <w:tc>
          <w:tcPr>
            <w:tcW w:w="1320" w:type="dxa"/>
            <w:vAlign w:val="center"/>
          </w:tcPr>
          <w:p w14:paraId="7AE91C9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TB0000001</w:t>
            </w:r>
          </w:p>
        </w:tc>
        <w:tc>
          <w:tcPr>
            <w:tcW w:w="690" w:type="dxa"/>
            <w:vAlign w:val="center"/>
          </w:tcPr>
          <w:p w14:paraId="55F0F616">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702" w:type="dxa"/>
            <w:vAlign w:val="center"/>
          </w:tcPr>
          <w:p w14:paraId="15727260">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584735CD">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r>
      <w:tr w14:paraId="3CEA1D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3" w:hRule="atLeast"/>
          <w:jc w:val="center"/>
        </w:trPr>
        <w:tc>
          <w:tcPr>
            <w:tcW w:w="571" w:type="dxa"/>
            <w:vMerge w:val="continue"/>
            <w:vAlign w:val="center"/>
          </w:tcPr>
          <w:p w14:paraId="1AA7FFC2">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2963EAC4">
            <w:pPr>
              <w:jc w:val="center"/>
              <w:rPr>
                <w:rFonts w:hint="eastAsia" w:ascii="宋体" w:hAnsi="宋体" w:eastAsia="宋体" w:cs="宋体"/>
                <w:b/>
                <w:color w:val="000000" w:themeColor="text1"/>
                <w:sz w:val="18"/>
                <w:szCs w:val="18"/>
                <w14:textFill>
                  <w14:solidFill>
                    <w14:schemeClr w14:val="tx1"/>
                  </w14:solidFill>
                </w14:textFill>
              </w:rPr>
            </w:pPr>
          </w:p>
        </w:tc>
        <w:tc>
          <w:tcPr>
            <w:tcW w:w="2937" w:type="dxa"/>
            <w:vAlign w:val="center"/>
          </w:tcPr>
          <w:p w14:paraId="77DFB158">
            <w:pPr>
              <w:jc w:val="left"/>
              <w:rPr>
                <w:rFonts w:hint="eastAsia" w:ascii="宋体" w:hAnsi="宋体" w:eastAsia="宋体" w:cs="宋体"/>
                <w:color w:val="auto"/>
                <w:sz w:val="18"/>
                <w:szCs w:val="18"/>
              </w:rPr>
            </w:pPr>
            <w:r>
              <w:rPr>
                <w:rFonts w:hint="eastAsia" w:ascii="宋体" w:hAnsi="宋体" w:eastAsia="宋体" w:cs="宋体"/>
                <w:color w:val="auto"/>
                <w:sz w:val="18"/>
                <w:szCs w:val="18"/>
              </w:rPr>
              <w:t>学术英语阅读与写作</w:t>
            </w:r>
          </w:p>
        </w:tc>
        <w:tc>
          <w:tcPr>
            <w:tcW w:w="1320" w:type="dxa"/>
            <w:vAlign w:val="center"/>
          </w:tcPr>
          <w:p w14:paraId="6A2A349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TB000000</w:t>
            </w:r>
            <w:r>
              <w:rPr>
                <w:rFonts w:hint="eastAsia" w:ascii="宋体" w:hAnsi="宋体" w:cs="宋体"/>
                <w:color w:val="auto"/>
                <w:sz w:val="18"/>
                <w:szCs w:val="18"/>
                <w:lang w:val="en-US" w:eastAsia="zh-CN"/>
              </w:rPr>
              <w:t>4</w:t>
            </w:r>
          </w:p>
        </w:tc>
        <w:tc>
          <w:tcPr>
            <w:tcW w:w="690" w:type="dxa"/>
            <w:vAlign w:val="center"/>
          </w:tcPr>
          <w:p w14:paraId="7C6A9916">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702" w:type="dxa"/>
            <w:vAlign w:val="center"/>
          </w:tcPr>
          <w:p w14:paraId="708C5F00">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22052B45">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r>
      <w:tr w14:paraId="0E96DF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07CA30B">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restart"/>
            <w:vAlign w:val="center"/>
          </w:tcPr>
          <w:p w14:paraId="740E0751">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学科基础课</w:t>
            </w:r>
          </w:p>
          <w:p w14:paraId="6FA2615E">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w:t>
            </w:r>
            <w:r>
              <w:rPr>
                <w:rFonts w:hint="eastAsia" w:ascii="宋体" w:hAnsi="宋体" w:eastAsia="宋体" w:cs="宋体"/>
                <w:b/>
                <w:color w:val="000000" w:themeColor="text1"/>
                <w:sz w:val="18"/>
                <w:szCs w:val="18"/>
                <w:lang w:val="en-US" w:eastAsia="zh-CN"/>
                <w14:textFill>
                  <w14:solidFill>
                    <w14:schemeClr w14:val="tx1"/>
                  </w14:solidFill>
                </w14:textFill>
              </w:rPr>
              <w:t>8</w:t>
            </w:r>
            <w:r>
              <w:rPr>
                <w:rFonts w:hint="eastAsia" w:ascii="宋体" w:hAnsi="宋体" w:eastAsia="宋体" w:cs="宋体"/>
                <w:b/>
                <w:color w:val="000000" w:themeColor="text1"/>
                <w:sz w:val="18"/>
                <w:szCs w:val="18"/>
                <w14:textFill>
                  <w14:solidFill>
                    <w14:schemeClr w14:val="tx1"/>
                  </w14:solidFill>
                </w14:textFill>
              </w:rPr>
              <w:t>学分）</w:t>
            </w:r>
          </w:p>
        </w:tc>
        <w:tc>
          <w:tcPr>
            <w:tcW w:w="2937" w:type="dxa"/>
            <w:vAlign w:val="center"/>
          </w:tcPr>
          <w:p w14:paraId="3E13E614">
            <w:pPr>
              <w:rPr>
                <w:rFonts w:hint="eastAsia" w:ascii="宋体" w:hAnsi="宋体" w:eastAsia="宋体" w:cs="宋体"/>
                <w:color w:val="auto"/>
                <w:sz w:val="18"/>
                <w:szCs w:val="18"/>
              </w:rPr>
            </w:pPr>
            <w:r>
              <w:rPr>
                <w:rFonts w:hint="eastAsia" w:ascii="宋体" w:hAnsi="宋体" w:eastAsia="宋体" w:cs="宋体"/>
                <w:color w:val="auto"/>
                <w:sz w:val="18"/>
                <w:szCs w:val="18"/>
              </w:rPr>
              <w:t>学术道德与论文写作</w:t>
            </w:r>
          </w:p>
        </w:tc>
        <w:tc>
          <w:tcPr>
            <w:tcW w:w="1320" w:type="dxa"/>
            <w:vAlign w:val="center"/>
          </w:tcPr>
          <w:p w14:paraId="52C0B063">
            <w:pPr>
              <w:jc w:val="center"/>
              <w:rPr>
                <w:rFonts w:hint="eastAsia" w:ascii="宋体" w:hAnsi="宋体" w:eastAsia="宋体" w:cs="宋体"/>
                <w:i/>
                <w:color w:val="auto"/>
                <w:sz w:val="18"/>
                <w:szCs w:val="18"/>
                <w:lang w:eastAsia="zh-CN"/>
              </w:rPr>
            </w:pPr>
            <w:r>
              <w:rPr>
                <w:rFonts w:hint="eastAsia" w:ascii="宋体" w:hAnsi="宋体" w:eastAsia="宋体" w:cs="宋体"/>
                <w:color w:val="auto"/>
                <w:sz w:val="18"/>
                <w:szCs w:val="18"/>
              </w:rPr>
              <w:t>XB</w:t>
            </w:r>
            <w:r>
              <w:rPr>
                <w:rFonts w:hint="eastAsia" w:ascii="宋体" w:hAnsi="宋体" w:cs="宋体"/>
                <w:color w:val="auto"/>
                <w:sz w:val="18"/>
                <w:szCs w:val="18"/>
                <w:lang w:val="en-US" w:eastAsia="zh-CN"/>
              </w:rPr>
              <w:t>310</w:t>
            </w:r>
            <w:r>
              <w:rPr>
                <w:rFonts w:hint="eastAsia" w:ascii="宋体" w:hAnsi="宋体" w:eastAsia="宋体" w:cs="宋体"/>
                <w:color w:val="auto"/>
                <w:sz w:val="18"/>
                <w:szCs w:val="18"/>
              </w:rPr>
              <w:t>1</w:t>
            </w:r>
            <w:r>
              <w:rPr>
                <w:rFonts w:hint="eastAsia" w:ascii="宋体" w:hAnsi="宋体" w:cs="宋体"/>
                <w:color w:val="auto"/>
                <w:sz w:val="18"/>
                <w:szCs w:val="18"/>
                <w:lang w:val="en-US" w:eastAsia="zh-CN"/>
              </w:rPr>
              <w:t>0</w:t>
            </w:r>
            <w:r>
              <w:rPr>
                <w:rFonts w:hint="eastAsia" w:ascii="宋体" w:hAnsi="宋体" w:eastAsia="宋体" w:cs="宋体"/>
                <w:color w:val="auto"/>
                <w:sz w:val="18"/>
                <w:szCs w:val="18"/>
              </w:rPr>
              <w:t>0</w:t>
            </w:r>
            <w:r>
              <w:rPr>
                <w:rFonts w:hint="eastAsia" w:ascii="宋体" w:hAnsi="宋体" w:cs="宋体"/>
                <w:color w:val="auto"/>
                <w:sz w:val="18"/>
                <w:szCs w:val="18"/>
                <w:lang w:val="en-US" w:eastAsia="zh-CN"/>
              </w:rPr>
              <w:t>7</w:t>
            </w:r>
          </w:p>
        </w:tc>
        <w:tc>
          <w:tcPr>
            <w:tcW w:w="690" w:type="dxa"/>
            <w:vAlign w:val="center"/>
          </w:tcPr>
          <w:p w14:paraId="1503D954">
            <w:pPr>
              <w:jc w:val="center"/>
              <w:rPr>
                <w:rFonts w:hint="eastAsia" w:ascii="宋体" w:hAnsi="宋体" w:eastAsia="宋体" w:cs="宋体"/>
                <w:color w:val="FF0000"/>
              </w:rPr>
            </w:pPr>
            <w:r>
              <w:rPr>
                <w:rFonts w:hint="eastAsia" w:ascii="宋体" w:hAnsi="宋体" w:eastAsia="宋体" w:cs="宋体"/>
                <w:sz w:val="18"/>
                <w:szCs w:val="18"/>
              </w:rPr>
              <w:t>1</w:t>
            </w:r>
          </w:p>
        </w:tc>
        <w:tc>
          <w:tcPr>
            <w:tcW w:w="702" w:type="dxa"/>
            <w:vAlign w:val="center"/>
          </w:tcPr>
          <w:p w14:paraId="1FE16DEA">
            <w:pPr>
              <w:jc w:val="center"/>
              <w:rPr>
                <w:rFonts w:hint="eastAsia" w:ascii="宋体" w:hAnsi="宋体" w:eastAsia="宋体" w:cs="宋体"/>
                <w:color w:val="FF0000"/>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3C8DF1F9">
            <w:pPr>
              <w:jc w:val="center"/>
              <w:rPr>
                <w:rFonts w:hint="eastAsia" w:ascii="宋体" w:hAnsi="宋体" w:eastAsia="宋体" w:cs="宋体"/>
                <w:i/>
                <w:color w:val="FF0000"/>
                <w:sz w:val="18"/>
                <w:szCs w:val="18"/>
              </w:rPr>
            </w:pPr>
            <w:r>
              <w:rPr>
                <w:rFonts w:hint="eastAsia" w:ascii="宋体" w:hAnsi="宋体" w:eastAsia="宋体" w:cs="宋体"/>
                <w:color w:val="000000" w:themeColor="text1"/>
                <w:sz w:val="18"/>
                <w:szCs w:val="18"/>
                <w14:textFill>
                  <w14:solidFill>
                    <w14:schemeClr w14:val="tx1"/>
                  </w14:solidFill>
                </w14:textFill>
              </w:rPr>
              <w:t>考查</w:t>
            </w:r>
          </w:p>
        </w:tc>
      </w:tr>
      <w:tr w14:paraId="697571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A6A9B37">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01A8A4D1">
            <w:pPr>
              <w:jc w:val="center"/>
              <w:rPr>
                <w:rFonts w:hint="eastAsia" w:ascii="宋体" w:hAnsi="宋体" w:eastAsia="宋体" w:cs="宋体"/>
                <w:b/>
                <w:color w:val="000000" w:themeColor="text1"/>
                <w:sz w:val="18"/>
                <w:szCs w:val="18"/>
                <w14:textFill>
                  <w14:solidFill>
                    <w14:schemeClr w14:val="tx1"/>
                  </w14:solidFill>
                </w14:textFill>
              </w:rPr>
            </w:pPr>
          </w:p>
        </w:tc>
        <w:tc>
          <w:tcPr>
            <w:tcW w:w="2937" w:type="dxa"/>
            <w:vAlign w:val="center"/>
          </w:tcPr>
          <w:p w14:paraId="39CE97C6">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哲学经典研读</w:t>
            </w:r>
          </w:p>
        </w:tc>
        <w:tc>
          <w:tcPr>
            <w:tcW w:w="1320" w:type="dxa"/>
            <w:vAlign w:val="center"/>
          </w:tcPr>
          <w:p w14:paraId="38926A4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XB</w:t>
            </w:r>
            <w:r>
              <w:rPr>
                <w:rFonts w:hint="eastAsia" w:ascii="宋体" w:hAnsi="宋体" w:cs="宋体"/>
                <w:color w:val="auto"/>
                <w:sz w:val="18"/>
                <w:szCs w:val="18"/>
                <w:lang w:val="en-US" w:eastAsia="zh-CN"/>
              </w:rPr>
              <w:t>310</w:t>
            </w:r>
            <w:r>
              <w:rPr>
                <w:rFonts w:hint="eastAsia" w:ascii="宋体" w:hAnsi="宋体" w:eastAsia="宋体" w:cs="宋体"/>
                <w:color w:val="auto"/>
                <w:sz w:val="18"/>
                <w:szCs w:val="18"/>
              </w:rPr>
              <w:t>1</w:t>
            </w:r>
            <w:r>
              <w:rPr>
                <w:rFonts w:hint="eastAsia" w:ascii="宋体" w:hAnsi="宋体" w:cs="宋体"/>
                <w:color w:val="auto"/>
                <w:sz w:val="18"/>
                <w:szCs w:val="18"/>
                <w:lang w:val="en-US" w:eastAsia="zh-CN"/>
              </w:rPr>
              <w:t>0</w:t>
            </w:r>
            <w:r>
              <w:rPr>
                <w:rFonts w:hint="eastAsia" w:ascii="宋体" w:hAnsi="宋体" w:eastAsia="宋体" w:cs="宋体"/>
                <w:color w:val="auto"/>
                <w:sz w:val="18"/>
                <w:szCs w:val="18"/>
              </w:rPr>
              <w:t>02</w:t>
            </w:r>
          </w:p>
        </w:tc>
        <w:tc>
          <w:tcPr>
            <w:tcW w:w="690" w:type="dxa"/>
            <w:vAlign w:val="center"/>
          </w:tcPr>
          <w:p w14:paraId="7BAC637F">
            <w:pPr>
              <w:jc w:val="center"/>
              <w:rPr>
                <w:rFonts w:hint="eastAsia" w:ascii="宋体" w:hAnsi="宋体" w:eastAsia="宋体" w:cs="宋体"/>
                <w:color w:val="FF0000"/>
              </w:rPr>
            </w:pPr>
            <w:r>
              <w:rPr>
                <w:rFonts w:hint="eastAsia" w:ascii="宋体" w:hAnsi="宋体" w:eastAsia="宋体" w:cs="宋体"/>
                <w:sz w:val="18"/>
                <w:szCs w:val="18"/>
              </w:rPr>
              <w:t>2</w:t>
            </w:r>
          </w:p>
        </w:tc>
        <w:tc>
          <w:tcPr>
            <w:tcW w:w="702" w:type="dxa"/>
            <w:vAlign w:val="center"/>
          </w:tcPr>
          <w:p w14:paraId="2FBBFF67">
            <w:pPr>
              <w:jc w:val="center"/>
              <w:rPr>
                <w:rFonts w:hint="eastAsia" w:ascii="宋体" w:hAnsi="宋体" w:eastAsia="宋体" w:cs="宋体"/>
                <w:color w:val="FF0000"/>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3097D324">
            <w:pPr>
              <w:jc w:val="center"/>
              <w:rPr>
                <w:rFonts w:hint="eastAsia" w:ascii="宋体" w:hAnsi="宋体" w:eastAsia="宋体" w:cs="宋体"/>
                <w:color w:val="FF0000"/>
                <w:sz w:val="18"/>
                <w:szCs w:val="18"/>
              </w:rPr>
            </w:pPr>
            <w:r>
              <w:rPr>
                <w:rFonts w:hint="eastAsia" w:ascii="宋体" w:hAnsi="宋体" w:eastAsia="宋体" w:cs="宋体"/>
                <w:color w:val="000000" w:themeColor="text1"/>
                <w:sz w:val="18"/>
                <w:szCs w:val="18"/>
                <w14:textFill>
                  <w14:solidFill>
                    <w14:schemeClr w14:val="tx1"/>
                  </w14:solidFill>
                </w14:textFill>
              </w:rPr>
              <w:t>考试</w:t>
            </w:r>
          </w:p>
        </w:tc>
      </w:tr>
      <w:tr w14:paraId="17EB2C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9844753">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19819DBF">
            <w:pPr>
              <w:jc w:val="center"/>
              <w:rPr>
                <w:rFonts w:hint="eastAsia" w:ascii="宋体" w:hAnsi="宋体" w:eastAsia="宋体" w:cs="宋体"/>
                <w:b/>
                <w:color w:val="000000" w:themeColor="text1"/>
                <w:sz w:val="18"/>
                <w:szCs w:val="18"/>
                <w14:textFill>
                  <w14:solidFill>
                    <w14:schemeClr w14:val="tx1"/>
                  </w14:solidFill>
                </w14:textFill>
              </w:rPr>
            </w:pPr>
          </w:p>
        </w:tc>
        <w:tc>
          <w:tcPr>
            <w:tcW w:w="2937" w:type="dxa"/>
            <w:vAlign w:val="center"/>
          </w:tcPr>
          <w:p w14:paraId="07F6CE9C">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哲学基本问题与方法</w:t>
            </w:r>
          </w:p>
        </w:tc>
        <w:tc>
          <w:tcPr>
            <w:tcW w:w="1320" w:type="dxa"/>
            <w:vAlign w:val="center"/>
          </w:tcPr>
          <w:p w14:paraId="7C77FBE2">
            <w:pPr>
              <w:jc w:val="center"/>
              <w:rPr>
                <w:rFonts w:hint="eastAsia" w:ascii="宋体" w:hAnsi="宋体" w:eastAsia="宋体" w:cs="宋体"/>
                <w:i/>
                <w:color w:val="auto"/>
                <w:sz w:val="18"/>
                <w:szCs w:val="18"/>
              </w:rPr>
            </w:pPr>
            <w:r>
              <w:rPr>
                <w:rFonts w:hint="eastAsia" w:ascii="宋体" w:hAnsi="宋体" w:eastAsia="宋体" w:cs="宋体"/>
                <w:color w:val="auto"/>
                <w:sz w:val="18"/>
                <w:szCs w:val="18"/>
              </w:rPr>
              <w:t>XB</w:t>
            </w:r>
            <w:r>
              <w:rPr>
                <w:rFonts w:hint="eastAsia" w:ascii="宋体" w:hAnsi="宋体" w:cs="宋体"/>
                <w:color w:val="auto"/>
                <w:sz w:val="18"/>
                <w:szCs w:val="18"/>
                <w:lang w:val="en-US" w:eastAsia="zh-CN"/>
              </w:rPr>
              <w:t>310</w:t>
            </w:r>
            <w:r>
              <w:rPr>
                <w:rFonts w:hint="eastAsia" w:ascii="宋体" w:hAnsi="宋体" w:eastAsia="宋体" w:cs="宋体"/>
                <w:color w:val="auto"/>
                <w:sz w:val="18"/>
                <w:szCs w:val="18"/>
              </w:rPr>
              <w:t>1</w:t>
            </w:r>
            <w:r>
              <w:rPr>
                <w:rFonts w:hint="eastAsia" w:ascii="宋体" w:hAnsi="宋体" w:cs="宋体"/>
                <w:color w:val="auto"/>
                <w:sz w:val="18"/>
                <w:szCs w:val="18"/>
                <w:lang w:val="en-US" w:eastAsia="zh-CN"/>
              </w:rPr>
              <w:t>0</w:t>
            </w:r>
            <w:r>
              <w:rPr>
                <w:rFonts w:hint="eastAsia" w:ascii="宋体" w:hAnsi="宋体" w:eastAsia="宋体" w:cs="宋体"/>
                <w:color w:val="auto"/>
                <w:sz w:val="18"/>
                <w:szCs w:val="18"/>
              </w:rPr>
              <w:t>03</w:t>
            </w:r>
          </w:p>
        </w:tc>
        <w:tc>
          <w:tcPr>
            <w:tcW w:w="690" w:type="dxa"/>
            <w:vAlign w:val="center"/>
          </w:tcPr>
          <w:p w14:paraId="6E9760BA">
            <w:pPr>
              <w:jc w:val="center"/>
              <w:rPr>
                <w:rFonts w:hint="eastAsia" w:ascii="宋体" w:hAnsi="宋体" w:eastAsia="宋体" w:cs="宋体"/>
                <w:i/>
                <w:color w:val="FF0000"/>
                <w:sz w:val="18"/>
                <w:szCs w:val="18"/>
              </w:rPr>
            </w:pPr>
            <w:r>
              <w:rPr>
                <w:rFonts w:hint="eastAsia" w:ascii="宋体" w:hAnsi="宋体" w:eastAsia="宋体" w:cs="宋体"/>
                <w:sz w:val="18"/>
                <w:szCs w:val="18"/>
              </w:rPr>
              <w:t>2</w:t>
            </w:r>
          </w:p>
        </w:tc>
        <w:tc>
          <w:tcPr>
            <w:tcW w:w="702" w:type="dxa"/>
            <w:vAlign w:val="center"/>
          </w:tcPr>
          <w:p w14:paraId="57CB728C">
            <w:pPr>
              <w:jc w:val="center"/>
              <w:rPr>
                <w:rFonts w:hint="eastAsia" w:ascii="宋体" w:hAnsi="宋体" w:eastAsia="宋体" w:cs="宋体"/>
                <w:i/>
                <w:color w:val="FF0000"/>
                <w:sz w:val="18"/>
                <w:szCs w:val="18"/>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3729B286">
            <w:pPr>
              <w:jc w:val="center"/>
              <w:rPr>
                <w:rFonts w:hint="eastAsia" w:ascii="宋体" w:hAnsi="宋体" w:eastAsia="宋体" w:cs="宋体"/>
                <w:i/>
                <w:color w:val="FF0000"/>
                <w:sz w:val="18"/>
                <w:szCs w:val="18"/>
                <w:lang w:eastAsia="zh-CN"/>
              </w:rPr>
            </w:pPr>
            <w:r>
              <w:rPr>
                <w:rFonts w:hint="eastAsia" w:ascii="宋体" w:hAnsi="宋体" w:eastAsia="宋体" w:cs="宋体"/>
                <w:color w:val="000000" w:themeColor="text1"/>
                <w:sz w:val="18"/>
                <w:szCs w:val="18"/>
                <w14:textFill>
                  <w14:solidFill>
                    <w14:schemeClr w14:val="tx1"/>
                  </w14:solidFill>
                </w14:textFill>
              </w:rPr>
              <w:t>考试</w:t>
            </w:r>
            <w:r>
              <w:rPr>
                <w:rFonts w:hint="eastAsia" w:ascii="宋体" w:hAnsi="宋体" w:eastAsia="宋体" w:cs="宋体"/>
                <w:color w:val="000000" w:themeColor="text1"/>
                <w:sz w:val="18"/>
                <w:szCs w:val="18"/>
                <w:lang w:eastAsia="zh-CN"/>
                <w14:textFill>
                  <w14:solidFill>
                    <w14:schemeClr w14:val="tx1"/>
                  </w14:solidFill>
                </w14:textFill>
              </w:rPr>
              <w:t>（</w:t>
            </w:r>
            <w:r>
              <w:rPr>
                <w:rFonts w:hint="eastAsia" w:ascii="宋体" w:hAnsi="宋体" w:eastAsia="宋体" w:cs="宋体"/>
                <w:color w:val="000000" w:themeColor="text1"/>
                <w:sz w:val="18"/>
                <w:szCs w:val="18"/>
                <w:lang w:val="en-US" w:eastAsia="zh-CN"/>
                <w14:textFill>
                  <w14:solidFill>
                    <w14:schemeClr w14:val="tx1"/>
                  </w14:solidFill>
                </w14:textFill>
              </w:rPr>
              <w:t>闭卷</w:t>
            </w:r>
            <w:r>
              <w:rPr>
                <w:rFonts w:hint="eastAsia" w:ascii="宋体" w:hAnsi="宋体" w:eastAsia="宋体" w:cs="宋体"/>
                <w:color w:val="000000" w:themeColor="text1"/>
                <w:sz w:val="18"/>
                <w:szCs w:val="18"/>
                <w:lang w:eastAsia="zh-CN"/>
                <w14:textFill>
                  <w14:solidFill>
                    <w14:schemeClr w14:val="tx1"/>
                  </w14:solidFill>
                </w14:textFill>
              </w:rPr>
              <w:t>）</w:t>
            </w:r>
          </w:p>
        </w:tc>
      </w:tr>
      <w:tr w14:paraId="16945BB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F87293B">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7DD85426">
            <w:pPr>
              <w:jc w:val="center"/>
              <w:rPr>
                <w:rFonts w:hint="eastAsia" w:ascii="宋体" w:hAnsi="宋体" w:eastAsia="宋体" w:cs="宋体"/>
                <w:b/>
                <w:color w:val="000000" w:themeColor="text1"/>
                <w:sz w:val="18"/>
                <w:szCs w:val="18"/>
                <w14:textFill>
                  <w14:solidFill>
                    <w14:schemeClr w14:val="tx1"/>
                  </w14:solidFill>
                </w14:textFill>
              </w:rPr>
            </w:pPr>
          </w:p>
        </w:tc>
        <w:tc>
          <w:tcPr>
            <w:tcW w:w="2937" w:type="dxa"/>
          </w:tcPr>
          <w:p w14:paraId="0D4A0AE5">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哲学学科前沿问题</w:t>
            </w:r>
          </w:p>
        </w:tc>
        <w:tc>
          <w:tcPr>
            <w:tcW w:w="1320" w:type="dxa"/>
            <w:vAlign w:val="center"/>
          </w:tcPr>
          <w:p w14:paraId="3A6B452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XB</w:t>
            </w:r>
            <w:r>
              <w:rPr>
                <w:rFonts w:hint="eastAsia" w:ascii="宋体" w:hAnsi="宋体" w:cs="宋体"/>
                <w:color w:val="auto"/>
                <w:sz w:val="18"/>
                <w:szCs w:val="18"/>
                <w:lang w:val="en-US" w:eastAsia="zh-CN"/>
              </w:rPr>
              <w:t>310</w:t>
            </w:r>
            <w:r>
              <w:rPr>
                <w:rFonts w:hint="eastAsia" w:ascii="宋体" w:hAnsi="宋体" w:eastAsia="宋体" w:cs="宋体"/>
                <w:color w:val="auto"/>
                <w:sz w:val="18"/>
                <w:szCs w:val="18"/>
              </w:rPr>
              <w:t>1</w:t>
            </w:r>
            <w:r>
              <w:rPr>
                <w:rFonts w:hint="eastAsia" w:ascii="宋体" w:hAnsi="宋体" w:cs="宋体"/>
                <w:color w:val="auto"/>
                <w:sz w:val="18"/>
                <w:szCs w:val="18"/>
                <w:lang w:val="en-US" w:eastAsia="zh-CN"/>
              </w:rPr>
              <w:t>0</w:t>
            </w:r>
            <w:r>
              <w:rPr>
                <w:rFonts w:hint="eastAsia" w:ascii="宋体" w:hAnsi="宋体" w:eastAsia="宋体" w:cs="宋体"/>
                <w:color w:val="auto"/>
                <w:sz w:val="18"/>
                <w:szCs w:val="18"/>
              </w:rPr>
              <w:t>04</w:t>
            </w:r>
          </w:p>
        </w:tc>
        <w:tc>
          <w:tcPr>
            <w:tcW w:w="690" w:type="dxa"/>
            <w:vAlign w:val="center"/>
          </w:tcPr>
          <w:p w14:paraId="57876A72">
            <w:pPr>
              <w:jc w:val="center"/>
              <w:rPr>
                <w:rFonts w:hint="eastAsia" w:ascii="宋体" w:hAnsi="宋体" w:eastAsia="宋体" w:cs="宋体"/>
                <w:color w:val="FF0000"/>
              </w:rPr>
            </w:pPr>
            <w:r>
              <w:rPr>
                <w:rFonts w:hint="eastAsia" w:ascii="宋体" w:hAnsi="宋体" w:eastAsia="宋体" w:cs="宋体"/>
                <w:sz w:val="18"/>
                <w:szCs w:val="18"/>
              </w:rPr>
              <w:t>3</w:t>
            </w:r>
          </w:p>
        </w:tc>
        <w:tc>
          <w:tcPr>
            <w:tcW w:w="702" w:type="dxa"/>
            <w:vAlign w:val="center"/>
          </w:tcPr>
          <w:p w14:paraId="1FBA1421">
            <w:pPr>
              <w:jc w:val="center"/>
              <w:rPr>
                <w:rFonts w:hint="eastAsia" w:ascii="宋体" w:hAnsi="宋体" w:eastAsia="宋体" w:cs="宋体"/>
                <w:color w:val="FF0000"/>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794FA6EA">
            <w:pPr>
              <w:jc w:val="center"/>
              <w:rPr>
                <w:rFonts w:hint="eastAsia" w:ascii="宋体" w:hAnsi="宋体" w:eastAsia="宋体" w:cs="宋体"/>
                <w:color w:val="FF0000"/>
                <w:sz w:val="18"/>
                <w:szCs w:val="18"/>
              </w:rPr>
            </w:pPr>
            <w:r>
              <w:rPr>
                <w:rFonts w:hint="eastAsia" w:ascii="宋体" w:hAnsi="宋体" w:eastAsia="宋体" w:cs="宋体"/>
                <w:color w:val="000000" w:themeColor="text1"/>
                <w:sz w:val="18"/>
                <w:szCs w:val="18"/>
                <w14:textFill>
                  <w14:solidFill>
                    <w14:schemeClr w14:val="tx1"/>
                  </w14:solidFill>
                </w14:textFill>
              </w:rPr>
              <w:t>考试</w:t>
            </w:r>
          </w:p>
        </w:tc>
      </w:tr>
      <w:tr w14:paraId="5F37DA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58013B7">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restart"/>
            <w:vAlign w:val="center"/>
          </w:tcPr>
          <w:p w14:paraId="3AAA64DE">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专业必修课</w:t>
            </w:r>
          </w:p>
          <w:p w14:paraId="32160749">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w:t>
            </w:r>
            <w:r>
              <w:rPr>
                <w:rFonts w:hint="eastAsia" w:ascii="宋体" w:hAnsi="宋体" w:eastAsia="宋体" w:cs="宋体"/>
                <w:b/>
                <w:color w:val="000000" w:themeColor="text1"/>
                <w:sz w:val="18"/>
                <w:szCs w:val="18"/>
                <w:lang w:val="en-US" w:eastAsia="zh-CN"/>
                <w14:textFill>
                  <w14:solidFill>
                    <w14:schemeClr w14:val="tx1"/>
                  </w14:solidFill>
                </w14:textFill>
              </w:rPr>
              <w:t>4</w:t>
            </w:r>
            <w:r>
              <w:rPr>
                <w:rFonts w:hint="eastAsia" w:ascii="宋体" w:hAnsi="宋体" w:eastAsia="宋体" w:cs="宋体"/>
                <w:b/>
                <w:color w:val="000000" w:themeColor="text1"/>
                <w:sz w:val="18"/>
                <w:szCs w:val="18"/>
                <w14:textFill>
                  <w14:solidFill>
                    <w14:schemeClr w14:val="tx1"/>
                  </w14:solidFill>
                </w14:textFill>
              </w:rPr>
              <w:t>学分）</w:t>
            </w:r>
          </w:p>
        </w:tc>
        <w:tc>
          <w:tcPr>
            <w:tcW w:w="2937" w:type="dxa"/>
          </w:tcPr>
          <w:p w14:paraId="44D7EB88">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马克思主义发展史</w:t>
            </w:r>
          </w:p>
        </w:tc>
        <w:tc>
          <w:tcPr>
            <w:tcW w:w="1320" w:type="dxa"/>
            <w:vAlign w:val="center"/>
          </w:tcPr>
          <w:p w14:paraId="7FAAD224">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XB</w:t>
            </w:r>
            <w:r>
              <w:rPr>
                <w:rFonts w:hint="eastAsia" w:ascii="宋体" w:hAnsi="宋体" w:cs="宋体"/>
                <w:color w:val="auto"/>
                <w:sz w:val="18"/>
                <w:szCs w:val="18"/>
                <w:lang w:val="en-US" w:eastAsia="zh-CN"/>
              </w:rPr>
              <w:t>310</w:t>
            </w:r>
            <w:r>
              <w:rPr>
                <w:rFonts w:hint="eastAsia" w:ascii="宋体" w:hAnsi="宋体" w:eastAsia="宋体" w:cs="宋体"/>
                <w:color w:val="auto"/>
                <w:sz w:val="18"/>
                <w:szCs w:val="18"/>
              </w:rPr>
              <w:t>1</w:t>
            </w:r>
            <w:r>
              <w:rPr>
                <w:rFonts w:hint="eastAsia" w:ascii="宋体" w:hAnsi="宋体" w:cs="宋体"/>
                <w:color w:val="auto"/>
                <w:sz w:val="18"/>
                <w:szCs w:val="18"/>
                <w:lang w:val="en-US" w:eastAsia="zh-CN"/>
              </w:rPr>
              <w:t>0</w:t>
            </w:r>
            <w:r>
              <w:rPr>
                <w:rFonts w:hint="eastAsia" w:ascii="宋体" w:hAnsi="宋体" w:eastAsia="宋体" w:cs="宋体"/>
                <w:color w:val="auto"/>
                <w:sz w:val="18"/>
                <w:szCs w:val="18"/>
              </w:rPr>
              <w:t>0</w:t>
            </w:r>
            <w:r>
              <w:rPr>
                <w:rFonts w:hint="eastAsia" w:ascii="宋体" w:hAnsi="宋体" w:cs="宋体"/>
                <w:color w:val="auto"/>
                <w:sz w:val="18"/>
                <w:szCs w:val="18"/>
                <w:lang w:val="en-US" w:eastAsia="zh-CN"/>
              </w:rPr>
              <w:t>8</w:t>
            </w:r>
          </w:p>
        </w:tc>
        <w:tc>
          <w:tcPr>
            <w:tcW w:w="690" w:type="dxa"/>
            <w:vAlign w:val="center"/>
          </w:tcPr>
          <w:p w14:paraId="7609E47B">
            <w:pPr>
              <w:jc w:val="center"/>
              <w:rPr>
                <w:rFonts w:hint="eastAsia" w:ascii="宋体" w:hAnsi="宋体" w:eastAsia="宋体" w:cs="宋体"/>
                <w:color w:val="FF0000"/>
              </w:rPr>
            </w:pPr>
            <w:r>
              <w:rPr>
                <w:rFonts w:hint="eastAsia" w:ascii="宋体" w:hAnsi="宋体" w:eastAsia="宋体" w:cs="宋体"/>
                <w:sz w:val="18"/>
                <w:szCs w:val="18"/>
              </w:rPr>
              <w:t>2</w:t>
            </w:r>
          </w:p>
        </w:tc>
        <w:tc>
          <w:tcPr>
            <w:tcW w:w="702" w:type="dxa"/>
            <w:vAlign w:val="center"/>
          </w:tcPr>
          <w:p w14:paraId="318F85B1">
            <w:pPr>
              <w:jc w:val="center"/>
              <w:rPr>
                <w:rFonts w:hint="eastAsia" w:ascii="宋体" w:hAnsi="宋体" w:eastAsia="宋体" w:cs="宋体"/>
                <w:color w:val="FF0000"/>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6FE769A8">
            <w:pPr>
              <w:jc w:val="center"/>
              <w:rPr>
                <w:rFonts w:hint="eastAsia" w:ascii="宋体" w:hAnsi="宋体" w:eastAsia="宋体" w:cs="宋体"/>
                <w:color w:val="FF0000"/>
                <w:sz w:val="18"/>
                <w:szCs w:val="18"/>
                <w:lang w:eastAsia="zh-CN"/>
              </w:rPr>
            </w:pPr>
            <w:r>
              <w:rPr>
                <w:rFonts w:hint="eastAsia" w:ascii="宋体" w:hAnsi="宋体" w:eastAsia="宋体" w:cs="宋体"/>
                <w:color w:val="000000" w:themeColor="text1"/>
                <w:sz w:val="18"/>
                <w:szCs w:val="18"/>
                <w14:textFill>
                  <w14:solidFill>
                    <w14:schemeClr w14:val="tx1"/>
                  </w14:solidFill>
                </w14:textFill>
              </w:rPr>
              <w:t>考试</w:t>
            </w:r>
            <w:r>
              <w:rPr>
                <w:rFonts w:hint="eastAsia" w:ascii="宋体" w:hAnsi="宋体" w:eastAsia="宋体" w:cs="宋体"/>
                <w:color w:val="000000" w:themeColor="text1"/>
                <w:sz w:val="18"/>
                <w:szCs w:val="18"/>
                <w:lang w:eastAsia="zh-CN"/>
                <w14:textFill>
                  <w14:solidFill>
                    <w14:schemeClr w14:val="tx1"/>
                  </w14:solidFill>
                </w14:textFill>
              </w:rPr>
              <w:t>（</w:t>
            </w:r>
            <w:r>
              <w:rPr>
                <w:rFonts w:hint="eastAsia" w:ascii="宋体" w:hAnsi="宋体" w:eastAsia="宋体" w:cs="宋体"/>
                <w:color w:val="000000" w:themeColor="text1"/>
                <w:sz w:val="18"/>
                <w:szCs w:val="18"/>
                <w:lang w:val="en-US" w:eastAsia="zh-CN"/>
                <w14:textFill>
                  <w14:solidFill>
                    <w14:schemeClr w14:val="tx1"/>
                  </w14:solidFill>
                </w14:textFill>
              </w:rPr>
              <w:t>闭卷</w:t>
            </w:r>
            <w:r>
              <w:rPr>
                <w:rFonts w:hint="eastAsia" w:ascii="宋体" w:hAnsi="宋体" w:eastAsia="宋体" w:cs="宋体"/>
                <w:color w:val="000000" w:themeColor="text1"/>
                <w:sz w:val="18"/>
                <w:szCs w:val="18"/>
                <w:lang w:eastAsia="zh-CN"/>
                <w14:textFill>
                  <w14:solidFill>
                    <w14:schemeClr w14:val="tx1"/>
                  </w14:solidFill>
                </w14:textFill>
              </w:rPr>
              <w:t>）</w:t>
            </w:r>
          </w:p>
        </w:tc>
      </w:tr>
      <w:tr w14:paraId="1C7A14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A977C55">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18FA66A6">
            <w:pPr>
              <w:jc w:val="center"/>
              <w:rPr>
                <w:rFonts w:hint="eastAsia" w:ascii="宋体" w:hAnsi="宋体" w:eastAsia="宋体" w:cs="宋体"/>
                <w:b/>
                <w:color w:val="000000" w:themeColor="text1"/>
                <w:sz w:val="18"/>
                <w:szCs w:val="18"/>
                <w14:textFill>
                  <w14:solidFill>
                    <w14:schemeClr w14:val="tx1"/>
                  </w14:solidFill>
                </w14:textFill>
              </w:rPr>
            </w:pPr>
          </w:p>
        </w:tc>
        <w:tc>
          <w:tcPr>
            <w:tcW w:w="2937" w:type="dxa"/>
          </w:tcPr>
          <w:p w14:paraId="1A7D5275">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马克思主义哲学史</w:t>
            </w:r>
          </w:p>
        </w:tc>
        <w:tc>
          <w:tcPr>
            <w:tcW w:w="1320" w:type="dxa"/>
            <w:vAlign w:val="center"/>
          </w:tcPr>
          <w:p w14:paraId="725DC85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XB</w:t>
            </w:r>
            <w:r>
              <w:rPr>
                <w:rFonts w:hint="eastAsia" w:ascii="宋体" w:hAnsi="宋体" w:cs="宋体"/>
                <w:color w:val="auto"/>
                <w:sz w:val="18"/>
                <w:szCs w:val="18"/>
                <w:lang w:val="en-US" w:eastAsia="zh-CN"/>
              </w:rPr>
              <w:t>310</w:t>
            </w:r>
            <w:r>
              <w:rPr>
                <w:rFonts w:hint="eastAsia" w:ascii="宋体" w:hAnsi="宋体" w:eastAsia="宋体" w:cs="宋体"/>
                <w:color w:val="auto"/>
                <w:sz w:val="18"/>
                <w:szCs w:val="18"/>
              </w:rPr>
              <w:t>1</w:t>
            </w:r>
            <w:r>
              <w:rPr>
                <w:rFonts w:hint="eastAsia" w:ascii="宋体" w:hAnsi="宋体" w:cs="宋体"/>
                <w:color w:val="auto"/>
                <w:sz w:val="18"/>
                <w:szCs w:val="18"/>
                <w:lang w:val="en-US" w:eastAsia="zh-CN"/>
              </w:rPr>
              <w:t>0</w:t>
            </w:r>
            <w:r>
              <w:rPr>
                <w:rFonts w:hint="eastAsia" w:ascii="宋体" w:hAnsi="宋体" w:eastAsia="宋体" w:cs="宋体"/>
                <w:color w:val="auto"/>
                <w:sz w:val="18"/>
                <w:szCs w:val="18"/>
              </w:rPr>
              <w:t>0</w:t>
            </w:r>
            <w:r>
              <w:rPr>
                <w:rFonts w:hint="eastAsia" w:ascii="宋体" w:hAnsi="宋体" w:cs="宋体"/>
                <w:color w:val="auto"/>
                <w:sz w:val="18"/>
                <w:szCs w:val="18"/>
                <w:lang w:val="en-US" w:eastAsia="zh-CN"/>
              </w:rPr>
              <w:t>9</w:t>
            </w:r>
          </w:p>
        </w:tc>
        <w:tc>
          <w:tcPr>
            <w:tcW w:w="690" w:type="dxa"/>
            <w:vAlign w:val="center"/>
          </w:tcPr>
          <w:p w14:paraId="6E948483">
            <w:pPr>
              <w:jc w:val="center"/>
              <w:rPr>
                <w:rFonts w:hint="eastAsia" w:ascii="宋体" w:hAnsi="宋体" w:eastAsia="宋体" w:cs="宋体"/>
                <w:color w:val="FF0000"/>
              </w:rPr>
            </w:pPr>
            <w:r>
              <w:rPr>
                <w:rFonts w:hint="eastAsia" w:ascii="宋体" w:hAnsi="宋体" w:eastAsia="宋体" w:cs="宋体"/>
                <w:sz w:val="18"/>
                <w:szCs w:val="18"/>
              </w:rPr>
              <w:t>2</w:t>
            </w:r>
          </w:p>
        </w:tc>
        <w:tc>
          <w:tcPr>
            <w:tcW w:w="702" w:type="dxa"/>
            <w:vAlign w:val="center"/>
          </w:tcPr>
          <w:p w14:paraId="1FFFF20E">
            <w:pPr>
              <w:jc w:val="center"/>
              <w:rPr>
                <w:rFonts w:hint="eastAsia" w:ascii="宋体" w:hAnsi="宋体" w:eastAsia="宋体" w:cs="宋体"/>
                <w:color w:val="FF0000"/>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47E0CD0E">
            <w:pPr>
              <w:jc w:val="center"/>
              <w:rPr>
                <w:rFonts w:hint="eastAsia" w:ascii="宋体" w:hAnsi="宋体" w:eastAsia="宋体" w:cs="宋体"/>
                <w:color w:val="FF0000"/>
                <w:sz w:val="18"/>
                <w:szCs w:val="18"/>
              </w:rPr>
            </w:pPr>
            <w:r>
              <w:rPr>
                <w:rFonts w:hint="eastAsia" w:ascii="宋体" w:hAnsi="宋体" w:eastAsia="宋体" w:cs="宋体"/>
                <w:color w:val="000000" w:themeColor="text1"/>
                <w:sz w:val="18"/>
                <w:szCs w:val="18"/>
                <w14:textFill>
                  <w14:solidFill>
                    <w14:schemeClr w14:val="tx1"/>
                  </w14:solidFill>
                </w14:textFill>
              </w:rPr>
              <w:t>考试</w:t>
            </w:r>
          </w:p>
        </w:tc>
      </w:tr>
      <w:tr w14:paraId="357956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9" w:hRule="atLeast"/>
          <w:jc w:val="center"/>
        </w:trPr>
        <w:tc>
          <w:tcPr>
            <w:tcW w:w="571" w:type="dxa"/>
            <w:vMerge w:val="restart"/>
            <w:vAlign w:val="center"/>
          </w:tcPr>
          <w:p w14:paraId="0C586240">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非学位课</w:t>
            </w:r>
          </w:p>
        </w:tc>
        <w:tc>
          <w:tcPr>
            <w:tcW w:w="1226" w:type="dxa"/>
            <w:vMerge w:val="restart"/>
            <w:vAlign w:val="center"/>
          </w:tcPr>
          <w:p w14:paraId="34351BB1">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公共通识课</w:t>
            </w:r>
          </w:p>
          <w:p w14:paraId="74AE57D5">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（2学分）</w:t>
            </w:r>
          </w:p>
        </w:tc>
        <w:tc>
          <w:tcPr>
            <w:tcW w:w="2937" w:type="dxa"/>
            <w:vAlign w:val="center"/>
          </w:tcPr>
          <w:p w14:paraId="4DE2F616">
            <w:pPr>
              <w:jc w:val="left"/>
              <w:rPr>
                <w:rFonts w:hint="eastAsia" w:ascii="宋体" w:hAnsi="宋体" w:eastAsia="宋体" w:cs="宋体"/>
                <w:color w:val="auto"/>
                <w:sz w:val="18"/>
                <w:szCs w:val="18"/>
              </w:rPr>
            </w:pPr>
            <w:r>
              <w:rPr>
                <w:rFonts w:hint="eastAsia" w:ascii="宋体" w:hAnsi="宋体" w:eastAsia="宋体" w:cs="宋体"/>
                <w:color w:val="auto"/>
                <w:sz w:val="18"/>
                <w:szCs w:val="18"/>
              </w:rPr>
              <w:t>《习近平谈治国理政》研读</w:t>
            </w:r>
          </w:p>
        </w:tc>
        <w:tc>
          <w:tcPr>
            <w:tcW w:w="1320" w:type="dxa"/>
            <w:vAlign w:val="center"/>
          </w:tcPr>
          <w:p w14:paraId="4D29190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TT</w:t>
            </w:r>
            <w:r>
              <w:rPr>
                <w:rFonts w:hint="eastAsia" w:ascii="宋体" w:hAnsi="宋体" w:cs="宋体"/>
                <w:color w:val="auto"/>
                <w:sz w:val="18"/>
                <w:szCs w:val="18"/>
                <w:lang w:val="en-US" w:eastAsia="zh-CN"/>
              </w:rPr>
              <w:t>0000101</w:t>
            </w:r>
          </w:p>
        </w:tc>
        <w:tc>
          <w:tcPr>
            <w:tcW w:w="690" w:type="dxa"/>
            <w:vAlign w:val="center"/>
          </w:tcPr>
          <w:p w14:paraId="0C038611">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702" w:type="dxa"/>
            <w:vAlign w:val="center"/>
          </w:tcPr>
          <w:p w14:paraId="0AF51AE9">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197F7064">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r>
      <w:tr w14:paraId="059C3C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4" w:hRule="atLeast"/>
          <w:jc w:val="center"/>
        </w:trPr>
        <w:tc>
          <w:tcPr>
            <w:tcW w:w="571" w:type="dxa"/>
            <w:vMerge w:val="continue"/>
            <w:vAlign w:val="center"/>
          </w:tcPr>
          <w:p w14:paraId="4CB62D54">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43A8320D">
            <w:pPr>
              <w:jc w:val="center"/>
              <w:rPr>
                <w:rFonts w:hint="eastAsia" w:ascii="宋体" w:hAnsi="宋体" w:eastAsia="宋体" w:cs="宋体"/>
                <w:b/>
                <w:color w:val="000000" w:themeColor="text1"/>
                <w:sz w:val="18"/>
                <w:szCs w:val="18"/>
                <w14:textFill>
                  <w14:solidFill>
                    <w14:schemeClr w14:val="tx1"/>
                  </w14:solidFill>
                </w14:textFill>
              </w:rPr>
            </w:pPr>
          </w:p>
        </w:tc>
        <w:tc>
          <w:tcPr>
            <w:tcW w:w="2937" w:type="dxa"/>
            <w:vAlign w:val="center"/>
          </w:tcPr>
          <w:p w14:paraId="1DB8F4CF">
            <w:pPr>
              <w:jc w:val="left"/>
              <w:rPr>
                <w:rFonts w:hint="eastAsia" w:ascii="宋体" w:hAnsi="宋体" w:eastAsia="宋体" w:cs="宋体"/>
                <w:color w:val="auto"/>
                <w:sz w:val="18"/>
                <w:szCs w:val="18"/>
              </w:rPr>
            </w:pPr>
            <w:r>
              <w:rPr>
                <w:rFonts w:hint="eastAsia" w:ascii="宋体" w:hAnsi="宋体" w:eastAsia="宋体" w:cs="宋体"/>
                <w:color w:val="auto"/>
                <w:sz w:val="18"/>
                <w:szCs w:val="18"/>
              </w:rPr>
              <w:t>马克思恩格斯列宁经典著作选读</w:t>
            </w:r>
          </w:p>
        </w:tc>
        <w:tc>
          <w:tcPr>
            <w:tcW w:w="1320" w:type="dxa"/>
            <w:vAlign w:val="center"/>
          </w:tcPr>
          <w:p w14:paraId="2B8299A5">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TB</w:t>
            </w:r>
            <w:r>
              <w:rPr>
                <w:rFonts w:hint="eastAsia" w:ascii="宋体" w:hAnsi="宋体" w:cs="宋体"/>
                <w:color w:val="auto"/>
                <w:sz w:val="18"/>
                <w:szCs w:val="18"/>
                <w:lang w:val="en-US" w:eastAsia="zh-CN"/>
              </w:rPr>
              <w:t>0</w:t>
            </w:r>
            <w:r>
              <w:rPr>
                <w:rFonts w:hint="eastAsia" w:ascii="宋体" w:hAnsi="宋体" w:eastAsia="宋体" w:cs="宋体"/>
                <w:color w:val="auto"/>
                <w:sz w:val="18"/>
                <w:szCs w:val="18"/>
              </w:rPr>
              <w:t>00</w:t>
            </w:r>
            <w:r>
              <w:rPr>
                <w:rFonts w:hint="eastAsia" w:ascii="宋体" w:hAnsi="宋体" w:cs="宋体"/>
                <w:color w:val="auto"/>
                <w:sz w:val="18"/>
                <w:szCs w:val="18"/>
                <w:lang w:val="en-US" w:eastAsia="zh-CN"/>
              </w:rPr>
              <w:t>0103</w:t>
            </w:r>
          </w:p>
        </w:tc>
        <w:tc>
          <w:tcPr>
            <w:tcW w:w="690" w:type="dxa"/>
            <w:vAlign w:val="center"/>
          </w:tcPr>
          <w:p w14:paraId="13D57CBF">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702" w:type="dxa"/>
            <w:vAlign w:val="center"/>
          </w:tcPr>
          <w:p w14:paraId="15B071B7">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1411" w:type="dxa"/>
            <w:vAlign w:val="center"/>
          </w:tcPr>
          <w:p w14:paraId="1A70FFCD">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r>
      <w:tr w14:paraId="6D3657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E4039B">
            <w:pPr>
              <w:rPr>
                <w:rFonts w:hint="eastAsia" w:ascii="宋体" w:hAnsi="宋体" w:eastAsia="宋体" w:cs="宋体"/>
                <w:b/>
                <w:color w:val="000000" w:themeColor="text1"/>
                <w:sz w:val="18"/>
                <w:szCs w:val="18"/>
                <w14:textFill>
                  <w14:solidFill>
                    <w14:schemeClr w14:val="tx1"/>
                  </w14:solidFill>
                </w14:textFill>
              </w:rPr>
            </w:pPr>
          </w:p>
        </w:tc>
        <w:tc>
          <w:tcPr>
            <w:tcW w:w="1226" w:type="dxa"/>
            <w:vMerge w:val="restart"/>
            <w:vAlign w:val="center"/>
          </w:tcPr>
          <w:p w14:paraId="4EF7ECA1">
            <w:pPr>
              <w:adjustRightInd w:val="0"/>
              <w:snapToGrid w:val="0"/>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选修课</w:t>
            </w:r>
          </w:p>
        </w:tc>
        <w:tc>
          <w:tcPr>
            <w:tcW w:w="2937" w:type="dxa"/>
            <w:vAlign w:val="center"/>
          </w:tcPr>
          <w:p w14:paraId="56F73E6A">
            <w:pPr>
              <w:jc w:val="lef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马克思主义哲学基本原理专题</w:t>
            </w:r>
          </w:p>
        </w:tc>
        <w:tc>
          <w:tcPr>
            <w:tcW w:w="1320" w:type="dxa"/>
            <w:vAlign w:val="center"/>
          </w:tcPr>
          <w:p w14:paraId="1A621E44">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XB</w:t>
            </w:r>
            <w:r>
              <w:rPr>
                <w:rFonts w:hint="eastAsia" w:ascii="宋体" w:hAnsi="宋体" w:cs="宋体"/>
                <w:color w:val="auto"/>
                <w:sz w:val="18"/>
                <w:szCs w:val="18"/>
                <w:lang w:val="en-US" w:eastAsia="zh-CN"/>
              </w:rPr>
              <w:t>3101104</w:t>
            </w:r>
          </w:p>
        </w:tc>
        <w:tc>
          <w:tcPr>
            <w:tcW w:w="690" w:type="dxa"/>
            <w:vAlign w:val="center"/>
          </w:tcPr>
          <w:p w14:paraId="1EC730AA">
            <w:pPr>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2</w:t>
            </w:r>
          </w:p>
        </w:tc>
        <w:tc>
          <w:tcPr>
            <w:tcW w:w="702" w:type="dxa"/>
            <w:vAlign w:val="center"/>
          </w:tcPr>
          <w:p w14:paraId="793C647B">
            <w:pPr>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1</w:t>
            </w:r>
          </w:p>
        </w:tc>
        <w:tc>
          <w:tcPr>
            <w:tcW w:w="1411" w:type="dxa"/>
            <w:vMerge w:val="restart"/>
            <w:vAlign w:val="center"/>
          </w:tcPr>
          <w:p w14:paraId="10D6857B">
            <w:pPr>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本方向至少选修</w:t>
            </w:r>
            <w:r>
              <w:rPr>
                <w:rFonts w:hint="eastAsia" w:ascii="宋体" w:hAnsi="宋体" w:eastAsia="宋体" w:cs="宋体"/>
                <w:color w:val="000000" w:themeColor="text1"/>
                <w:sz w:val="18"/>
                <w:szCs w:val="18"/>
                <w:lang w:val="en-US" w:eastAsia="zh-CN"/>
                <w14:textFill>
                  <w14:solidFill>
                    <w14:schemeClr w14:val="tx1"/>
                  </w14:solidFill>
                </w14:textFill>
              </w:rPr>
              <w:t>2</w:t>
            </w:r>
            <w:r>
              <w:rPr>
                <w:rFonts w:hint="eastAsia" w:ascii="宋体" w:hAnsi="宋体" w:eastAsia="宋体" w:cs="宋体"/>
                <w:color w:val="000000" w:themeColor="text1"/>
                <w:sz w:val="18"/>
                <w:szCs w:val="18"/>
                <w14:textFill>
                  <w14:solidFill>
                    <w14:schemeClr w14:val="tx1"/>
                  </w14:solidFill>
                </w14:textFill>
              </w:rPr>
              <w:t>学分</w:t>
            </w:r>
          </w:p>
        </w:tc>
      </w:tr>
      <w:tr w14:paraId="362F6B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5B6A2B8">
            <w:pP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7703D2A3">
            <w:pPr>
              <w:adjustRightInd w:val="0"/>
              <w:snapToGrid w:val="0"/>
              <w:jc w:val="center"/>
              <w:rPr>
                <w:rFonts w:hint="eastAsia" w:ascii="宋体" w:hAnsi="宋体" w:eastAsia="宋体" w:cs="宋体"/>
                <w:b/>
                <w:color w:val="FF0000"/>
                <w:sz w:val="18"/>
                <w:szCs w:val="18"/>
              </w:rPr>
            </w:pPr>
          </w:p>
        </w:tc>
        <w:tc>
          <w:tcPr>
            <w:tcW w:w="2937" w:type="dxa"/>
            <w:vAlign w:val="center"/>
          </w:tcPr>
          <w:p w14:paraId="24F73DEA">
            <w:pPr>
              <w:jc w:val="lef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当代马克思主义哲学研究专题</w:t>
            </w:r>
          </w:p>
        </w:tc>
        <w:tc>
          <w:tcPr>
            <w:tcW w:w="1320" w:type="dxa"/>
            <w:shd w:val="clear" w:color="auto" w:fill="auto"/>
            <w:vAlign w:val="center"/>
          </w:tcPr>
          <w:p w14:paraId="2EE93A5A">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XB</w:t>
            </w:r>
            <w:r>
              <w:rPr>
                <w:rFonts w:hint="eastAsia" w:ascii="宋体" w:hAnsi="宋体" w:cs="宋体"/>
                <w:color w:val="auto"/>
                <w:sz w:val="18"/>
                <w:szCs w:val="18"/>
                <w:lang w:val="en-US" w:eastAsia="zh-CN"/>
              </w:rPr>
              <w:t>3101105</w:t>
            </w:r>
          </w:p>
        </w:tc>
        <w:tc>
          <w:tcPr>
            <w:tcW w:w="690" w:type="dxa"/>
            <w:shd w:val="clear" w:color="auto" w:fill="auto"/>
            <w:vAlign w:val="center"/>
          </w:tcPr>
          <w:p w14:paraId="7801854B">
            <w:pPr>
              <w:jc w:val="center"/>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2</w:t>
            </w:r>
          </w:p>
        </w:tc>
        <w:tc>
          <w:tcPr>
            <w:tcW w:w="702" w:type="dxa"/>
            <w:shd w:val="clear" w:color="auto" w:fill="auto"/>
            <w:vAlign w:val="center"/>
          </w:tcPr>
          <w:p w14:paraId="2DDC3957">
            <w:pPr>
              <w:jc w:val="center"/>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1</w:t>
            </w:r>
          </w:p>
        </w:tc>
        <w:tc>
          <w:tcPr>
            <w:tcW w:w="1411" w:type="dxa"/>
            <w:vMerge w:val="continue"/>
            <w:vAlign w:val="center"/>
          </w:tcPr>
          <w:p w14:paraId="5D890E5C">
            <w:pPr>
              <w:adjustRightInd w:val="0"/>
              <w:snapToGrid w:val="0"/>
              <w:jc w:val="center"/>
              <w:rPr>
                <w:rFonts w:hint="eastAsia" w:ascii="宋体" w:hAnsi="宋体" w:eastAsia="宋体" w:cs="宋体"/>
                <w:color w:val="000000" w:themeColor="text1"/>
                <w:sz w:val="18"/>
                <w:szCs w:val="18"/>
                <w14:textFill>
                  <w14:solidFill>
                    <w14:schemeClr w14:val="tx1"/>
                  </w14:solidFill>
                </w14:textFill>
              </w:rPr>
            </w:pPr>
          </w:p>
        </w:tc>
      </w:tr>
      <w:tr w14:paraId="065E59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1" w:hRule="atLeast"/>
          <w:jc w:val="center"/>
        </w:trPr>
        <w:tc>
          <w:tcPr>
            <w:tcW w:w="571" w:type="dxa"/>
            <w:vMerge w:val="restart"/>
            <w:vAlign w:val="center"/>
          </w:tcPr>
          <w:p w14:paraId="16EDA4FC">
            <w:pPr>
              <w:jc w:val="center"/>
              <w:rPr>
                <w:rFonts w:hint="eastAsia" w:ascii="宋体" w:hAnsi="宋体" w:eastAsia="宋体" w:cs="宋体"/>
                <w:b/>
                <w:color w:val="000000" w:themeColor="text1"/>
                <w:sz w:val="18"/>
                <w:szCs w:val="18"/>
                <w14:textFill>
                  <w14:solidFill>
                    <w14:schemeClr w14:val="tx1"/>
                  </w14:solidFill>
                </w14:textFill>
              </w:rPr>
            </w:pPr>
            <w:bookmarkStart w:id="0" w:name="_GoBack" w:colFirst="6" w:colLast="6"/>
            <w:r>
              <w:rPr>
                <w:rFonts w:hint="eastAsia" w:ascii="宋体" w:hAnsi="宋体" w:eastAsia="宋体" w:cs="宋体"/>
                <w:b/>
                <w:color w:val="000000" w:themeColor="text1"/>
                <w:sz w:val="18"/>
                <w:szCs w:val="18"/>
                <w14:textFill>
                  <w14:solidFill>
                    <w14:schemeClr w14:val="tx1"/>
                  </w14:solidFill>
                </w14:textFill>
              </w:rPr>
              <w:t>必修环节</w:t>
            </w:r>
          </w:p>
          <w:p w14:paraId="11955860">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restart"/>
            <w:vAlign w:val="center"/>
          </w:tcPr>
          <w:p w14:paraId="19254C1A">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素质拓展</w:t>
            </w:r>
          </w:p>
        </w:tc>
        <w:tc>
          <w:tcPr>
            <w:tcW w:w="2937" w:type="dxa"/>
            <w:vAlign w:val="center"/>
          </w:tcPr>
          <w:p w14:paraId="6DD8EF86">
            <w:pP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入学教育</w:t>
            </w:r>
          </w:p>
        </w:tc>
        <w:tc>
          <w:tcPr>
            <w:tcW w:w="1320" w:type="dxa"/>
            <w:vAlign w:val="center"/>
          </w:tcPr>
          <w:p w14:paraId="271CC462">
            <w:pPr>
              <w:jc w:val="center"/>
              <w:rPr>
                <w:rFonts w:hint="eastAsia" w:ascii="宋体" w:hAnsi="宋体" w:eastAsia="宋体" w:cs="宋体"/>
                <w:color w:val="000000" w:themeColor="text1"/>
                <w:sz w:val="18"/>
                <w:szCs w:val="18"/>
                <w14:textFill>
                  <w14:solidFill>
                    <w14:schemeClr w14:val="tx1"/>
                  </w14:solidFill>
                </w14:textFill>
              </w:rPr>
            </w:pPr>
          </w:p>
        </w:tc>
        <w:tc>
          <w:tcPr>
            <w:tcW w:w="690" w:type="dxa"/>
            <w:vAlign w:val="center"/>
          </w:tcPr>
          <w:p w14:paraId="37960D31">
            <w:pPr>
              <w:jc w:val="center"/>
              <w:rPr>
                <w:rFonts w:hint="eastAsia" w:ascii="宋体" w:hAnsi="宋体" w:eastAsia="宋体" w:cs="宋体"/>
                <w:color w:val="000000" w:themeColor="text1"/>
                <w:sz w:val="18"/>
                <w:szCs w:val="18"/>
                <w:lang w:val="en-US" w:eastAsia="zh-CN"/>
                <w14:textFill>
                  <w14:solidFill>
                    <w14:schemeClr w14:val="tx1"/>
                  </w14:solidFill>
                </w14:textFill>
              </w:rPr>
            </w:pPr>
          </w:p>
        </w:tc>
        <w:tc>
          <w:tcPr>
            <w:tcW w:w="702" w:type="dxa"/>
            <w:vAlign w:val="center"/>
          </w:tcPr>
          <w:p w14:paraId="04980A47">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1411" w:type="dxa"/>
            <w:vMerge w:val="restart"/>
            <w:vAlign w:val="center"/>
          </w:tcPr>
          <w:p w14:paraId="5B5F5C43">
            <w:pPr>
              <w:jc w:val="center"/>
              <w:rPr>
                <w:rFonts w:hint="eastAsia" w:ascii="宋体" w:hAnsi="宋体" w:eastAsia="宋体" w:cs="宋体"/>
                <w:i/>
                <w:color w:val="FF0000"/>
                <w:sz w:val="18"/>
                <w:szCs w:val="18"/>
              </w:rPr>
            </w:pPr>
          </w:p>
        </w:tc>
      </w:tr>
      <w:bookmarkEnd w:id="0"/>
      <w:tr w14:paraId="5BCBB8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5" w:hRule="atLeast"/>
          <w:jc w:val="center"/>
        </w:trPr>
        <w:tc>
          <w:tcPr>
            <w:tcW w:w="571" w:type="dxa"/>
            <w:vMerge w:val="continue"/>
            <w:vAlign w:val="center"/>
          </w:tcPr>
          <w:p w14:paraId="67BB2C07">
            <w:pPr>
              <w:jc w:val="center"/>
              <w:rPr>
                <w:rFonts w:hint="eastAsia" w:ascii="宋体" w:hAnsi="宋体" w:eastAsia="宋体" w:cs="宋体"/>
                <w:b/>
                <w:color w:val="000000" w:themeColor="text1"/>
                <w:sz w:val="18"/>
                <w:szCs w:val="18"/>
                <w14:textFill>
                  <w14:solidFill>
                    <w14:schemeClr w14:val="tx1"/>
                  </w14:solidFill>
                </w14:textFill>
              </w:rPr>
            </w:pPr>
          </w:p>
        </w:tc>
        <w:tc>
          <w:tcPr>
            <w:tcW w:w="1226" w:type="dxa"/>
            <w:vMerge w:val="continue"/>
            <w:vAlign w:val="center"/>
          </w:tcPr>
          <w:p w14:paraId="7FCE08E8">
            <w:pPr>
              <w:jc w:val="center"/>
              <w:rPr>
                <w:rFonts w:hint="eastAsia" w:ascii="宋体" w:hAnsi="宋体" w:eastAsia="宋体" w:cs="宋体"/>
                <w:b/>
                <w:color w:val="000000" w:themeColor="text1"/>
                <w:sz w:val="18"/>
                <w:szCs w:val="18"/>
                <w14:textFill>
                  <w14:solidFill>
                    <w14:schemeClr w14:val="tx1"/>
                  </w14:solidFill>
                </w14:textFill>
              </w:rPr>
            </w:pPr>
          </w:p>
        </w:tc>
        <w:tc>
          <w:tcPr>
            <w:tcW w:w="2937" w:type="dxa"/>
            <w:vAlign w:val="center"/>
          </w:tcPr>
          <w:p w14:paraId="51395A3E">
            <w:pP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学术活动</w:t>
            </w:r>
          </w:p>
        </w:tc>
        <w:tc>
          <w:tcPr>
            <w:tcW w:w="1320" w:type="dxa"/>
            <w:vAlign w:val="center"/>
          </w:tcPr>
          <w:p w14:paraId="0209D955">
            <w:pPr>
              <w:jc w:val="center"/>
              <w:rPr>
                <w:rFonts w:hint="eastAsia" w:ascii="宋体" w:hAnsi="宋体" w:eastAsia="宋体" w:cs="宋体"/>
                <w:color w:val="000000" w:themeColor="text1"/>
                <w:sz w:val="18"/>
                <w:szCs w:val="18"/>
                <w14:textFill>
                  <w14:solidFill>
                    <w14:schemeClr w14:val="tx1"/>
                  </w14:solidFill>
                </w14:textFill>
              </w:rPr>
            </w:pPr>
          </w:p>
        </w:tc>
        <w:tc>
          <w:tcPr>
            <w:tcW w:w="690" w:type="dxa"/>
            <w:vAlign w:val="center"/>
          </w:tcPr>
          <w:p w14:paraId="2500F1D2">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702" w:type="dxa"/>
            <w:vAlign w:val="center"/>
          </w:tcPr>
          <w:p w14:paraId="5216B385">
            <w:pPr>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1-6</w:t>
            </w:r>
          </w:p>
        </w:tc>
        <w:tc>
          <w:tcPr>
            <w:tcW w:w="1411" w:type="dxa"/>
            <w:vMerge w:val="continue"/>
            <w:vAlign w:val="center"/>
          </w:tcPr>
          <w:p w14:paraId="398FEA4D">
            <w:pPr>
              <w:jc w:val="center"/>
              <w:rPr>
                <w:rFonts w:hint="eastAsia" w:ascii="宋体" w:hAnsi="宋体" w:eastAsia="宋体" w:cs="宋体"/>
                <w:color w:val="000000" w:themeColor="text1"/>
                <w:sz w:val="18"/>
                <w:szCs w:val="18"/>
                <w14:textFill>
                  <w14:solidFill>
                    <w14:schemeClr w14:val="tx1"/>
                  </w14:solidFill>
                </w14:textFill>
              </w:rPr>
            </w:pPr>
          </w:p>
        </w:tc>
      </w:tr>
      <w:tr w14:paraId="7C7B26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E8F217A">
            <w:pPr>
              <w:rPr>
                <w:rFonts w:hint="eastAsia" w:ascii="宋体" w:hAnsi="宋体" w:eastAsia="宋体" w:cs="宋体"/>
                <w:b/>
                <w:color w:val="000000" w:themeColor="text1"/>
                <w:sz w:val="18"/>
                <w:szCs w:val="18"/>
                <w14:textFill>
                  <w14:solidFill>
                    <w14:schemeClr w14:val="tx1"/>
                  </w14:solidFill>
                </w14:textFill>
              </w:rPr>
            </w:pPr>
          </w:p>
        </w:tc>
        <w:tc>
          <w:tcPr>
            <w:tcW w:w="1226" w:type="dxa"/>
            <w:vMerge w:val="restart"/>
            <w:vAlign w:val="center"/>
          </w:tcPr>
          <w:p w14:paraId="5E61E681">
            <w:pPr>
              <w:jc w:val="center"/>
              <w:rPr>
                <w:rFonts w:hint="eastAsia" w:ascii="宋体" w:hAnsi="宋体" w:eastAsia="宋体" w:cs="宋体"/>
                <w:b/>
                <w:color w:val="000000" w:themeColor="text1"/>
                <w:sz w:val="18"/>
                <w:szCs w:val="18"/>
                <w14:textFill>
                  <w14:solidFill>
                    <w14:schemeClr w14:val="tx1"/>
                  </w14:solidFill>
                </w14:textFill>
              </w:rPr>
            </w:pPr>
            <w:r>
              <w:rPr>
                <w:rFonts w:hint="eastAsia" w:ascii="宋体" w:hAnsi="宋体" w:eastAsia="宋体" w:cs="宋体"/>
                <w:b/>
                <w:color w:val="000000" w:themeColor="text1"/>
                <w:sz w:val="18"/>
                <w:szCs w:val="18"/>
                <w14:textFill>
                  <w14:solidFill>
                    <w14:schemeClr w14:val="tx1"/>
                  </w14:solidFill>
                </w14:textFill>
              </w:rPr>
              <w:t>学术训练</w:t>
            </w:r>
          </w:p>
        </w:tc>
        <w:tc>
          <w:tcPr>
            <w:tcW w:w="2937" w:type="dxa"/>
            <w:vAlign w:val="center"/>
          </w:tcPr>
          <w:p w14:paraId="3B44A12E">
            <w:pP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中期筛选</w:t>
            </w:r>
          </w:p>
        </w:tc>
        <w:tc>
          <w:tcPr>
            <w:tcW w:w="1320" w:type="dxa"/>
            <w:vAlign w:val="center"/>
          </w:tcPr>
          <w:p w14:paraId="22940BD1">
            <w:pPr>
              <w:jc w:val="center"/>
              <w:rPr>
                <w:rFonts w:hint="eastAsia" w:ascii="宋体" w:hAnsi="宋体" w:eastAsia="宋体" w:cs="宋体"/>
                <w:color w:val="000000" w:themeColor="text1"/>
                <w:sz w:val="18"/>
                <w:szCs w:val="18"/>
                <w14:textFill>
                  <w14:solidFill>
                    <w14:schemeClr w14:val="tx1"/>
                  </w14:solidFill>
                </w14:textFill>
              </w:rPr>
            </w:pPr>
          </w:p>
        </w:tc>
        <w:tc>
          <w:tcPr>
            <w:tcW w:w="690" w:type="dxa"/>
            <w:vAlign w:val="center"/>
          </w:tcPr>
          <w:p w14:paraId="246491F3">
            <w:pPr>
              <w:jc w:val="center"/>
              <w:rPr>
                <w:rFonts w:hint="eastAsia" w:ascii="宋体" w:hAnsi="宋体" w:eastAsia="宋体" w:cs="宋体"/>
                <w:color w:val="000000" w:themeColor="text1"/>
                <w:sz w:val="18"/>
                <w:szCs w:val="18"/>
                <w14:textFill>
                  <w14:solidFill>
                    <w14:schemeClr w14:val="tx1"/>
                  </w14:solidFill>
                </w14:textFill>
              </w:rPr>
            </w:pPr>
          </w:p>
        </w:tc>
        <w:tc>
          <w:tcPr>
            <w:tcW w:w="702" w:type="dxa"/>
            <w:vAlign w:val="center"/>
          </w:tcPr>
          <w:p w14:paraId="79FB9776">
            <w:pPr>
              <w:jc w:val="center"/>
              <w:rPr>
                <w:rFonts w:hint="eastAsia" w:ascii="宋体" w:hAnsi="宋体" w:eastAsia="宋体" w:cs="宋体"/>
                <w:i w:val="0"/>
                <w:iCs/>
                <w:color w:val="auto"/>
                <w:sz w:val="18"/>
                <w:szCs w:val="18"/>
                <w:lang w:eastAsia="zh-CN"/>
              </w:rPr>
            </w:pPr>
            <w:r>
              <w:rPr>
                <w:rFonts w:hint="eastAsia" w:ascii="宋体" w:hAnsi="宋体" w:eastAsia="宋体" w:cs="宋体"/>
                <w:i w:val="0"/>
                <w:iCs/>
                <w:color w:val="auto"/>
                <w:sz w:val="18"/>
                <w:szCs w:val="18"/>
                <w:lang w:val="en-US" w:eastAsia="zh-CN"/>
              </w:rPr>
              <w:t>3</w:t>
            </w:r>
          </w:p>
        </w:tc>
        <w:tc>
          <w:tcPr>
            <w:tcW w:w="1411" w:type="dxa"/>
            <w:vMerge w:val="restart"/>
            <w:vAlign w:val="center"/>
          </w:tcPr>
          <w:p w14:paraId="3B5BDD91">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过程管理</w:t>
            </w:r>
          </w:p>
          <w:p w14:paraId="6ECE45A1">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无学分</w:t>
            </w:r>
          </w:p>
        </w:tc>
      </w:tr>
      <w:tr w14:paraId="719877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98F11E">
            <w:pPr>
              <w:rPr>
                <w:b/>
                <w:color w:val="000000" w:themeColor="text1"/>
                <w:sz w:val="18"/>
                <w:szCs w:val="18"/>
                <w14:textFill>
                  <w14:solidFill>
                    <w14:schemeClr w14:val="tx1"/>
                  </w14:solidFill>
                </w14:textFill>
              </w:rPr>
            </w:pPr>
          </w:p>
        </w:tc>
        <w:tc>
          <w:tcPr>
            <w:tcW w:w="1226" w:type="dxa"/>
            <w:vMerge w:val="continue"/>
            <w:vAlign w:val="center"/>
          </w:tcPr>
          <w:p w14:paraId="4857B8EA">
            <w:pPr>
              <w:jc w:val="center"/>
              <w:rPr>
                <w:b/>
                <w:color w:val="000000" w:themeColor="text1"/>
                <w:sz w:val="18"/>
                <w:szCs w:val="18"/>
                <w14:textFill>
                  <w14:solidFill>
                    <w14:schemeClr w14:val="tx1"/>
                  </w14:solidFill>
                </w14:textFill>
              </w:rPr>
            </w:pPr>
          </w:p>
        </w:tc>
        <w:tc>
          <w:tcPr>
            <w:tcW w:w="2937" w:type="dxa"/>
            <w:vAlign w:val="center"/>
          </w:tcPr>
          <w:p w14:paraId="6D07903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320" w:type="dxa"/>
            <w:vAlign w:val="center"/>
          </w:tcPr>
          <w:p w14:paraId="2ABC82FA">
            <w:pPr>
              <w:jc w:val="center"/>
              <w:rPr>
                <w:color w:val="000000" w:themeColor="text1"/>
                <w:sz w:val="18"/>
                <w:szCs w:val="18"/>
                <w14:textFill>
                  <w14:solidFill>
                    <w14:schemeClr w14:val="tx1"/>
                  </w14:solidFill>
                </w14:textFill>
              </w:rPr>
            </w:pPr>
          </w:p>
        </w:tc>
        <w:tc>
          <w:tcPr>
            <w:tcW w:w="690" w:type="dxa"/>
            <w:vAlign w:val="center"/>
          </w:tcPr>
          <w:p w14:paraId="2784E61F">
            <w:pPr>
              <w:jc w:val="center"/>
              <w:rPr>
                <w:color w:val="000000" w:themeColor="text1"/>
                <w:sz w:val="18"/>
                <w:szCs w:val="18"/>
                <w14:textFill>
                  <w14:solidFill>
                    <w14:schemeClr w14:val="tx1"/>
                  </w14:solidFill>
                </w14:textFill>
              </w:rPr>
            </w:pPr>
          </w:p>
        </w:tc>
        <w:tc>
          <w:tcPr>
            <w:tcW w:w="702" w:type="dxa"/>
            <w:vAlign w:val="center"/>
          </w:tcPr>
          <w:p w14:paraId="1A0490D5">
            <w:pPr>
              <w:jc w:val="center"/>
              <w:rPr>
                <w:rFonts w:hint="default" w:eastAsia="宋体"/>
                <w:i w:val="0"/>
                <w:iCs/>
                <w:color w:val="auto"/>
                <w:sz w:val="18"/>
                <w:szCs w:val="18"/>
                <w:lang w:val="en-US" w:eastAsia="zh-CN"/>
              </w:rPr>
            </w:pPr>
            <w:r>
              <w:rPr>
                <w:rFonts w:hint="eastAsia"/>
                <w:i w:val="0"/>
                <w:iCs/>
                <w:color w:val="auto"/>
                <w:sz w:val="18"/>
                <w:szCs w:val="18"/>
                <w:lang w:val="en-US" w:eastAsia="zh-CN"/>
              </w:rPr>
              <w:t>3-4</w:t>
            </w:r>
          </w:p>
        </w:tc>
        <w:tc>
          <w:tcPr>
            <w:tcW w:w="1411" w:type="dxa"/>
            <w:vMerge w:val="continue"/>
            <w:vAlign w:val="center"/>
          </w:tcPr>
          <w:p w14:paraId="0F8B11EE">
            <w:pPr>
              <w:jc w:val="center"/>
              <w:rPr>
                <w:color w:val="000000" w:themeColor="text1"/>
                <w:sz w:val="18"/>
                <w:szCs w:val="18"/>
                <w14:textFill>
                  <w14:solidFill>
                    <w14:schemeClr w14:val="tx1"/>
                  </w14:solidFill>
                </w14:textFill>
              </w:rPr>
            </w:pPr>
          </w:p>
        </w:tc>
      </w:tr>
      <w:tr w14:paraId="3DE6F2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B04754">
            <w:pPr>
              <w:rPr>
                <w:b/>
                <w:color w:val="000000" w:themeColor="text1"/>
                <w:sz w:val="18"/>
                <w:szCs w:val="18"/>
                <w14:textFill>
                  <w14:solidFill>
                    <w14:schemeClr w14:val="tx1"/>
                  </w14:solidFill>
                </w14:textFill>
              </w:rPr>
            </w:pPr>
          </w:p>
        </w:tc>
        <w:tc>
          <w:tcPr>
            <w:tcW w:w="1226" w:type="dxa"/>
            <w:vMerge w:val="continue"/>
            <w:vAlign w:val="center"/>
          </w:tcPr>
          <w:p w14:paraId="46331FC5">
            <w:pPr>
              <w:jc w:val="center"/>
              <w:rPr>
                <w:b/>
                <w:color w:val="000000" w:themeColor="text1"/>
                <w:sz w:val="18"/>
                <w:szCs w:val="18"/>
                <w14:textFill>
                  <w14:solidFill>
                    <w14:schemeClr w14:val="tx1"/>
                  </w14:solidFill>
                </w14:textFill>
              </w:rPr>
            </w:pPr>
          </w:p>
        </w:tc>
        <w:tc>
          <w:tcPr>
            <w:tcW w:w="2937" w:type="dxa"/>
            <w:vAlign w:val="center"/>
          </w:tcPr>
          <w:p w14:paraId="003C4A0B">
            <w:pPr>
              <w:rPr>
                <w:sz w:val="18"/>
                <w:szCs w:val="18"/>
              </w:rPr>
            </w:pPr>
            <w:r>
              <w:rPr>
                <w:sz w:val="18"/>
                <w:szCs w:val="18"/>
              </w:rPr>
              <w:t>论文中期进展报告</w:t>
            </w:r>
          </w:p>
        </w:tc>
        <w:tc>
          <w:tcPr>
            <w:tcW w:w="1320" w:type="dxa"/>
            <w:vAlign w:val="center"/>
          </w:tcPr>
          <w:p w14:paraId="7A6BB25C">
            <w:pPr>
              <w:jc w:val="center"/>
              <w:rPr>
                <w:color w:val="000000" w:themeColor="text1"/>
                <w:sz w:val="18"/>
                <w:szCs w:val="18"/>
                <w14:textFill>
                  <w14:solidFill>
                    <w14:schemeClr w14:val="tx1"/>
                  </w14:solidFill>
                </w14:textFill>
              </w:rPr>
            </w:pPr>
          </w:p>
        </w:tc>
        <w:tc>
          <w:tcPr>
            <w:tcW w:w="690" w:type="dxa"/>
            <w:vAlign w:val="center"/>
          </w:tcPr>
          <w:p w14:paraId="7DD8199B">
            <w:pPr>
              <w:jc w:val="center"/>
              <w:rPr>
                <w:color w:val="000000" w:themeColor="text1"/>
                <w:sz w:val="18"/>
                <w:szCs w:val="18"/>
                <w14:textFill>
                  <w14:solidFill>
                    <w14:schemeClr w14:val="tx1"/>
                  </w14:solidFill>
                </w14:textFill>
              </w:rPr>
            </w:pPr>
          </w:p>
        </w:tc>
        <w:tc>
          <w:tcPr>
            <w:tcW w:w="702" w:type="dxa"/>
            <w:vAlign w:val="center"/>
          </w:tcPr>
          <w:p w14:paraId="31DC0F79">
            <w:pPr>
              <w:jc w:val="center"/>
              <w:rPr>
                <w:rFonts w:hint="eastAsia" w:eastAsia="宋体"/>
                <w:i w:val="0"/>
                <w:iCs/>
                <w:color w:val="auto"/>
                <w:sz w:val="18"/>
                <w:szCs w:val="18"/>
                <w:lang w:eastAsia="zh-CN"/>
              </w:rPr>
            </w:pPr>
            <w:r>
              <w:rPr>
                <w:rFonts w:hint="eastAsia"/>
                <w:i w:val="0"/>
                <w:iCs/>
                <w:color w:val="auto"/>
                <w:sz w:val="18"/>
                <w:szCs w:val="18"/>
                <w:lang w:val="en-US" w:eastAsia="zh-CN"/>
              </w:rPr>
              <w:t>5</w:t>
            </w:r>
          </w:p>
        </w:tc>
        <w:tc>
          <w:tcPr>
            <w:tcW w:w="1411" w:type="dxa"/>
            <w:vMerge w:val="continue"/>
          </w:tcPr>
          <w:p w14:paraId="06187345">
            <w:pPr>
              <w:jc w:val="center"/>
              <w:rPr>
                <w:color w:val="000000" w:themeColor="text1"/>
                <w:sz w:val="18"/>
                <w:szCs w:val="18"/>
                <w14:textFill>
                  <w14:solidFill>
                    <w14:schemeClr w14:val="tx1"/>
                  </w14:solidFill>
                </w14:textFill>
              </w:rPr>
            </w:pPr>
          </w:p>
        </w:tc>
      </w:tr>
      <w:tr w14:paraId="622409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F882F2">
            <w:pPr>
              <w:rPr>
                <w:b/>
                <w:color w:val="000000" w:themeColor="text1"/>
                <w:sz w:val="18"/>
                <w:szCs w:val="18"/>
                <w14:textFill>
                  <w14:solidFill>
                    <w14:schemeClr w14:val="tx1"/>
                  </w14:solidFill>
                </w14:textFill>
              </w:rPr>
            </w:pPr>
          </w:p>
        </w:tc>
        <w:tc>
          <w:tcPr>
            <w:tcW w:w="1226" w:type="dxa"/>
            <w:vMerge w:val="continue"/>
            <w:vAlign w:val="center"/>
          </w:tcPr>
          <w:p w14:paraId="52384225">
            <w:pPr>
              <w:jc w:val="center"/>
              <w:rPr>
                <w:b/>
                <w:color w:val="000000" w:themeColor="text1"/>
                <w:sz w:val="18"/>
                <w:szCs w:val="18"/>
                <w14:textFill>
                  <w14:solidFill>
                    <w14:schemeClr w14:val="tx1"/>
                  </w14:solidFill>
                </w14:textFill>
              </w:rPr>
            </w:pPr>
          </w:p>
        </w:tc>
        <w:tc>
          <w:tcPr>
            <w:tcW w:w="2937" w:type="dxa"/>
            <w:vAlign w:val="center"/>
          </w:tcPr>
          <w:p w14:paraId="62FEF20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320" w:type="dxa"/>
            <w:vAlign w:val="center"/>
          </w:tcPr>
          <w:p w14:paraId="53D3B7E0">
            <w:pPr>
              <w:jc w:val="center"/>
              <w:rPr>
                <w:color w:val="000000" w:themeColor="text1"/>
                <w:sz w:val="18"/>
                <w:szCs w:val="18"/>
                <w14:textFill>
                  <w14:solidFill>
                    <w14:schemeClr w14:val="tx1"/>
                  </w14:solidFill>
                </w14:textFill>
              </w:rPr>
            </w:pPr>
          </w:p>
        </w:tc>
        <w:tc>
          <w:tcPr>
            <w:tcW w:w="690" w:type="dxa"/>
            <w:vAlign w:val="center"/>
          </w:tcPr>
          <w:p w14:paraId="595E7FA9">
            <w:pPr>
              <w:jc w:val="center"/>
              <w:rPr>
                <w:color w:val="000000" w:themeColor="text1"/>
                <w:sz w:val="18"/>
                <w:szCs w:val="18"/>
                <w14:textFill>
                  <w14:solidFill>
                    <w14:schemeClr w14:val="tx1"/>
                  </w14:solidFill>
                </w14:textFill>
              </w:rPr>
            </w:pPr>
          </w:p>
        </w:tc>
        <w:tc>
          <w:tcPr>
            <w:tcW w:w="702" w:type="dxa"/>
            <w:vAlign w:val="center"/>
          </w:tcPr>
          <w:p w14:paraId="52D1A1F1">
            <w:pPr>
              <w:jc w:val="center"/>
              <w:rPr>
                <w:rFonts w:hint="eastAsia" w:eastAsia="宋体"/>
                <w:i w:val="0"/>
                <w:iCs/>
                <w:color w:val="auto"/>
                <w:sz w:val="18"/>
                <w:szCs w:val="18"/>
                <w:lang w:eastAsia="zh-CN"/>
              </w:rPr>
            </w:pPr>
            <w:r>
              <w:rPr>
                <w:rFonts w:hint="eastAsia"/>
                <w:i w:val="0"/>
                <w:iCs/>
                <w:color w:val="auto"/>
                <w:sz w:val="18"/>
                <w:szCs w:val="18"/>
                <w:lang w:val="en-US" w:eastAsia="zh-CN"/>
              </w:rPr>
              <w:t>6</w:t>
            </w:r>
          </w:p>
        </w:tc>
        <w:tc>
          <w:tcPr>
            <w:tcW w:w="1411" w:type="dxa"/>
            <w:vMerge w:val="continue"/>
          </w:tcPr>
          <w:p w14:paraId="06072D25">
            <w:pPr>
              <w:jc w:val="center"/>
              <w:rPr>
                <w:color w:val="000000" w:themeColor="text1"/>
                <w:sz w:val="18"/>
                <w:szCs w:val="18"/>
                <w14:textFill>
                  <w14:solidFill>
                    <w14:schemeClr w14:val="tx1"/>
                  </w14:solidFill>
                </w14:textFill>
              </w:rPr>
            </w:pPr>
          </w:p>
        </w:tc>
      </w:tr>
      <w:tr w14:paraId="69C7FB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9B7A2B7">
            <w:pPr>
              <w:rPr>
                <w:color w:val="000000" w:themeColor="text1"/>
                <w:sz w:val="18"/>
                <w:szCs w:val="18"/>
                <w14:textFill>
                  <w14:solidFill>
                    <w14:schemeClr w14:val="tx1"/>
                  </w14:solidFill>
                </w14:textFill>
              </w:rPr>
            </w:pPr>
          </w:p>
        </w:tc>
        <w:tc>
          <w:tcPr>
            <w:tcW w:w="1226" w:type="dxa"/>
            <w:vMerge w:val="continue"/>
          </w:tcPr>
          <w:p w14:paraId="583AEFF4">
            <w:pPr>
              <w:jc w:val="center"/>
              <w:rPr>
                <w:color w:val="000000" w:themeColor="text1"/>
                <w:sz w:val="18"/>
                <w:szCs w:val="18"/>
                <w14:textFill>
                  <w14:solidFill>
                    <w14:schemeClr w14:val="tx1"/>
                  </w14:solidFill>
                </w14:textFill>
              </w:rPr>
            </w:pPr>
          </w:p>
        </w:tc>
        <w:tc>
          <w:tcPr>
            <w:tcW w:w="2937" w:type="dxa"/>
            <w:vAlign w:val="center"/>
          </w:tcPr>
          <w:p w14:paraId="17685AC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320" w:type="dxa"/>
            <w:vAlign w:val="center"/>
          </w:tcPr>
          <w:p w14:paraId="3956206F">
            <w:pPr>
              <w:jc w:val="center"/>
              <w:rPr>
                <w:color w:val="000000" w:themeColor="text1"/>
                <w:sz w:val="18"/>
                <w:szCs w:val="18"/>
                <w14:textFill>
                  <w14:solidFill>
                    <w14:schemeClr w14:val="tx1"/>
                  </w14:solidFill>
                </w14:textFill>
              </w:rPr>
            </w:pPr>
          </w:p>
        </w:tc>
        <w:tc>
          <w:tcPr>
            <w:tcW w:w="690" w:type="dxa"/>
            <w:vAlign w:val="center"/>
          </w:tcPr>
          <w:p w14:paraId="06255B17">
            <w:pPr>
              <w:jc w:val="center"/>
              <w:rPr>
                <w:color w:val="000000" w:themeColor="text1"/>
                <w:sz w:val="18"/>
                <w:szCs w:val="18"/>
                <w14:textFill>
                  <w14:solidFill>
                    <w14:schemeClr w14:val="tx1"/>
                  </w14:solidFill>
                </w14:textFill>
              </w:rPr>
            </w:pPr>
          </w:p>
        </w:tc>
        <w:tc>
          <w:tcPr>
            <w:tcW w:w="702" w:type="dxa"/>
            <w:vAlign w:val="center"/>
          </w:tcPr>
          <w:p w14:paraId="1288DFA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411" w:type="dxa"/>
            <w:vMerge w:val="continue"/>
          </w:tcPr>
          <w:p w14:paraId="078E5971">
            <w:pPr>
              <w:jc w:val="center"/>
              <w:rPr>
                <w:color w:val="000000" w:themeColor="text1"/>
                <w:sz w:val="18"/>
                <w:szCs w:val="18"/>
                <w14:textFill>
                  <w14:solidFill>
                    <w14:schemeClr w14:val="tx1"/>
                  </w14:solidFill>
                </w14:textFill>
              </w:rPr>
            </w:pPr>
          </w:p>
        </w:tc>
      </w:tr>
      <w:tr w14:paraId="56797D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E7F253D">
            <w:pPr>
              <w:rPr>
                <w:color w:val="000000" w:themeColor="text1"/>
                <w:sz w:val="18"/>
                <w:szCs w:val="18"/>
                <w14:textFill>
                  <w14:solidFill>
                    <w14:schemeClr w14:val="tx1"/>
                  </w14:solidFill>
                </w14:textFill>
              </w:rPr>
            </w:pPr>
          </w:p>
        </w:tc>
        <w:tc>
          <w:tcPr>
            <w:tcW w:w="1226" w:type="dxa"/>
            <w:vMerge w:val="continue"/>
          </w:tcPr>
          <w:p w14:paraId="51B925BF">
            <w:pPr>
              <w:jc w:val="center"/>
              <w:rPr>
                <w:color w:val="000000" w:themeColor="text1"/>
                <w:sz w:val="18"/>
                <w:szCs w:val="18"/>
                <w14:textFill>
                  <w14:solidFill>
                    <w14:schemeClr w14:val="tx1"/>
                  </w14:solidFill>
                </w14:textFill>
              </w:rPr>
            </w:pPr>
          </w:p>
        </w:tc>
        <w:tc>
          <w:tcPr>
            <w:tcW w:w="2937" w:type="dxa"/>
            <w:vAlign w:val="center"/>
          </w:tcPr>
          <w:p w14:paraId="69B83CD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320" w:type="dxa"/>
            <w:vAlign w:val="center"/>
          </w:tcPr>
          <w:p w14:paraId="4246552F">
            <w:pPr>
              <w:jc w:val="center"/>
              <w:rPr>
                <w:color w:val="000000" w:themeColor="text1"/>
                <w:sz w:val="18"/>
                <w:szCs w:val="18"/>
                <w14:textFill>
                  <w14:solidFill>
                    <w14:schemeClr w14:val="tx1"/>
                  </w14:solidFill>
                </w14:textFill>
              </w:rPr>
            </w:pPr>
          </w:p>
        </w:tc>
        <w:tc>
          <w:tcPr>
            <w:tcW w:w="690" w:type="dxa"/>
            <w:vAlign w:val="center"/>
          </w:tcPr>
          <w:p w14:paraId="2331AB59">
            <w:pPr>
              <w:jc w:val="center"/>
              <w:rPr>
                <w:color w:val="000000" w:themeColor="text1"/>
                <w:sz w:val="18"/>
                <w:szCs w:val="18"/>
                <w14:textFill>
                  <w14:solidFill>
                    <w14:schemeClr w14:val="tx1"/>
                  </w14:solidFill>
                </w14:textFill>
              </w:rPr>
            </w:pPr>
          </w:p>
        </w:tc>
        <w:tc>
          <w:tcPr>
            <w:tcW w:w="702" w:type="dxa"/>
            <w:vAlign w:val="center"/>
          </w:tcPr>
          <w:p w14:paraId="265490F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411" w:type="dxa"/>
            <w:vMerge w:val="continue"/>
          </w:tcPr>
          <w:p w14:paraId="41815C26">
            <w:pPr>
              <w:jc w:val="center"/>
              <w:rPr>
                <w:color w:val="000000" w:themeColor="text1"/>
                <w:sz w:val="18"/>
                <w:szCs w:val="18"/>
                <w14:textFill>
                  <w14:solidFill>
                    <w14:schemeClr w14:val="tx1"/>
                  </w14:solidFill>
                </w14:textFill>
              </w:rPr>
            </w:pPr>
          </w:p>
        </w:tc>
      </w:tr>
    </w:tbl>
    <w:p w14:paraId="5DB96A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*公共外语课程按入学时的外国语考试科目修读相关语种。</w:t>
      </w:r>
    </w:p>
    <w:p w14:paraId="24FF75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734004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1.非学位课中的方向选修课模块由各培养单位自行设置，并给出具体选修学分要求。</w:t>
      </w:r>
    </w:p>
    <w:p w14:paraId="6B41DF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2.毕业总学分：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3428760C">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52A5D87"/>
    <w:rsid w:val="0BB578DA"/>
    <w:rsid w:val="0D4F6319"/>
    <w:rsid w:val="10136E38"/>
    <w:rsid w:val="192914E8"/>
    <w:rsid w:val="1FE96C05"/>
    <w:rsid w:val="270F243E"/>
    <w:rsid w:val="27F109FE"/>
    <w:rsid w:val="310821E5"/>
    <w:rsid w:val="3177385E"/>
    <w:rsid w:val="3B1A3BFA"/>
    <w:rsid w:val="41F66C78"/>
    <w:rsid w:val="44061E95"/>
    <w:rsid w:val="4A301A0D"/>
    <w:rsid w:val="4B022535"/>
    <w:rsid w:val="5385202A"/>
    <w:rsid w:val="547D68F0"/>
    <w:rsid w:val="551E479C"/>
    <w:rsid w:val="565D3C84"/>
    <w:rsid w:val="58C37813"/>
    <w:rsid w:val="58FB5091"/>
    <w:rsid w:val="5A2C3F9F"/>
    <w:rsid w:val="60BA7BDE"/>
    <w:rsid w:val="60FB7388"/>
    <w:rsid w:val="62581DB0"/>
    <w:rsid w:val="654F7FE5"/>
    <w:rsid w:val="694047FD"/>
    <w:rsid w:val="6C674A3C"/>
    <w:rsid w:val="700068ED"/>
    <w:rsid w:val="76522ED4"/>
    <w:rsid w:val="7C8F696E"/>
    <w:rsid w:val="7CC51326"/>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unhideWhenUsed/>
    <w:qFormat/>
    <w:uiPriority w:val="99"/>
    <w:pPr>
      <w:spacing w:before="1" w:beforeLines="0" w:afterLines="0"/>
      <w:ind w:left="118" w:firstLine="480"/>
    </w:pPr>
    <w:rPr>
      <w:rFonts w:hint="eastAsia"/>
      <w:sz w:val="24"/>
      <w:szCs w:val="24"/>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Char"/>
    <w:basedOn w:val="14"/>
    <w:link w:val="3"/>
    <w:qFormat/>
    <w:uiPriority w:val="99"/>
    <w:rPr>
      <w:rFonts w:ascii="Cambria" w:hAnsi="Cambria" w:eastAsia="宋体" w:cs="Times New Roman"/>
      <w:b/>
      <w:bCs/>
      <w:sz w:val="32"/>
      <w:szCs w:val="32"/>
    </w:rPr>
  </w:style>
  <w:style w:type="character" w:customStyle="1" w:styleId="18">
    <w:name w:val="标题 1 Char"/>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Char"/>
    <w:basedOn w:val="14"/>
    <w:link w:val="5"/>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页眉 Char"/>
    <w:basedOn w:val="14"/>
    <w:link w:val="9"/>
    <w:qFormat/>
    <w:uiPriority w:val="99"/>
    <w:rPr>
      <w:rFonts w:ascii="Times New Roman" w:hAnsi="Times New Roman" w:eastAsia="宋体" w:cs="Times New Roman"/>
      <w:sz w:val="18"/>
      <w:szCs w:val="18"/>
    </w:rPr>
  </w:style>
  <w:style w:type="character" w:customStyle="1" w:styleId="24">
    <w:name w:val="页脚 Char"/>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Char"/>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3837</Words>
  <Characters>3995</Characters>
  <Lines>137</Lines>
  <Paragraphs>38</Paragraphs>
  <TotalTime>33</TotalTime>
  <ScaleCrop>false</ScaleCrop>
  <LinksUpToDate>false</LinksUpToDate>
  <CharactersWithSpaces>3995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Freda芳芳</cp:lastModifiedBy>
  <cp:lastPrinted>2025-06-18T03:33:59Z</cp:lastPrinted>
  <dcterms:modified xsi:type="dcterms:W3CDTF">2025-06-18T03:35:12Z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eyJoZGlkIjoiNjI1YTE0YzY1YzA3ZjFhZTE1YTYzMmI0MzFhNTMyYTEiLCJ1c2VySWQiOiI2NjY0MzE4MDQifQ==</vt:lpwstr>
  </property>
  <property fmtid="{D5CDD505-2E9C-101B-9397-08002B2CF9AE}" pid="4" name="ICV">
    <vt:lpwstr>361AC754D097450CBAFEB02660D26680_12</vt:lpwstr>
  </property>
</Properties>
</file>