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B8981">
      <w:pPr>
        <w:ind w:left="321" w:leftChars="153" w:right="227"/>
        <w:jc w:val="center"/>
        <w:rPr>
          <w:rFonts w:eastAsia="黑体"/>
          <w:b/>
          <w:bCs/>
          <w:sz w:val="36"/>
          <w:szCs w:val="36"/>
        </w:rPr>
      </w:pPr>
      <w:r>
        <w:rPr>
          <w:rFonts w:hint="eastAsia" w:eastAsia="黑体"/>
          <w:b/>
          <w:bCs/>
          <w:sz w:val="36"/>
          <w:szCs w:val="36"/>
        </w:rPr>
        <w:t>科学技术史</w:t>
      </w:r>
      <w:r>
        <w:rPr>
          <w:rFonts w:eastAsia="黑体"/>
          <w:b/>
          <w:bCs/>
          <w:sz w:val="36"/>
          <w:szCs w:val="36"/>
        </w:rPr>
        <w:t>专业学术学位硕士研究生培养方案</w:t>
      </w:r>
    </w:p>
    <w:p w14:paraId="48BB4C5B">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宋史研究</w:t>
      </w:r>
      <w:r>
        <w:rPr>
          <w:rFonts w:eastAsia="黑体"/>
          <w:b/>
          <w:bCs/>
          <w:sz w:val="28"/>
          <w:szCs w:val="28"/>
        </w:rPr>
        <w:t>中心)</w:t>
      </w:r>
    </w:p>
    <w:p w14:paraId="44C94DB0">
      <w:pPr>
        <w:spacing w:line="360" w:lineRule="auto"/>
        <w:ind w:firstLine="480" w:firstLineChars="200"/>
        <w:rPr>
          <w:rFonts w:ascii="宋体" w:hAnsi="宋体"/>
          <w:iCs/>
          <w:sz w:val="24"/>
        </w:rPr>
      </w:pPr>
    </w:p>
    <w:p w14:paraId="22241D80">
      <w:pPr>
        <w:spacing w:line="360" w:lineRule="auto"/>
        <w:ind w:firstLine="562" w:firstLineChars="200"/>
        <w:rPr>
          <w:rFonts w:eastAsia="黑体"/>
          <w:b/>
          <w:color w:val="000000" w:themeColor="text1"/>
          <w:sz w:val="28"/>
          <w:szCs w:val="28"/>
          <w14:textFill>
            <w14:solidFill>
              <w14:schemeClr w14:val="tx1"/>
            </w14:solidFill>
          </w14:textFill>
        </w:rPr>
      </w:pPr>
      <w:r>
        <w:rPr>
          <w:rFonts w:eastAsia="黑体"/>
          <w:b/>
          <w:color w:val="000000" w:themeColor="text1"/>
          <w:sz w:val="28"/>
          <w:szCs w:val="28"/>
          <w14:textFill>
            <w14:solidFill>
              <w14:schemeClr w14:val="tx1"/>
            </w14:solidFill>
          </w14:textFill>
        </w:rPr>
        <w:t>一、专业名称、代码</w:t>
      </w:r>
    </w:p>
    <w:p w14:paraId="53714834">
      <w:pPr>
        <w:spacing w:line="360" w:lineRule="auto"/>
        <w:ind w:firstLine="480" w:firstLineChars="200"/>
        <w:rPr>
          <w:rFonts w:ascii="宋体" w:hAnsi="宋体"/>
          <w:iCs/>
          <w:sz w:val="24"/>
        </w:rPr>
      </w:pPr>
      <w:r>
        <w:rPr>
          <w:rFonts w:ascii="宋体" w:hAnsi="宋体"/>
          <w:iCs/>
          <w:sz w:val="24"/>
        </w:rPr>
        <w:t>专业名称：</w:t>
      </w:r>
      <w:r>
        <w:rPr>
          <w:rFonts w:hint="eastAsia" w:ascii="宋体" w:hAnsi="宋体"/>
          <w:iCs/>
          <w:sz w:val="24"/>
        </w:rPr>
        <w:t>科学技术史</w:t>
      </w:r>
    </w:p>
    <w:p w14:paraId="291D9B1F">
      <w:pPr>
        <w:spacing w:line="360" w:lineRule="auto"/>
        <w:ind w:firstLine="480" w:firstLineChars="200"/>
        <w:rPr>
          <w:rFonts w:ascii="宋体" w:hAnsi="宋体"/>
          <w:iCs/>
          <w:sz w:val="24"/>
        </w:rPr>
      </w:pPr>
      <w:r>
        <w:rPr>
          <w:rFonts w:ascii="宋体" w:hAnsi="宋体"/>
          <w:iCs/>
          <w:sz w:val="24"/>
        </w:rPr>
        <w:t>专业代码：0712</w:t>
      </w:r>
    </w:p>
    <w:p w14:paraId="01AA4F3D">
      <w:pPr>
        <w:spacing w:line="360" w:lineRule="auto"/>
        <w:ind w:firstLine="562" w:firstLineChars="200"/>
        <w:rPr>
          <w:rFonts w:eastAsia="黑体"/>
          <w:b/>
          <w:i/>
          <w:color w:val="FF0000"/>
          <w:sz w:val="28"/>
          <w:szCs w:val="28"/>
        </w:rPr>
      </w:pPr>
      <w:r>
        <w:rPr>
          <w:rFonts w:eastAsia="黑体"/>
          <w:b/>
          <w:sz w:val="28"/>
          <w:szCs w:val="28"/>
        </w:rPr>
        <w:t>二、</w:t>
      </w:r>
      <w:r>
        <w:rPr>
          <w:rFonts w:eastAsia="黑体"/>
          <w:b/>
          <w:color w:val="000000" w:themeColor="text1"/>
          <w:sz w:val="28"/>
          <w:szCs w:val="28"/>
          <w14:textFill>
            <w14:solidFill>
              <w14:schemeClr w14:val="tx1"/>
            </w14:solidFill>
          </w14:textFill>
        </w:rPr>
        <w:t>专业简介</w:t>
      </w:r>
    </w:p>
    <w:p w14:paraId="4EA37899">
      <w:pPr>
        <w:spacing w:line="360" w:lineRule="auto"/>
        <w:ind w:firstLine="480" w:firstLineChars="200"/>
        <w:rPr>
          <w:rFonts w:ascii="宋体" w:hAnsi="宋体"/>
          <w:iCs/>
          <w:sz w:val="24"/>
        </w:rPr>
      </w:pPr>
      <w:r>
        <w:rPr>
          <w:rFonts w:hint="eastAsia" w:ascii="宋体" w:hAnsi="宋体"/>
          <w:iCs/>
          <w:sz w:val="24"/>
        </w:rPr>
        <w:t>科学技术史是研究人类科技活动发展历史的一门文理交叉性学科。它综合运用自然科学、技术科学和人文社会科学的相关方法，以文献资料和实物遗存为研究内容，揭示科学技术发展的规律性。科学技术史既要研究科学技术内在的逻辑联系和发展规律，又要探讨科学技术与整个社会中各种因素的相互联系和相互制约的辩证关系。因此，科学技术史既不是一般的自然科学，也不同于一般的社会历史学。它是横跨于自然科学与社会科学之间的一门综合性学科。科学技术史的研究范围主要涉及理、工、农、医四大学科门类，但是又不仅仅局限于自然科学领域，而是向人文社会科学领域高度发散，其与科学技术哲学的关系极为密切，这是该学科最重要的一个特点。</w:t>
      </w:r>
    </w:p>
    <w:p w14:paraId="16C122DA">
      <w:pPr>
        <w:spacing w:line="360" w:lineRule="auto"/>
        <w:ind w:firstLine="480" w:firstLineChars="200"/>
        <w:rPr>
          <w:rFonts w:ascii="宋体" w:hAnsi="宋体"/>
          <w:iCs/>
          <w:sz w:val="24"/>
        </w:rPr>
      </w:pPr>
      <w:r>
        <w:rPr>
          <w:rFonts w:hint="eastAsia" w:ascii="宋体" w:hAnsi="宋体"/>
          <w:iCs/>
          <w:sz w:val="24"/>
        </w:rPr>
        <w:t>科学技术史的传统研究领域是科学技术的各门学科史，随着科学技术史学科的发展，一些新的研究领域不断产生，如探讨科学技术发展与社会政治、经济、军事以及文化的互动关系的科学技术社会史研究，探讨科学技术发展与民族文化、地理环境等关系的民族科学技术史研究，探讨历史上中国与外国在科学技术方面的相互交流与影响的中外科学技术交流史研究，运用科学技术史的研究成果及研究方法为考古学服务的科学技术考古研究等。这些研究领域既拓展了科学技术史学科的研究范围，也进一步彰显了这一学科所具有的服务于社会的各种功能。</w:t>
      </w:r>
    </w:p>
    <w:p w14:paraId="069D7881">
      <w:pPr>
        <w:spacing w:line="360" w:lineRule="auto"/>
        <w:ind w:firstLine="562" w:firstLineChars="200"/>
        <w:rPr>
          <w:rFonts w:eastAsia="黑体"/>
          <w:b/>
          <w:sz w:val="28"/>
          <w:szCs w:val="28"/>
        </w:rPr>
      </w:pPr>
      <w:r>
        <w:rPr>
          <w:rFonts w:eastAsia="黑体"/>
          <w:b/>
          <w:sz w:val="28"/>
          <w:szCs w:val="28"/>
        </w:rPr>
        <w:t>三、研究方向</w:t>
      </w:r>
    </w:p>
    <w:p w14:paraId="13CAD8D5">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1.科学史。</w:t>
      </w:r>
    </w:p>
    <w:p w14:paraId="68C09A05">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本研究方向的特色是突出科学思想史的研究。科学思想史</w:t>
      </w:r>
      <w:r>
        <w:rPr>
          <w:rFonts w:hint="eastAsia" w:ascii="宋体" w:hAnsi="宋体" w:cs="宋体"/>
          <w:color w:val="000000" w:themeColor="text1"/>
          <w:sz w:val="24"/>
          <w14:textFill>
            <w14:solidFill>
              <w14:schemeClr w14:val="tx1"/>
            </w14:solidFill>
          </w14:textFill>
        </w:rPr>
        <w:t>以科学概念、自然观及方法论的演变为核心，强调思想根源的哲学性探索，突破传统编年史的局限，注重从原始文献中还原科学思想的生成语境，其特色在于综合历史学、哲学与社会学视角，</w:t>
      </w:r>
      <w:r>
        <w:rPr>
          <w:rFonts w:hint="eastAsia" w:asciiTheme="majorEastAsia" w:hAnsiTheme="majorEastAsia" w:eastAsiaTheme="majorEastAsia" w:cstheme="majorEastAsia"/>
          <w:color w:val="000000" w:themeColor="text1"/>
          <w:sz w:val="24"/>
          <w14:textFill>
            <w14:solidFill>
              <w14:schemeClr w14:val="tx1"/>
            </w14:solidFill>
          </w14:textFill>
        </w:rPr>
        <w:t>注重考察科学思想史发展与演变的内在规律，注重科学思想史的断代研究与比较研究相结合。尤其在中国科学思想史的研究领域，聚焦宋元时期数理科学的全球传播与影响，突破传统分科局限，通过梳理数理知识在政治、经济、教育等领域的渗透，揭示科学思想与社会文明的共生关系。</w:t>
      </w:r>
    </w:p>
    <w:p w14:paraId="399CC709">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2.技术史。</w:t>
      </w:r>
    </w:p>
    <w:p w14:paraId="76320D12">
      <w:pPr>
        <w:widowControl/>
        <w:spacing w:line="360" w:lineRule="auto"/>
        <w:ind w:firstLine="480" w:firstLineChars="200"/>
        <w:jc w:val="left"/>
        <w:rPr>
          <w:rFonts w:asciiTheme="majorEastAsia" w:hAnsiTheme="majorEastAsia" w:eastAsiaTheme="majorEastAsia" w:cstheme="majorEastAsia"/>
          <w:color w:val="000000" w:themeColor="text1"/>
          <w:sz w:val="24"/>
          <w:shd w:val="clear" w:color="auto" w:fill="FFFFFF"/>
          <w14:textFill>
            <w14:solidFill>
              <w14:schemeClr w14:val="tx1"/>
            </w14:solidFill>
          </w14:textFill>
        </w:rPr>
      </w:pPr>
      <w:r>
        <w:rPr>
          <w:rFonts w:hint="eastAsia" w:asciiTheme="majorEastAsia" w:hAnsiTheme="majorEastAsia" w:eastAsiaTheme="majorEastAsia" w:cstheme="majorEastAsia"/>
          <w:bCs/>
          <w:color w:val="000000" w:themeColor="text1"/>
          <w:sz w:val="24"/>
          <w14:textFill>
            <w14:solidFill>
              <w14:schemeClr w14:val="tx1"/>
            </w14:solidFill>
          </w14:textFill>
        </w:rPr>
        <w:t>本研究方向的特色：一是突出</w:t>
      </w:r>
      <w:r>
        <w:rPr>
          <w:rFonts w:hint="eastAsia" w:asciiTheme="majorEastAsia" w:hAnsiTheme="majorEastAsia" w:eastAsiaTheme="majorEastAsia" w:cstheme="majorEastAsia"/>
          <w:color w:val="000000" w:themeColor="text1"/>
          <w:sz w:val="24"/>
          <w:shd w:val="clear" w:color="auto" w:fill="FFFFFF"/>
          <w14:textFill>
            <w14:solidFill>
              <w14:schemeClr w14:val="tx1"/>
            </w14:solidFill>
          </w14:textFill>
        </w:rPr>
        <w:t>中国传统筑城技术的研究，重点考察中国传统筑城技术与哲学和堪舆学之间的内在关系；二是聚焦黄河治理技术史，突破传统工程史局限，将技术实践与政治、军事需求紧密结合，既探讨堤防工程技术，又剖析其作为军事屏障的政治意义；三是重点从技术的角度考察作为工具的数学如何应用于物理、天文、生物、医学等科学领域；四是突出技术史研究的国际视野，开展比较研究</w:t>
      </w:r>
      <w:r>
        <w:rPr>
          <w:rFonts w:hint="eastAsia" w:eastAsiaTheme="majorEastAsia"/>
          <w:color w:val="000000" w:themeColor="text1"/>
          <w:sz w:val="24"/>
          <w:shd w:val="clear" w:color="auto" w:fill="FFFFFF"/>
          <w14:textFill>
            <w14:solidFill>
              <w14:schemeClr w14:val="tx1"/>
            </w14:solidFill>
          </w14:textFill>
        </w:rPr>
        <w:t>，</w:t>
      </w:r>
      <w:r>
        <w:rPr>
          <w:rFonts w:hint="eastAsia" w:asciiTheme="majorEastAsia" w:hAnsiTheme="majorEastAsia" w:eastAsiaTheme="majorEastAsia" w:cstheme="majorEastAsia"/>
          <w:color w:val="000000" w:themeColor="text1"/>
          <w:sz w:val="24"/>
          <w:shd w:val="clear" w:color="auto" w:fill="FFFFFF"/>
          <w14:textFill>
            <w14:solidFill>
              <w14:schemeClr w14:val="tx1"/>
            </w14:solidFill>
          </w14:textFill>
        </w:rPr>
        <w:t>构建中外科技交流史框架，揭示东亚技术网络的传播特征。</w:t>
      </w:r>
    </w:p>
    <w:p w14:paraId="63255672">
      <w:pPr>
        <w:widowControl/>
        <w:spacing w:line="360" w:lineRule="auto"/>
        <w:ind w:firstLine="480" w:firstLineChars="200"/>
        <w:jc w:val="left"/>
        <w:rPr>
          <w:rFonts w:asciiTheme="majorEastAsia" w:hAnsiTheme="majorEastAsia" w:eastAsiaTheme="majorEastAsia" w:cstheme="majorEastAsia"/>
          <w:color w:val="000000" w:themeColor="text1"/>
          <w:sz w:val="24"/>
          <w:shd w:val="clear" w:color="auto" w:fill="FFFFFF"/>
          <w14:textFill>
            <w14:solidFill>
              <w14:schemeClr w14:val="tx1"/>
            </w14:solidFill>
          </w14:textFill>
        </w:rPr>
      </w:pPr>
      <w:r>
        <w:rPr>
          <w:rFonts w:hint="eastAsia" w:asciiTheme="majorEastAsia" w:hAnsiTheme="majorEastAsia" w:eastAsiaTheme="majorEastAsia" w:cstheme="majorEastAsia"/>
          <w:color w:val="000000" w:themeColor="text1"/>
          <w:sz w:val="24"/>
          <w:shd w:val="clear" w:color="auto" w:fill="FFFFFF"/>
          <w14:textFill>
            <w14:solidFill>
              <w14:schemeClr w14:val="tx1"/>
            </w14:solidFill>
          </w14:textFill>
        </w:rPr>
        <w:t>3.科学技术与社会。</w:t>
      </w:r>
    </w:p>
    <w:p w14:paraId="248F7789">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本研究方向的主要研究特色：一是结合国家的“一带一路”发展战略，开展辽金元科技与社会之间的互动关系研究，聚焦10-14世纪欧亚大陆科技交流网络，考察蒙古西征、回回天文历法传播等对科技传播的影响。二是开展中国古代北方民族的科学技术与社会变迁之间的关系研究，以契丹、女真、蒙古等民族为对象，探索技术实践与政权建构的共生关系；对辽代冶金技术与军事制度耦合性的研究，揭示镔铁锻造技艺如何支撑契丹骑兵装备体系；分析牛耕技术推广与女真社会封建化的双向互动等。</w:t>
      </w:r>
    </w:p>
    <w:p w14:paraId="10DCE84D">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hint="eastAsia" w:asciiTheme="majorEastAsia" w:hAnsiTheme="majorEastAsia" w:eastAsiaTheme="majorEastAsia" w:cstheme="majorEastAsia"/>
          <w:color w:val="000000" w:themeColor="text1"/>
          <w:sz w:val="24"/>
          <w14:textFill>
            <w14:solidFill>
              <w14:schemeClr w14:val="tx1"/>
            </w14:solidFill>
          </w14:textFill>
        </w:rPr>
        <w:t>4.医学史。</w:t>
      </w:r>
    </w:p>
    <w:p w14:paraId="40D3D267">
      <w:pPr>
        <w:widowControl/>
        <w:spacing w:line="360" w:lineRule="auto"/>
        <w:ind w:firstLine="480" w:firstLineChars="200"/>
        <w:jc w:val="left"/>
        <w:rPr>
          <w:rFonts w:ascii="宋体"/>
          <w:sz w:val="24"/>
        </w:rPr>
      </w:pPr>
      <w:r>
        <w:rPr>
          <w:rFonts w:hint="eastAsia" w:asciiTheme="majorEastAsia" w:hAnsiTheme="majorEastAsia" w:eastAsiaTheme="majorEastAsia" w:cstheme="majorEastAsia"/>
          <w:color w:val="000000" w:themeColor="text1"/>
          <w:sz w:val="24"/>
          <w14:textFill>
            <w14:solidFill>
              <w14:schemeClr w14:val="tx1"/>
            </w14:solidFill>
          </w14:textFill>
        </w:rPr>
        <w:t>本研究方向的主要研究特色：一是以医学典籍为基础，结合出土文献、笔记文献，重点对中国医学史进行深入、系统的研究和探讨，</w:t>
      </w:r>
      <w:r>
        <w:rPr>
          <w:rFonts w:hint="eastAsia" w:ascii="宋体"/>
          <w:sz w:val="24"/>
        </w:rPr>
        <w:t>发掘和传承中医药文化遗产，将之作为赓续中华文明的重要途径。注重探讨中医文献与传统经史子集四部文献之间的内在联系，梳理中医文献形成的内在逻辑及科技内涵。二是利用明清档案文献，进行明清太医文化史研究，系统梳理太医院医官、医籍、医事、医制等，上溯下联，研究其渊源及影响，形成以太医为核心问题的会通性研究。</w:t>
      </w:r>
    </w:p>
    <w:p w14:paraId="6F2CE3B8">
      <w:pPr>
        <w:spacing w:line="360" w:lineRule="auto"/>
        <w:ind w:firstLine="562" w:firstLineChars="200"/>
        <w:rPr>
          <w:rFonts w:eastAsia="黑体"/>
          <w:b/>
          <w:sz w:val="28"/>
          <w:szCs w:val="28"/>
        </w:rPr>
      </w:pPr>
      <w:r>
        <w:rPr>
          <w:rFonts w:eastAsia="黑体"/>
          <w:b/>
          <w:sz w:val="28"/>
          <w:szCs w:val="28"/>
        </w:rPr>
        <w:t>四、学制及学习年限</w:t>
      </w:r>
    </w:p>
    <w:p w14:paraId="7BCBB6EF">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27A76E25">
      <w:pPr>
        <w:spacing w:line="360" w:lineRule="auto"/>
        <w:ind w:firstLine="562" w:firstLineChars="200"/>
        <w:rPr>
          <w:rFonts w:eastAsia="黑体"/>
          <w:b/>
          <w:sz w:val="28"/>
          <w:szCs w:val="28"/>
        </w:rPr>
      </w:pPr>
      <w:r>
        <w:rPr>
          <w:rFonts w:eastAsia="黑体"/>
          <w:b/>
          <w:sz w:val="28"/>
          <w:szCs w:val="28"/>
        </w:rPr>
        <w:t>五、培养目标</w:t>
      </w:r>
    </w:p>
    <w:p w14:paraId="596ED247">
      <w:pPr>
        <w:spacing w:line="360" w:lineRule="auto"/>
        <w:ind w:firstLine="480"/>
        <w:rPr>
          <w:rFonts w:eastAsiaTheme="minorEastAsia"/>
          <w:iCs/>
          <w:sz w:val="24"/>
        </w:rPr>
      </w:pPr>
      <w:r>
        <w:rPr>
          <w:rFonts w:hint="eastAsia" w:eastAsiaTheme="minorEastAsia"/>
          <w:iCs/>
          <w:sz w:val="24"/>
        </w:rPr>
        <w:t>遵循党的教育方针，本学科硕士研究生要较好地掌握马列主义基本原理，拥护中国共产党的领导，拥护社会主义制度，热爱祖国，遵纪守法，品行端正。树立正确的中国特色社会主义核心价值观，有良好的道德品质、政治素质。具有系统的科技史学理论基础、较宽阔的专业知识和人文社会科学视野，形成明确的研究方向和较强的科技史学研究能力。掌握一门外国语，能熟练地阅读本专业外文资料，有一定的听、说、写、译能力。能运用现代化的研究手段和方法进行科技史学研究。具有扎实的学风、严谨的治学态度和良好的心理素养。具有良好的团队意识、团队合作精神，能够胜任以科技史学为核心的科学研究、教学及其他社会工作。初步具备阅读和使用中外文科技历史文献和科技档案的能力，及时了解中外科技史研究的学术动态。具备一定的独立提出中外科技史研究相关学术问题和分析解决问题的能力，具备一定的学术创新精神和创新能力。</w:t>
      </w:r>
    </w:p>
    <w:p w14:paraId="5C29ECA3">
      <w:pPr>
        <w:spacing w:line="360" w:lineRule="auto"/>
        <w:ind w:firstLine="562" w:firstLineChars="200"/>
        <w:rPr>
          <w:rFonts w:eastAsia="黑体"/>
          <w:b/>
          <w:sz w:val="28"/>
          <w:szCs w:val="28"/>
        </w:rPr>
      </w:pPr>
      <w:r>
        <w:rPr>
          <w:rFonts w:eastAsia="黑体"/>
          <w:b/>
          <w:sz w:val="28"/>
          <w:szCs w:val="28"/>
        </w:rPr>
        <w:t>六、培养方式</w:t>
      </w:r>
    </w:p>
    <w:p w14:paraId="0C22C093">
      <w:pPr>
        <w:spacing w:line="360" w:lineRule="auto"/>
        <w:ind w:firstLine="480"/>
        <w:rPr>
          <w:rFonts w:eastAsiaTheme="minorEastAsia"/>
          <w:iCs/>
          <w:sz w:val="24"/>
        </w:rPr>
      </w:pPr>
      <w:r>
        <w:rPr>
          <w:rFonts w:hint="eastAsia" w:asciiTheme="minorEastAsia" w:hAnsiTheme="minorEastAsia" w:eastAsiaTheme="minorEastAsia"/>
          <w:bCs/>
          <w:iCs/>
          <w:sz w:val="24"/>
        </w:rPr>
        <w:t>本学科硕士研究生的培养实行导师负责和指导小组集体培养相结合的方法。建立以学术问题为核心的探究式、研讨式教学模式，拓展课堂教学形式，加强研讨和调研等形式的课程教学。注重知识创新能力培养及系统科研训练，以优质团队、平台、项目支撑本学科硕士研究生培养。</w:t>
      </w:r>
    </w:p>
    <w:p w14:paraId="1280B0C3">
      <w:pPr>
        <w:spacing w:line="360" w:lineRule="auto"/>
        <w:ind w:firstLine="480"/>
        <w:rPr>
          <w:rFonts w:eastAsia="黑体"/>
          <w:b/>
          <w:sz w:val="28"/>
          <w:szCs w:val="28"/>
        </w:rPr>
      </w:pPr>
      <w:r>
        <w:rPr>
          <w:rFonts w:eastAsia="黑体"/>
          <w:b/>
          <w:sz w:val="28"/>
          <w:szCs w:val="28"/>
        </w:rPr>
        <w:t>七、中期筛选</w:t>
      </w:r>
    </w:p>
    <w:p w14:paraId="735FCE0E">
      <w:pPr>
        <w:spacing w:line="360" w:lineRule="auto"/>
        <w:ind w:firstLine="480"/>
        <w:rPr>
          <w:rFonts w:asciiTheme="minorEastAsia" w:hAnsiTheme="minorEastAsia" w:eastAsiaTheme="minorEastAsia"/>
          <w:bCs/>
          <w:iCs/>
          <w:sz w:val="24"/>
        </w:rPr>
      </w:pPr>
      <w:bookmarkStart w:id="0" w:name="_Toc59002625"/>
      <w:r>
        <w:rPr>
          <w:rFonts w:eastAsiaTheme="minorEastAsia"/>
          <w:iCs/>
          <w:sz w:val="24"/>
        </w:rPr>
        <w:t>在完成培养方案规定的课程学习、考核成绩合格、获得规定的学分后，</w:t>
      </w:r>
      <w:bookmarkEnd w:id="0"/>
      <w:r>
        <w:rPr>
          <w:rFonts w:eastAsiaTheme="minorEastAsia"/>
          <w:iCs/>
          <w:sz w:val="24"/>
        </w:rPr>
        <w:t>按照《河北大学研究生中期筛选管理办法》（校政</w:t>
      </w:r>
      <w:r>
        <w:rPr>
          <w:rFonts w:eastAsiaTheme="minorEastAsia"/>
          <w:bCs/>
          <w:sz w:val="24"/>
        </w:rPr>
        <w:t>字〔2021〕15号）的相关规定，组织开展中期筛选工作</w:t>
      </w:r>
      <w:r>
        <w:rPr>
          <w:rFonts w:hint="eastAsia" w:eastAsiaTheme="minorEastAsia"/>
          <w:bCs/>
          <w:sz w:val="24"/>
        </w:rPr>
        <w:t>，</w:t>
      </w:r>
      <w:r>
        <w:rPr>
          <w:rFonts w:hint="eastAsia"/>
          <w:bCs/>
          <w:sz w:val="24"/>
        </w:rPr>
        <w:t>一般在课程学习结束后一年内进行。对暂未通过考核的，由指导教师专门进行指导督促，延期再次考核，对不适宜继续</w:t>
      </w:r>
      <w:r>
        <w:rPr>
          <w:rFonts w:hint="eastAsia" w:asciiTheme="minorEastAsia" w:hAnsiTheme="minorEastAsia" w:eastAsiaTheme="minorEastAsia"/>
          <w:bCs/>
          <w:iCs/>
          <w:sz w:val="24"/>
        </w:rPr>
        <w:t>攻读学位的，予以分流或淘汰。</w:t>
      </w:r>
    </w:p>
    <w:p w14:paraId="7D43026A">
      <w:pPr>
        <w:spacing w:line="360" w:lineRule="auto"/>
        <w:ind w:firstLine="480"/>
        <w:rPr>
          <w:rFonts w:eastAsia="黑体"/>
          <w:b/>
          <w:sz w:val="28"/>
          <w:szCs w:val="28"/>
        </w:rPr>
      </w:pPr>
      <w:r>
        <w:rPr>
          <w:rFonts w:hint="eastAsia" w:eastAsia="黑体"/>
          <w:b/>
          <w:sz w:val="28"/>
          <w:szCs w:val="28"/>
        </w:rPr>
        <w:t>八</w:t>
      </w:r>
      <w:r>
        <w:rPr>
          <w:rFonts w:eastAsia="黑体"/>
          <w:b/>
          <w:sz w:val="28"/>
          <w:szCs w:val="28"/>
        </w:rPr>
        <w:t>、学位（毕业）论文</w:t>
      </w:r>
    </w:p>
    <w:p w14:paraId="6F120FAB">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inorEastAsia" w:hAnsiTheme="minorEastAsia" w:eastAsiaTheme="minorEastAsia"/>
          <w:bCs/>
          <w:iCs/>
          <w:sz w:val="24"/>
        </w:rPr>
        <w:t>1.总体要求：按照《河北大学关于开展</w:t>
      </w:r>
      <w:r>
        <w:rPr>
          <w:color w:val="000000" w:themeColor="text1"/>
          <w:kern w:val="0"/>
          <w:sz w:val="24"/>
          <w14:textFill>
            <w14:solidFill>
              <w14:schemeClr w14:val="tx1"/>
            </w14:solidFill>
          </w14:textFill>
        </w:rPr>
        <w:t>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）规定，硕士研究生论文开题与答辩时间间隔原则上不少于12个月。学位（毕业）论文应当表明作者具有独立从事学术研究工作的能力，鼓励硕士研究生参与科学研究，</w:t>
      </w:r>
      <w:r>
        <w:rPr>
          <w:rFonts w:asciiTheme="majorEastAsia" w:hAnsiTheme="majorEastAsia" w:eastAsiaTheme="majorEastAsia" w:cstheme="majorEastAsia"/>
          <w:color w:val="000000" w:themeColor="text1"/>
          <w:sz w:val="24"/>
          <w14:textFill>
            <w14:solidFill>
              <w14:schemeClr w14:val="tx1"/>
            </w14:solidFill>
          </w14:textFill>
        </w:rPr>
        <w:t>取得创新性成果</w:t>
      </w:r>
      <w:r>
        <w:rPr>
          <w:rFonts w:hint="eastAsia" w:asciiTheme="majorEastAsia" w:hAnsiTheme="majorEastAsia" w:eastAsiaTheme="majorEastAsia" w:cstheme="majorEastAsia"/>
          <w:color w:val="000000" w:themeColor="text1"/>
          <w:sz w:val="24"/>
          <w14:textFill>
            <w14:solidFill>
              <w14:schemeClr w14:val="tx1"/>
            </w14:solidFill>
          </w14:textFill>
        </w:rPr>
        <w:t>。</w:t>
      </w:r>
    </w:p>
    <w:p w14:paraId="69B554E5">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2.开题：开题是研究生培养过程中开展</w:t>
      </w:r>
      <w:r>
        <w:rPr>
          <w:color w:val="000000" w:themeColor="text1"/>
          <w:kern w:val="0"/>
          <w:sz w:val="24"/>
          <w14:textFill>
            <w14:solidFill>
              <w14:schemeClr w14:val="tx1"/>
            </w14:solidFill>
          </w14:textFill>
        </w:rPr>
        <w:t>学位（毕业）论文工作的首要环节，要求研究生充分阅读国内外相关文献，撰写开题报告。</w:t>
      </w:r>
      <w:r>
        <w:rPr>
          <w:rFonts w:hint="eastAsia"/>
          <w:color w:val="000000" w:themeColor="text1"/>
          <w:kern w:val="0"/>
          <w:sz w:val="24"/>
          <w14:textFill>
            <w14:solidFill>
              <w14:schemeClr w14:val="tx1"/>
            </w14:solidFill>
          </w14:textFill>
        </w:rPr>
        <w:t>学术硕士学位（毕业）论文的选题应密切结合学科发展或经济建设和社会发展的需要，以学术创新为第一标准，提出有别于现有成果的新的学术见解。</w:t>
      </w:r>
      <w:r>
        <w:rPr>
          <w:color w:val="000000" w:themeColor="text1"/>
          <w:kern w:val="0"/>
          <w:sz w:val="24"/>
          <w14:textFill>
            <w14:solidFill>
              <w14:schemeClr w14:val="tx1"/>
            </w14:solidFill>
          </w14:textFill>
        </w:rPr>
        <w:t>开题报告应包含文献综述、论文选题依据、研究方案、预期目标与成果、工作计划等关键问题。原则上在入学后第3学期（最迟不超过第4学期）完成开题。开题由3-5名具有高级专业技术职务人员参加，以学术报告的方式进行。</w:t>
      </w:r>
      <w:r>
        <w:rPr>
          <w:rFonts w:hint="eastAsia"/>
          <w:color w:val="000000" w:themeColor="text1"/>
          <w:kern w:val="0"/>
          <w:sz w:val="24"/>
          <w14:textFill>
            <w14:solidFill>
              <w14:schemeClr w14:val="tx1"/>
            </w14:solidFill>
          </w14:textFill>
        </w:rPr>
        <w:t>论文</w:t>
      </w:r>
      <w:r>
        <w:rPr>
          <w:rFonts w:hint="eastAsia" w:asciiTheme="majorEastAsia" w:hAnsiTheme="majorEastAsia" w:eastAsiaTheme="majorEastAsia" w:cstheme="majorEastAsia"/>
          <w:color w:val="000000" w:themeColor="text1"/>
          <w:sz w:val="24"/>
          <w14:textFill>
            <w14:solidFill>
              <w14:schemeClr w14:val="tx1"/>
            </w14:solidFill>
          </w14:textFill>
        </w:rPr>
        <w:t>开题报告能够清晰表述研究内容及其研究的学术价值。</w:t>
      </w:r>
    </w:p>
    <w:p w14:paraId="36845554">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3.中期进展报告：中期进展报告是检查研究生个人综合能力及学位论文进展、指导研究生把握学位（毕业）论文方向、提高学位（毕业）论文质量的必要环节。中期进展报告原则上应在入学后第5学期进行</w:t>
      </w:r>
      <w:r>
        <w:rPr>
          <w:rFonts w:hint="eastAsia" w:asciiTheme="majorEastAsia" w:hAnsiTheme="majorEastAsia" w:eastAsiaTheme="majorEastAsia" w:cstheme="majorEastAsia"/>
          <w:color w:val="000000" w:themeColor="text1"/>
          <w:sz w:val="24"/>
          <w14:textFill>
            <w14:solidFill>
              <w14:schemeClr w14:val="tx1"/>
            </w14:solidFill>
          </w14:textFill>
        </w:rPr>
        <w:t>，由</w:t>
      </w:r>
      <w:r>
        <w:rPr>
          <w:rFonts w:asciiTheme="majorEastAsia" w:hAnsiTheme="majorEastAsia" w:eastAsiaTheme="majorEastAsia" w:cstheme="majorEastAsia"/>
          <w:color w:val="000000" w:themeColor="text1"/>
          <w:sz w:val="24"/>
          <w14:textFill>
            <w14:solidFill>
              <w14:schemeClr w14:val="tx1"/>
            </w14:solidFill>
          </w14:textFill>
        </w:rPr>
        <w:t>导师组自行制定中期考核办法并组织考核。</w:t>
      </w:r>
    </w:p>
    <w:p w14:paraId="009FD1D1">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4.学位申请：达到学位授予条件的申请人，经导师同意后，应于答辩前三个月，向所属学位评定分委员会提出学位申请，提交学位申请材料。</w:t>
      </w:r>
    </w:p>
    <w:p w14:paraId="0546B084">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5.预答辩：学位申请人须进行学位论文预答辩。预答辩通过者，方可进入学位论文评阅、学位论文答辩等环节。学位（毕业）论文预答辩在正式答辩前3个月进行。</w:t>
      </w:r>
    </w:p>
    <w:p w14:paraId="09407AA2">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8AF7E3E">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7.答辩：学位（毕业）论文答辩按照《河北大学博士、硕士学位授予工作实施细则》（校政字〔2025〕7号）执行。</w:t>
      </w:r>
    </w:p>
    <w:p w14:paraId="7914B6E1">
      <w:pPr>
        <w:spacing w:line="360" w:lineRule="auto"/>
        <w:ind w:firstLine="562" w:firstLineChars="200"/>
        <w:rPr>
          <w:rFonts w:eastAsia="黑体"/>
          <w:b/>
          <w:bCs w:val="0"/>
          <w:sz w:val="28"/>
          <w:szCs w:val="28"/>
        </w:rPr>
      </w:pPr>
      <w:r>
        <w:rPr>
          <w:rFonts w:hint="eastAsia" w:eastAsia="黑体"/>
          <w:b/>
          <w:bCs w:val="0"/>
          <w:sz w:val="28"/>
          <w:szCs w:val="28"/>
        </w:rPr>
        <w:t>九</w:t>
      </w:r>
      <w:r>
        <w:rPr>
          <w:rFonts w:eastAsia="黑体"/>
          <w:b/>
          <w:bCs w:val="0"/>
          <w:sz w:val="28"/>
          <w:szCs w:val="28"/>
        </w:rPr>
        <w:t>、毕业条件</w:t>
      </w:r>
    </w:p>
    <w:p w14:paraId="772F97A0">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1.课程学习。研究生在规定修业年限内完成培养方案规定的课程学习，考核成绩合格，获得规定的学分。</w:t>
      </w:r>
    </w:p>
    <w:p w14:paraId="564C82D0">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2.学术活动。研究生在读期间参加不少于10次学术活动，并撰写学术报告小结；以主讲人或宣讲人身份，参加在校内外举行的学术报告或学术讲座不少于1次。</w:t>
      </w:r>
    </w:p>
    <w:p w14:paraId="46FF8B0E">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3.符合提前毕业条件的研究生，可按照学校相关规定申请提前毕业。</w:t>
      </w:r>
    </w:p>
    <w:p w14:paraId="1A71C8E0">
      <w:pPr>
        <w:widowControl/>
        <w:spacing w:line="360" w:lineRule="auto"/>
        <w:ind w:firstLine="480" w:firstLineChars="200"/>
        <w:jc w:val="left"/>
        <w:rPr>
          <w:rFonts w:asciiTheme="majorEastAsia" w:hAnsiTheme="majorEastAsia" w:eastAsiaTheme="majorEastAsia" w:cstheme="majorEastAsia"/>
          <w:color w:val="000000" w:themeColor="text1"/>
          <w:sz w:val="24"/>
          <w14:textFill>
            <w14:solidFill>
              <w14:schemeClr w14:val="tx1"/>
            </w14:solidFill>
          </w14:textFill>
        </w:rPr>
      </w:pPr>
      <w:r>
        <w:rPr>
          <w:rFonts w:asciiTheme="majorEastAsia" w:hAnsiTheme="majorEastAsia" w:eastAsiaTheme="majorEastAsia" w:cstheme="majorEastAsia"/>
          <w:color w:val="000000" w:themeColor="text1"/>
          <w:sz w:val="24"/>
          <w14:textFill>
            <w14:solidFill>
              <w14:schemeClr w14:val="tx1"/>
            </w14:solidFill>
          </w14:textFill>
        </w:rPr>
        <w:t>4.论文答辩。学位（毕业）论文经专家评审合格、通过学位（毕业）答辩，符合毕业资格审查后，准予毕业。</w:t>
      </w:r>
    </w:p>
    <w:p w14:paraId="08DBBE2B">
      <w:pPr>
        <w:spacing w:line="360" w:lineRule="auto"/>
        <w:ind w:firstLine="562" w:firstLineChars="200"/>
        <w:rPr>
          <w:rFonts w:hint="eastAsia" w:eastAsia="黑体"/>
          <w:b/>
          <w:bCs w:val="0"/>
          <w:sz w:val="28"/>
          <w:szCs w:val="28"/>
        </w:rPr>
      </w:pPr>
      <w:r>
        <w:rPr>
          <w:rFonts w:hint="eastAsia" w:eastAsia="黑体"/>
          <w:b/>
          <w:bCs w:val="0"/>
          <w:sz w:val="28"/>
          <w:szCs w:val="28"/>
        </w:rPr>
        <w:t>十、创新性成果</w:t>
      </w:r>
    </w:p>
    <w:p w14:paraId="78903EC9">
      <w:pPr>
        <w:spacing w:line="360" w:lineRule="auto"/>
        <w:ind w:firstLine="480" w:firstLineChars="200"/>
        <w:rPr>
          <w:rFonts w:eastAsiaTheme="minorEastAsia"/>
          <w:iCs/>
          <w:sz w:val="24"/>
          <w:highlight w:val="yellow"/>
        </w:rPr>
      </w:pPr>
      <w:r>
        <w:rPr>
          <w:rFonts w:hint="eastAsia" w:eastAsiaTheme="minorEastAsia"/>
          <w:iCs/>
          <w:sz w:val="24"/>
        </w:rPr>
        <w:t>鼓励本专业硕士研究生参与科学研究，取得创新性成果。</w:t>
      </w:r>
    </w:p>
    <w:p w14:paraId="3751B6F0">
      <w:pPr>
        <w:spacing w:line="360" w:lineRule="auto"/>
        <w:ind w:firstLine="562" w:firstLineChars="200"/>
        <w:rPr>
          <w:rFonts w:hint="eastAsia" w:eastAsia="黑体"/>
          <w:b/>
          <w:bCs w:val="0"/>
          <w:sz w:val="28"/>
          <w:szCs w:val="28"/>
        </w:rPr>
      </w:pPr>
      <w:r>
        <w:rPr>
          <w:rFonts w:hint="eastAsia" w:eastAsia="黑体"/>
          <w:b/>
          <w:bCs w:val="0"/>
          <w:sz w:val="28"/>
          <w:szCs w:val="28"/>
        </w:rPr>
        <w:t>十一、学位授予</w:t>
      </w:r>
    </w:p>
    <w:p w14:paraId="50E2913B">
      <w:pPr>
        <w:spacing w:line="360" w:lineRule="auto"/>
        <w:ind w:firstLine="480" w:firstLineChars="200"/>
        <w:rPr>
          <w:color w:val="222222"/>
          <w:kern w:val="0"/>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满足本中心制定的创新性成果要求，符合《河北大学博士、硕士学位授予工作实施细则》（校政字〔2025〕7号）的有关规定，达到学校学位授予标准，经学校学位评定委员会审议，授予硕士学位。</w:t>
      </w:r>
    </w:p>
    <w:p w14:paraId="58D60724">
      <w:pPr>
        <w:spacing w:line="360" w:lineRule="auto"/>
        <w:ind w:firstLine="562" w:firstLineChars="200"/>
        <w:rPr>
          <w:rFonts w:hint="eastAsia" w:eastAsia="黑体"/>
          <w:b/>
          <w:bCs w:val="0"/>
          <w:sz w:val="28"/>
          <w:szCs w:val="28"/>
        </w:rPr>
      </w:pPr>
      <w:r>
        <w:rPr>
          <w:rFonts w:hint="eastAsia" w:eastAsia="黑体"/>
          <w:b/>
          <w:bCs w:val="0"/>
          <w:sz w:val="28"/>
          <w:szCs w:val="28"/>
        </w:rPr>
        <w:t>十二、学分及课程设置</w:t>
      </w:r>
    </w:p>
    <w:p w14:paraId="080F6A51">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2</w:t>
      </w:r>
      <w:r>
        <w:rPr>
          <w:rFonts w:eastAsiaTheme="minorEastAsia"/>
          <w:sz w:val="24"/>
        </w:rPr>
        <w:t>5分，其中学位课</w:t>
      </w:r>
      <w:r>
        <w:rPr>
          <w:rFonts w:hint="eastAsia" w:eastAsiaTheme="minorEastAsia"/>
          <w:sz w:val="24"/>
        </w:rPr>
        <w:t>12</w:t>
      </w:r>
      <w:r>
        <w:rPr>
          <w:rFonts w:eastAsiaTheme="minorEastAsia"/>
          <w:sz w:val="24"/>
        </w:rPr>
        <w:t>学分，非学位课</w:t>
      </w:r>
      <w:r>
        <w:rPr>
          <w:rFonts w:hint="eastAsia" w:eastAsiaTheme="minorEastAsia"/>
          <w:sz w:val="24"/>
        </w:rPr>
        <w:t>12</w:t>
      </w:r>
      <w:r>
        <w:rPr>
          <w:rFonts w:eastAsiaTheme="minorEastAsia"/>
          <w:sz w:val="24"/>
        </w:rPr>
        <w:t>学分</w:t>
      </w:r>
      <w:r>
        <w:rPr>
          <w:rFonts w:hint="eastAsia" w:eastAsiaTheme="minorEastAsia"/>
          <w:sz w:val="24"/>
        </w:rPr>
        <w:t>，参加学术活动1学分</w:t>
      </w:r>
      <w:r>
        <w:rPr>
          <w:rFonts w:eastAsiaTheme="minorEastAsia"/>
          <w:sz w:val="24"/>
        </w:rPr>
        <w:t>。</w:t>
      </w:r>
    </w:p>
    <w:p w14:paraId="43501989">
      <w:pPr>
        <w:spacing w:line="360" w:lineRule="auto"/>
        <w:ind w:firstLine="480" w:firstLineChars="200"/>
        <w:rPr>
          <w:rFonts w:eastAsiaTheme="minorEastAsia"/>
          <w:color w:val="000000"/>
          <w:sz w:val="24"/>
        </w:rPr>
      </w:pPr>
      <w:r>
        <w:rPr>
          <w:rFonts w:eastAsiaTheme="minorEastAsia"/>
          <w:color w:val="000000"/>
          <w:sz w:val="24"/>
        </w:rPr>
        <w:t>课程考试不设补考环节，</w:t>
      </w:r>
      <w:r>
        <w:rPr>
          <w:color w:val="000000"/>
          <w:sz w:val="24"/>
        </w:rPr>
        <w:t>考试成绩低于60分的需重修。</w:t>
      </w:r>
    </w:p>
    <w:p w14:paraId="1EE9A441">
      <w:pPr>
        <w:spacing w:line="360" w:lineRule="auto"/>
        <w:ind w:firstLine="480"/>
        <w:rPr>
          <w:rFonts w:eastAsiaTheme="minorEastAsia"/>
          <w:iCs/>
          <w:color w:val="FF0000"/>
          <w:sz w:val="24"/>
        </w:rPr>
      </w:pPr>
      <w:r>
        <w:rPr>
          <w:rFonts w:hint="eastAsia" w:ascii="宋体" w:hAnsi="宋体"/>
          <w:color w:val="000000"/>
          <w:sz w:val="24"/>
        </w:rPr>
        <w:t>课程考核方式包括考试和考查，采用笔试、读书报告、论文的形式，重点考察学生对所学课程掌握的程度及运用知识的能力，</w:t>
      </w:r>
      <w:r>
        <w:rPr>
          <w:rFonts w:hint="eastAsia"/>
          <w:color w:val="000000"/>
          <w:sz w:val="24"/>
        </w:rPr>
        <w:t>考试成绩均按百分成绩评定。</w:t>
      </w:r>
    </w:p>
    <w:p w14:paraId="7C3DAE35">
      <w:pPr>
        <w:spacing w:after="156" w:afterLines="50" w:line="440" w:lineRule="exact"/>
        <w:ind w:firstLine="482" w:firstLineChars="200"/>
        <w:jc w:val="center"/>
        <w:rPr>
          <w:rFonts w:eastAsiaTheme="minorEastAsia"/>
          <w:b/>
          <w:bCs/>
          <w:sz w:val="24"/>
        </w:rPr>
      </w:pPr>
      <w:r>
        <w:rPr>
          <w:rFonts w:hint="eastAsia" w:eastAsiaTheme="minorEastAsia"/>
          <w:b/>
          <w:bCs/>
          <w:sz w:val="24"/>
        </w:rPr>
        <w:t>科学技术史</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3FC4D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2694610">
            <w:pPr>
              <w:jc w:val="center"/>
              <w:rPr>
                <w:b/>
                <w:color w:val="auto"/>
                <w:szCs w:val="21"/>
              </w:rPr>
            </w:pPr>
            <w:r>
              <w:rPr>
                <w:b/>
                <w:color w:val="auto"/>
                <w:szCs w:val="21"/>
              </w:rPr>
              <w:t>课程类别</w:t>
            </w:r>
          </w:p>
        </w:tc>
        <w:tc>
          <w:tcPr>
            <w:tcW w:w="3516" w:type="dxa"/>
            <w:vAlign w:val="center"/>
          </w:tcPr>
          <w:p w14:paraId="08D3FA38">
            <w:pPr>
              <w:jc w:val="center"/>
              <w:rPr>
                <w:b/>
                <w:color w:val="auto"/>
                <w:szCs w:val="21"/>
              </w:rPr>
            </w:pPr>
            <w:r>
              <w:rPr>
                <w:b/>
                <w:color w:val="auto"/>
                <w:szCs w:val="21"/>
              </w:rPr>
              <w:t>课程说明</w:t>
            </w:r>
          </w:p>
        </w:tc>
        <w:tc>
          <w:tcPr>
            <w:tcW w:w="1081" w:type="dxa"/>
            <w:vAlign w:val="center"/>
          </w:tcPr>
          <w:p w14:paraId="2BD41F7A">
            <w:pPr>
              <w:jc w:val="center"/>
              <w:rPr>
                <w:b/>
                <w:color w:val="auto"/>
                <w:szCs w:val="21"/>
              </w:rPr>
            </w:pPr>
            <w:r>
              <w:rPr>
                <w:b/>
                <w:color w:val="auto"/>
                <w:szCs w:val="21"/>
              </w:rPr>
              <w:t>课程编号</w:t>
            </w:r>
          </w:p>
        </w:tc>
        <w:tc>
          <w:tcPr>
            <w:tcW w:w="709" w:type="dxa"/>
            <w:vAlign w:val="center"/>
          </w:tcPr>
          <w:p w14:paraId="6C157814">
            <w:pPr>
              <w:jc w:val="center"/>
              <w:rPr>
                <w:b/>
                <w:color w:val="auto"/>
                <w:szCs w:val="21"/>
              </w:rPr>
            </w:pPr>
            <w:r>
              <w:rPr>
                <w:b/>
                <w:color w:val="auto"/>
                <w:szCs w:val="21"/>
              </w:rPr>
              <w:t>学分</w:t>
            </w:r>
          </w:p>
        </w:tc>
        <w:tc>
          <w:tcPr>
            <w:tcW w:w="709" w:type="dxa"/>
            <w:vAlign w:val="center"/>
          </w:tcPr>
          <w:p w14:paraId="3493CB06">
            <w:pPr>
              <w:jc w:val="center"/>
              <w:rPr>
                <w:b/>
                <w:color w:val="auto"/>
                <w:szCs w:val="21"/>
              </w:rPr>
            </w:pPr>
            <w:r>
              <w:rPr>
                <w:b/>
                <w:color w:val="auto"/>
                <w:szCs w:val="21"/>
              </w:rPr>
              <w:t>学期</w:t>
            </w:r>
          </w:p>
        </w:tc>
        <w:tc>
          <w:tcPr>
            <w:tcW w:w="1045" w:type="dxa"/>
            <w:vAlign w:val="center"/>
          </w:tcPr>
          <w:p w14:paraId="04E7773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4C3B9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5982799B">
            <w:pPr>
              <w:jc w:val="center"/>
              <w:rPr>
                <w:b/>
                <w:color w:val="auto"/>
                <w:sz w:val="18"/>
                <w:szCs w:val="18"/>
              </w:rPr>
            </w:pPr>
            <w:r>
              <w:rPr>
                <w:b/>
                <w:color w:val="auto"/>
                <w:sz w:val="18"/>
                <w:szCs w:val="18"/>
              </w:rPr>
              <w:t>学位课</w:t>
            </w:r>
          </w:p>
        </w:tc>
        <w:tc>
          <w:tcPr>
            <w:tcW w:w="1226" w:type="dxa"/>
            <w:vMerge w:val="restart"/>
            <w:vAlign w:val="center"/>
          </w:tcPr>
          <w:p w14:paraId="09107DB9">
            <w:pPr>
              <w:jc w:val="center"/>
              <w:rPr>
                <w:b/>
                <w:color w:val="auto"/>
                <w:sz w:val="18"/>
                <w:szCs w:val="18"/>
              </w:rPr>
            </w:pPr>
            <w:r>
              <w:rPr>
                <w:b/>
                <w:color w:val="auto"/>
                <w:sz w:val="18"/>
                <w:szCs w:val="18"/>
              </w:rPr>
              <w:t>公共必修课</w:t>
            </w:r>
          </w:p>
          <w:p w14:paraId="7FE1DEAC">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2D65543D">
            <w:pPr>
              <w:rPr>
                <w:color w:val="0000FF"/>
                <w:sz w:val="18"/>
                <w:szCs w:val="18"/>
              </w:rPr>
            </w:pPr>
            <w:r>
              <w:rPr>
                <w:color w:val="0000FF"/>
                <w:sz w:val="18"/>
                <w:szCs w:val="18"/>
              </w:rPr>
              <w:t>新时代中国特色社会主义理论与实践</w:t>
            </w:r>
          </w:p>
        </w:tc>
        <w:tc>
          <w:tcPr>
            <w:tcW w:w="1081" w:type="dxa"/>
            <w:vAlign w:val="center"/>
          </w:tcPr>
          <w:p w14:paraId="3F9B5B00">
            <w:pPr>
              <w:jc w:val="center"/>
              <w:rPr>
                <w:color w:val="0000FF"/>
                <w:sz w:val="18"/>
                <w:szCs w:val="18"/>
              </w:rPr>
            </w:pPr>
            <w:r>
              <w:rPr>
                <w:color w:val="0000FF"/>
                <w:sz w:val="18"/>
                <w:szCs w:val="18"/>
              </w:rPr>
              <w:t>TS0000001</w:t>
            </w:r>
          </w:p>
        </w:tc>
        <w:tc>
          <w:tcPr>
            <w:tcW w:w="709" w:type="dxa"/>
            <w:vAlign w:val="center"/>
          </w:tcPr>
          <w:p w14:paraId="46A38C7D">
            <w:pPr>
              <w:jc w:val="center"/>
              <w:rPr>
                <w:color w:val="auto"/>
                <w:sz w:val="18"/>
                <w:szCs w:val="18"/>
              </w:rPr>
            </w:pPr>
            <w:r>
              <w:rPr>
                <w:color w:val="auto"/>
                <w:sz w:val="18"/>
                <w:szCs w:val="18"/>
              </w:rPr>
              <w:t>2</w:t>
            </w:r>
          </w:p>
        </w:tc>
        <w:tc>
          <w:tcPr>
            <w:tcW w:w="709" w:type="dxa"/>
            <w:vAlign w:val="center"/>
          </w:tcPr>
          <w:p w14:paraId="3AD3FEF0">
            <w:pPr>
              <w:jc w:val="center"/>
              <w:rPr>
                <w:color w:val="auto"/>
                <w:sz w:val="18"/>
                <w:szCs w:val="18"/>
              </w:rPr>
            </w:pPr>
            <w:r>
              <w:rPr>
                <w:color w:val="auto"/>
                <w:sz w:val="18"/>
                <w:szCs w:val="18"/>
              </w:rPr>
              <w:t>1</w:t>
            </w:r>
          </w:p>
        </w:tc>
        <w:tc>
          <w:tcPr>
            <w:tcW w:w="1045" w:type="dxa"/>
            <w:vAlign w:val="center"/>
          </w:tcPr>
          <w:p w14:paraId="259CB9F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2DCA4E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7A12F5B3">
            <w:pPr>
              <w:jc w:val="center"/>
              <w:rPr>
                <w:b/>
                <w:color w:val="auto"/>
                <w:sz w:val="18"/>
                <w:szCs w:val="18"/>
              </w:rPr>
            </w:pPr>
          </w:p>
        </w:tc>
        <w:tc>
          <w:tcPr>
            <w:tcW w:w="1226" w:type="dxa"/>
            <w:vMerge w:val="continue"/>
            <w:vAlign w:val="center"/>
          </w:tcPr>
          <w:p w14:paraId="104E4B8A">
            <w:pPr>
              <w:jc w:val="center"/>
              <w:rPr>
                <w:b/>
                <w:color w:val="auto"/>
                <w:sz w:val="18"/>
                <w:szCs w:val="18"/>
              </w:rPr>
            </w:pPr>
          </w:p>
        </w:tc>
        <w:tc>
          <w:tcPr>
            <w:tcW w:w="3516" w:type="dxa"/>
            <w:vAlign w:val="center"/>
          </w:tcPr>
          <w:p w14:paraId="7DCB141F">
            <w:pPr>
              <w:rPr>
                <w:color w:val="0000FF"/>
                <w:sz w:val="18"/>
                <w:szCs w:val="18"/>
              </w:rPr>
            </w:pPr>
            <w:r>
              <w:rPr>
                <w:color w:val="0000FF"/>
                <w:sz w:val="18"/>
                <w:szCs w:val="18"/>
              </w:rPr>
              <w:t>通用学术英语</w:t>
            </w:r>
          </w:p>
        </w:tc>
        <w:tc>
          <w:tcPr>
            <w:tcW w:w="1081" w:type="dxa"/>
            <w:vAlign w:val="center"/>
          </w:tcPr>
          <w:p w14:paraId="1540D6E5">
            <w:pPr>
              <w:jc w:val="center"/>
              <w:rPr>
                <w:color w:val="0000FF"/>
                <w:sz w:val="18"/>
                <w:szCs w:val="18"/>
              </w:rPr>
            </w:pPr>
            <w:r>
              <w:rPr>
                <w:color w:val="0000FF"/>
                <w:sz w:val="18"/>
                <w:szCs w:val="18"/>
              </w:rPr>
              <w:t>TS0000002</w:t>
            </w:r>
          </w:p>
        </w:tc>
        <w:tc>
          <w:tcPr>
            <w:tcW w:w="709" w:type="dxa"/>
            <w:vAlign w:val="center"/>
          </w:tcPr>
          <w:p w14:paraId="0769C291">
            <w:pPr>
              <w:jc w:val="center"/>
              <w:rPr>
                <w:color w:val="auto"/>
                <w:sz w:val="18"/>
                <w:szCs w:val="18"/>
              </w:rPr>
            </w:pPr>
            <w:r>
              <w:rPr>
                <w:color w:val="auto"/>
                <w:sz w:val="18"/>
                <w:szCs w:val="18"/>
              </w:rPr>
              <w:t>2</w:t>
            </w:r>
          </w:p>
        </w:tc>
        <w:tc>
          <w:tcPr>
            <w:tcW w:w="709" w:type="dxa"/>
            <w:vAlign w:val="center"/>
          </w:tcPr>
          <w:p w14:paraId="5B447C80">
            <w:pPr>
              <w:jc w:val="center"/>
              <w:rPr>
                <w:color w:val="auto"/>
                <w:sz w:val="18"/>
                <w:szCs w:val="18"/>
              </w:rPr>
            </w:pPr>
            <w:r>
              <w:rPr>
                <w:color w:val="auto"/>
                <w:sz w:val="18"/>
                <w:szCs w:val="18"/>
              </w:rPr>
              <w:t>1</w:t>
            </w:r>
          </w:p>
        </w:tc>
        <w:tc>
          <w:tcPr>
            <w:tcW w:w="1045" w:type="dxa"/>
            <w:vAlign w:val="center"/>
          </w:tcPr>
          <w:p w14:paraId="3204DA5F">
            <w:pPr>
              <w:jc w:val="center"/>
              <w:rPr>
                <w:sz w:val="18"/>
                <w:szCs w:val="18"/>
              </w:rPr>
            </w:pPr>
            <w:r>
              <w:rPr>
                <w:rFonts w:hint="eastAsia"/>
                <w:sz w:val="18"/>
                <w:szCs w:val="18"/>
              </w:rPr>
              <w:t>考查</w:t>
            </w:r>
          </w:p>
        </w:tc>
      </w:tr>
      <w:tr w14:paraId="13C54C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ED6D994">
            <w:pPr>
              <w:jc w:val="center"/>
              <w:rPr>
                <w:b/>
                <w:color w:val="auto"/>
                <w:sz w:val="18"/>
                <w:szCs w:val="18"/>
              </w:rPr>
            </w:pPr>
          </w:p>
        </w:tc>
        <w:tc>
          <w:tcPr>
            <w:tcW w:w="1226" w:type="dxa"/>
            <w:vMerge w:val="restart"/>
            <w:vAlign w:val="center"/>
          </w:tcPr>
          <w:p w14:paraId="5F4F4DA9">
            <w:pPr>
              <w:jc w:val="center"/>
              <w:rPr>
                <w:b/>
                <w:color w:val="auto"/>
                <w:sz w:val="18"/>
                <w:szCs w:val="18"/>
              </w:rPr>
            </w:pPr>
            <w:r>
              <w:rPr>
                <w:b/>
                <w:color w:val="auto"/>
                <w:sz w:val="18"/>
                <w:szCs w:val="18"/>
              </w:rPr>
              <w:t>学科基础课</w:t>
            </w:r>
          </w:p>
          <w:p w14:paraId="33E733C2">
            <w:pPr>
              <w:jc w:val="center"/>
              <w:rPr>
                <w:b/>
                <w:color w:val="auto"/>
                <w:sz w:val="18"/>
                <w:szCs w:val="18"/>
              </w:rPr>
            </w:pPr>
            <w:r>
              <w:rPr>
                <w:rFonts w:hint="eastAsia"/>
                <w:b/>
                <w:color w:val="auto"/>
                <w:sz w:val="18"/>
                <w:szCs w:val="18"/>
              </w:rPr>
              <w:t>（4学分）</w:t>
            </w:r>
          </w:p>
        </w:tc>
        <w:tc>
          <w:tcPr>
            <w:tcW w:w="3516" w:type="dxa"/>
            <w:vAlign w:val="center"/>
          </w:tcPr>
          <w:p w14:paraId="0DCE9D94">
            <w:pPr>
              <w:rPr>
                <w:color w:val="auto"/>
                <w:sz w:val="18"/>
                <w:szCs w:val="18"/>
              </w:rPr>
            </w:pPr>
            <w:r>
              <w:rPr>
                <w:color w:val="auto"/>
                <w:sz w:val="18"/>
                <w:szCs w:val="18"/>
              </w:rPr>
              <w:t>学术道德与论文写作</w:t>
            </w:r>
          </w:p>
        </w:tc>
        <w:tc>
          <w:tcPr>
            <w:tcW w:w="1081" w:type="dxa"/>
            <w:vAlign w:val="center"/>
          </w:tcPr>
          <w:p w14:paraId="48C96D6C">
            <w:pPr>
              <w:jc w:val="center"/>
              <w:rPr>
                <w:rFonts w:hint="eastAsia" w:eastAsia="宋体"/>
                <w:i/>
                <w:color w:val="auto"/>
                <w:sz w:val="18"/>
                <w:szCs w:val="18"/>
                <w:lang w:eastAsia="zh-CN"/>
              </w:rPr>
            </w:pPr>
            <w:r>
              <w:rPr>
                <w:rFonts w:hint="eastAsia"/>
                <w:color w:val="auto"/>
                <w:sz w:val="18"/>
                <w:szCs w:val="18"/>
              </w:rPr>
              <w:t>XS350300</w:t>
            </w:r>
            <w:r>
              <w:rPr>
                <w:rFonts w:hint="eastAsia"/>
                <w:color w:val="auto"/>
                <w:sz w:val="18"/>
                <w:szCs w:val="18"/>
                <w:lang w:val="en-US" w:eastAsia="zh-CN"/>
              </w:rPr>
              <w:t>4</w:t>
            </w:r>
          </w:p>
        </w:tc>
        <w:tc>
          <w:tcPr>
            <w:tcW w:w="709" w:type="dxa"/>
            <w:vAlign w:val="center"/>
          </w:tcPr>
          <w:p w14:paraId="167A7DC3">
            <w:pPr>
              <w:spacing w:line="360" w:lineRule="auto"/>
              <w:jc w:val="center"/>
              <w:rPr>
                <w:color w:val="auto"/>
                <w:sz w:val="18"/>
                <w:szCs w:val="18"/>
              </w:rPr>
            </w:pPr>
            <w:r>
              <w:rPr>
                <w:rFonts w:hint="eastAsia"/>
                <w:color w:val="auto"/>
                <w:sz w:val="18"/>
                <w:szCs w:val="18"/>
              </w:rPr>
              <w:t>2</w:t>
            </w:r>
          </w:p>
        </w:tc>
        <w:tc>
          <w:tcPr>
            <w:tcW w:w="709" w:type="dxa"/>
            <w:vAlign w:val="center"/>
          </w:tcPr>
          <w:p w14:paraId="5956644A">
            <w:pPr>
              <w:spacing w:line="360" w:lineRule="auto"/>
              <w:jc w:val="center"/>
              <w:rPr>
                <w:color w:val="auto"/>
                <w:sz w:val="18"/>
                <w:szCs w:val="18"/>
              </w:rPr>
            </w:pPr>
            <w:r>
              <w:rPr>
                <w:rFonts w:hint="eastAsia"/>
                <w:color w:val="auto"/>
                <w:sz w:val="18"/>
                <w:szCs w:val="18"/>
              </w:rPr>
              <w:t>1</w:t>
            </w:r>
          </w:p>
        </w:tc>
        <w:tc>
          <w:tcPr>
            <w:tcW w:w="1045" w:type="dxa"/>
            <w:vAlign w:val="center"/>
          </w:tcPr>
          <w:p w14:paraId="09F91AD7">
            <w:pPr>
              <w:jc w:val="center"/>
              <w:rPr>
                <w:i/>
                <w:color w:val="FF0000"/>
                <w:sz w:val="18"/>
                <w:szCs w:val="18"/>
              </w:rPr>
            </w:pPr>
            <w:r>
              <w:rPr>
                <w:rFonts w:hint="eastAsia"/>
                <w:sz w:val="18"/>
                <w:szCs w:val="18"/>
              </w:rPr>
              <w:t>考查</w:t>
            </w:r>
          </w:p>
        </w:tc>
      </w:tr>
      <w:tr w14:paraId="6E791A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89E55D5">
            <w:pPr>
              <w:jc w:val="center"/>
              <w:rPr>
                <w:b/>
                <w:color w:val="auto"/>
                <w:sz w:val="18"/>
                <w:szCs w:val="18"/>
              </w:rPr>
            </w:pPr>
          </w:p>
        </w:tc>
        <w:tc>
          <w:tcPr>
            <w:tcW w:w="1226" w:type="dxa"/>
            <w:vMerge w:val="continue"/>
            <w:vAlign w:val="center"/>
          </w:tcPr>
          <w:p w14:paraId="50AD65AB">
            <w:pPr>
              <w:jc w:val="center"/>
              <w:rPr>
                <w:b/>
                <w:color w:val="auto"/>
                <w:sz w:val="18"/>
                <w:szCs w:val="18"/>
              </w:rPr>
            </w:pPr>
          </w:p>
        </w:tc>
        <w:tc>
          <w:tcPr>
            <w:tcW w:w="3516" w:type="dxa"/>
            <w:vAlign w:val="center"/>
          </w:tcPr>
          <w:p w14:paraId="72D4F3E7">
            <w:pPr>
              <w:rPr>
                <w:color w:val="auto"/>
              </w:rPr>
            </w:pPr>
            <w:r>
              <w:rPr>
                <w:rFonts w:hint="eastAsia"/>
                <w:color w:val="auto"/>
                <w:sz w:val="18"/>
                <w:szCs w:val="18"/>
              </w:rPr>
              <w:t>科技史</w:t>
            </w:r>
            <w:r>
              <w:rPr>
                <w:rFonts w:hint="eastAsia"/>
                <w:color w:val="auto"/>
                <w:sz w:val="18"/>
                <w:szCs w:val="18"/>
                <w:lang w:val="en-US" w:eastAsia="zh-CN"/>
              </w:rPr>
              <w:t>的</w:t>
            </w:r>
            <w:r>
              <w:rPr>
                <w:rFonts w:hint="eastAsia"/>
                <w:color w:val="auto"/>
                <w:sz w:val="18"/>
                <w:szCs w:val="18"/>
              </w:rPr>
              <w:t>理论与方法</w:t>
            </w:r>
          </w:p>
        </w:tc>
        <w:tc>
          <w:tcPr>
            <w:tcW w:w="1081" w:type="dxa"/>
            <w:vAlign w:val="center"/>
          </w:tcPr>
          <w:p w14:paraId="42985AB0">
            <w:pPr>
              <w:rPr>
                <w:color w:val="auto"/>
              </w:rPr>
            </w:pPr>
            <w:r>
              <w:rPr>
                <w:rFonts w:hint="eastAsia"/>
                <w:color w:val="auto"/>
                <w:sz w:val="18"/>
                <w:szCs w:val="18"/>
              </w:rPr>
              <w:t>XS3503002</w:t>
            </w:r>
          </w:p>
        </w:tc>
        <w:tc>
          <w:tcPr>
            <w:tcW w:w="709" w:type="dxa"/>
            <w:vAlign w:val="center"/>
          </w:tcPr>
          <w:p w14:paraId="7B3AF073">
            <w:pPr>
              <w:jc w:val="center"/>
              <w:rPr>
                <w:color w:val="auto"/>
              </w:rPr>
            </w:pPr>
            <w:r>
              <w:rPr>
                <w:rFonts w:hint="eastAsia"/>
                <w:color w:val="auto"/>
                <w:sz w:val="18"/>
                <w:szCs w:val="18"/>
              </w:rPr>
              <w:t>2</w:t>
            </w:r>
          </w:p>
        </w:tc>
        <w:tc>
          <w:tcPr>
            <w:tcW w:w="709" w:type="dxa"/>
            <w:vAlign w:val="center"/>
          </w:tcPr>
          <w:p w14:paraId="2AF82E75">
            <w:pPr>
              <w:jc w:val="center"/>
              <w:rPr>
                <w:color w:val="auto"/>
              </w:rPr>
            </w:pPr>
            <w:r>
              <w:rPr>
                <w:rFonts w:hint="eastAsia"/>
                <w:color w:val="auto"/>
                <w:sz w:val="18"/>
                <w:szCs w:val="18"/>
              </w:rPr>
              <w:t>1</w:t>
            </w:r>
          </w:p>
        </w:tc>
        <w:tc>
          <w:tcPr>
            <w:tcW w:w="1045" w:type="dxa"/>
            <w:vAlign w:val="center"/>
          </w:tcPr>
          <w:p w14:paraId="4DC9D927">
            <w:pPr>
              <w:jc w:val="center"/>
            </w:pPr>
            <w:r>
              <w:rPr>
                <w:rFonts w:hint="eastAsia"/>
                <w:iCs/>
                <w:sz w:val="18"/>
                <w:szCs w:val="18"/>
              </w:rPr>
              <w:t>考查</w:t>
            </w:r>
          </w:p>
        </w:tc>
      </w:tr>
      <w:tr w14:paraId="22C7CC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571" w:type="dxa"/>
            <w:vMerge w:val="continue"/>
            <w:vAlign w:val="center"/>
          </w:tcPr>
          <w:p w14:paraId="1467DD08">
            <w:pPr>
              <w:jc w:val="center"/>
              <w:rPr>
                <w:b/>
                <w:color w:val="auto"/>
                <w:sz w:val="18"/>
                <w:szCs w:val="18"/>
              </w:rPr>
            </w:pPr>
          </w:p>
        </w:tc>
        <w:tc>
          <w:tcPr>
            <w:tcW w:w="1226" w:type="dxa"/>
            <w:vMerge w:val="restart"/>
            <w:vAlign w:val="center"/>
          </w:tcPr>
          <w:p w14:paraId="68ED29F1">
            <w:pPr>
              <w:jc w:val="center"/>
              <w:rPr>
                <w:b/>
                <w:color w:val="auto"/>
                <w:sz w:val="18"/>
                <w:szCs w:val="18"/>
              </w:rPr>
            </w:pPr>
            <w:r>
              <w:rPr>
                <w:b/>
                <w:color w:val="auto"/>
                <w:sz w:val="18"/>
                <w:szCs w:val="18"/>
              </w:rPr>
              <w:t>专业必修课</w:t>
            </w:r>
          </w:p>
          <w:p w14:paraId="4E5E14FB">
            <w:pPr>
              <w:jc w:val="center"/>
              <w:rPr>
                <w:b/>
                <w:color w:val="auto"/>
                <w:sz w:val="18"/>
                <w:szCs w:val="18"/>
              </w:rPr>
            </w:pPr>
            <w:r>
              <w:rPr>
                <w:rFonts w:hint="eastAsia"/>
                <w:b/>
                <w:color w:val="auto"/>
                <w:sz w:val="18"/>
                <w:szCs w:val="18"/>
              </w:rPr>
              <w:t>（4学分）</w:t>
            </w:r>
          </w:p>
        </w:tc>
        <w:tc>
          <w:tcPr>
            <w:tcW w:w="3516" w:type="dxa"/>
            <w:vAlign w:val="bottom"/>
          </w:tcPr>
          <w:p w14:paraId="2E3670BE">
            <w:pPr>
              <w:adjustRightInd w:val="0"/>
              <w:snapToGrid w:val="0"/>
              <w:spacing w:line="360" w:lineRule="auto"/>
              <w:rPr>
                <w:color w:val="auto"/>
                <w:sz w:val="18"/>
                <w:szCs w:val="18"/>
              </w:rPr>
            </w:pPr>
            <w:r>
              <w:rPr>
                <w:rFonts w:hint="eastAsia"/>
                <w:color w:val="auto"/>
                <w:sz w:val="18"/>
                <w:szCs w:val="18"/>
              </w:rPr>
              <w:t>中国科学技术史</w:t>
            </w:r>
          </w:p>
        </w:tc>
        <w:tc>
          <w:tcPr>
            <w:tcW w:w="1081" w:type="dxa"/>
            <w:vAlign w:val="bottom"/>
          </w:tcPr>
          <w:p w14:paraId="13439189">
            <w:pPr>
              <w:spacing w:line="360" w:lineRule="auto"/>
              <w:jc w:val="center"/>
              <w:rPr>
                <w:color w:val="auto"/>
                <w:sz w:val="18"/>
                <w:szCs w:val="18"/>
              </w:rPr>
            </w:pPr>
            <w:r>
              <w:rPr>
                <w:rFonts w:hint="eastAsia"/>
                <w:color w:val="auto"/>
                <w:sz w:val="18"/>
                <w:szCs w:val="18"/>
              </w:rPr>
              <w:t>XS3503003</w:t>
            </w:r>
          </w:p>
        </w:tc>
        <w:tc>
          <w:tcPr>
            <w:tcW w:w="709" w:type="dxa"/>
            <w:vAlign w:val="bottom"/>
          </w:tcPr>
          <w:p w14:paraId="4A4439D2">
            <w:pPr>
              <w:spacing w:line="360" w:lineRule="auto"/>
              <w:jc w:val="center"/>
              <w:rPr>
                <w:color w:val="auto"/>
              </w:rPr>
            </w:pPr>
            <w:r>
              <w:rPr>
                <w:rFonts w:hint="eastAsia"/>
                <w:color w:val="auto"/>
                <w:sz w:val="18"/>
                <w:szCs w:val="18"/>
              </w:rPr>
              <w:t>2</w:t>
            </w:r>
          </w:p>
        </w:tc>
        <w:tc>
          <w:tcPr>
            <w:tcW w:w="709" w:type="dxa"/>
            <w:vAlign w:val="bottom"/>
          </w:tcPr>
          <w:p w14:paraId="6BDB59C7">
            <w:pPr>
              <w:spacing w:line="360" w:lineRule="auto"/>
              <w:jc w:val="center"/>
              <w:rPr>
                <w:color w:val="auto"/>
              </w:rPr>
            </w:pPr>
            <w:r>
              <w:rPr>
                <w:rFonts w:hint="eastAsia"/>
                <w:color w:val="auto"/>
                <w:sz w:val="18"/>
                <w:szCs w:val="18"/>
              </w:rPr>
              <w:t>1</w:t>
            </w:r>
          </w:p>
        </w:tc>
        <w:tc>
          <w:tcPr>
            <w:tcW w:w="1045" w:type="dxa"/>
            <w:vAlign w:val="center"/>
          </w:tcPr>
          <w:p w14:paraId="4A5C5078">
            <w:pPr>
              <w:jc w:val="center"/>
              <w:rPr>
                <w:iCs/>
                <w:color w:val="auto"/>
                <w:sz w:val="18"/>
                <w:szCs w:val="18"/>
              </w:rPr>
            </w:pPr>
            <w:r>
              <w:rPr>
                <w:rFonts w:hint="eastAsia"/>
                <w:iCs/>
                <w:color w:val="auto"/>
                <w:sz w:val="18"/>
                <w:szCs w:val="18"/>
              </w:rPr>
              <w:t>考查</w:t>
            </w:r>
          </w:p>
        </w:tc>
      </w:tr>
      <w:tr w14:paraId="06D1B1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7" w:hRule="atLeast"/>
          <w:jc w:val="center"/>
        </w:trPr>
        <w:tc>
          <w:tcPr>
            <w:tcW w:w="571" w:type="dxa"/>
            <w:vMerge w:val="continue"/>
            <w:vAlign w:val="center"/>
          </w:tcPr>
          <w:p w14:paraId="1E378111">
            <w:pPr>
              <w:jc w:val="center"/>
              <w:rPr>
                <w:b/>
                <w:color w:val="auto"/>
                <w:sz w:val="18"/>
                <w:szCs w:val="18"/>
              </w:rPr>
            </w:pPr>
          </w:p>
        </w:tc>
        <w:tc>
          <w:tcPr>
            <w:tcW w:w="1226" w:type="dxa"/>
            <w:vMerge w:val="continue"/>
            <w:vAlign w:val="center"/>
          </w:tcPr>
          <w:p w14:paraId="3661AA39">
            <w:pPr>
              <w:jc w:val="center"/>
              <w:rPr>
                <w:b/>
                <w:color w:val="auto"/>
                <w:sz w:val="18"/>
                <w:szCs w:val="18"/>
              </w:rPr>
            </w:pPr>
          </w:p>
        </w:tc>
        <w:tc>
          <w:tcPr>
            <w:tcW w:w="3516" w:type="dxa"/>
            <w:vAlign w:val="center"/>
          </w:tcPr>
          <w:p w14:paraId="6F930CC9">
            <w:pPr>
              <w:rPr>
                <w:color w:val="auto"/>
                <w:sz w:val="18"/>
                <w:szCs w:val="18"/>
              </w:rPr>
            </w:pPr>
            <w:r>
              <w:rPr>
                <w:rFonts w:hint="eastAsia"/>
                <w:color w:val="auto"/>
                <w:sz w:val="18"/>
                <w:szCs w:val="18"/>
              </w:rPr>
              <w:t>历史研究法</w:t>
            </w:r>
          </w:p>
        </w:tc>
        <w:tc>
          <w:tcPr>
            <w:tcW w:w="1081" w:type="dxa"/>
            <w:vAlign w:val="center"/>
          </w:tcPr>
          <w:p w14:paraId="15438017">
            <w:pPr>
              <w:jc w:val="center"/>
              <w:rPr>
                <w:color w:val="auto"/>
                <w:sz w:val="18"/>
                <w:szCs w:val="18"/>
              </w:rPr>
            </w:pPr>
            <w:r>
              <w:rPr>
                <w:color w:val="FF0000"/>
                <w:sz w:val="18"/>
                <w:szCs w:val="18"/>
              </w:rPr>
              <w:t>XS350200</w:t>
            </w:r>
            <w:r>
              <w:rPr>
                <w:rFonts w:hint="eastAsia"/>
                <w:color w:val="FF0000"/>
                <w:sz w:val="18"/>
                <w:szCs w:val="18"/>
                <w:lang w:val="en-US" w:eastAsia="zh-CN"/>
              </w:rPr>
              <w:t>6</w:t>
            </w:r>
          </w:p>
        </w:tc>
        <w:tc>
          <w:tcPr>
            <w:tcW w:w="709" w:type="dxa"/>
            <w:vAlign w:val="center"/>
          </w:tcPr>
          <w:p w14:paraId="3C6582AD">
            <w:pPr>
              <w:jc w:val="center"/>
              <w:rPr>
                <w:color w:val="auto"/>
                <w:sz w:val="18"/>
                <w:szCs w:val="18"/>
              </w:rPr>
            </w:pPr>
            <w:r>
              <w:rPr>
                <w:rFonts w:hint="eastAsia"/>
                <w:color w:val="auto"/>
                <w:sz w:val="18"/>
                <w:szCs w:val="18"/>
              </w:rPr>
              <w:t>2</w:t>
            </w:r>
          </w:p>
        </w:tc>
        <w:tc>
          <w:tcPr>
            <w:tcW w:w="709" w:type="dxa"/>
            <w:vAlign w:val="center"/>
          </w:tcPr>
          <w:p w14:paraId="59619E45">
            <w:pPr>
              <w:jc w:val="center"/>
              <w:rPr>
                <w:color w:val="auto"/>
                <w:sz w:val="18"/>
                <w:szCs w:val="18"/>
              </w:rPr>
            </w:pPr>
            <w:r>
              <w:rPr>
                <w:rFonts w:hint="eastAsia"/>
                <w:color w:val="auto"/>
                <w:sz w:val="18"/>
                <w:szCs w:val="18"/>
              </w:rPr>
              <w:t>2</w:t>
            </w:r>
          </w:p>
        </w:tc>
        <w:tc>
          <w:tcPr>
            <w:tcW w:w="1045" w:type="dxa"/>
            <w:vAlign w:val="center"/>
          </w:tcPr>
          <w:p w14:paraId="2B3E9FBF">
            <w:pPr>
              <w:jc w:val="center"/>
              <w:rPr>
                <w:color w:val="auto"/>
                <w:sz w:val="18"/>
                <w:szCs w:val="18"/>
              </w:rPr>
            </w:pPr>
            <w:r>
              <w:rPr>
                <w:rFonts w:hint="eastAsia"/>
                <w:iCs/>
                <w:color w:val="auto"/>
                <w:sz w:val="18"/>
                <w:szCs w:val="18"/>
              </w:rPr>
              <w:t>考查</w:t>
            </w:r>
          </w:p>
        </w:tc>
      </w:tr>
      <w:tr w14:paraId="033FA5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762E3D1">
            <w:pPr>
              <w:jc w:val="center"/>
              <w:rPr>
                <w:b/>
                <w:color w:val="auto"/>
                <w:sz w:val="18"/>
                <w:szCs w:val="18"/>
              </w:rPr>
            </w:pPr>
            <w:r>
              <w:rPr>
                <w:b/>
                <w:color w:val="auto"/>
                <w:sz w:val="18"/>
                <w:szCs w:val="18"/>
              </w:rPr>
              <w:t>非学位课</w:t>
            </w:r>
          </w:p>
        </w:tc>
        <w:tc>
          <w:tcPr>
            <w:tcW w:w="1226" w:type="dxa"/>
            <w:vMerge w:val="restart"/>
            <w:vAlign w:val="center"/>
          </w:tcPr>
          <w:p w14:paraId="3FBCF809">
            <w:pPr>
              <w:jc w:val="center"/>
              <w:rPr>
                <w:b/>
                <w:color w:val="auto"/>
                <w:sz w:val="18"/>
                <w:szCs w:val="18"/>
              </w:rPr>
            </w:pPr>
            <w:r>
              <w:rPr>
                <w:b/>
                <w:color w:val="auto"/>
                <w:sz w:val="18"/>
                <w:szCs w:val="18"/>
              </w:rPr>
              <w:t>公共通识课</w:t>
            </w:r>
          </w:p>
          <w:p w14:paraId="7BAA0303">
            <w:pPr>
              <w:jc w:val="center"/>
              <w:rPr>
                <w:b/>
                <w:color w:val="auto"/>
                <w:sz w:val="18"/>
                <w:szCs w:val="18"/>
              </w:rPr>
            </w:pPr>
            <w:r>
              <w:rPr>
                <w:b/>
                <w:color w:val="auto"/>
                <w:sz w:val="18"/>
                <w:szCs w:val="18"/>
              </w:rPr>
              <w:t>（2学分）</w:t>
            </w:r>
          </w:p>
        </w:tc>
        <w:tc>
          <w:tcPr>
            <w:tcW w:w="3516" w:type="dxa"/>
            <w:vAlign w:val="center"/>
          </w:tcPr>
          <w:p w14:paraId="0972E122">
            <w:pPr>
              <w:rPr>
                <w:color w:val="0000FF"/>
                <w:sz w:val="18"/>
                <w:szCs w:val="18"/>
              </w:rPr>
            </w:pPr>
            <w:r>
              <w:rPr>
                <w:color w:val="0000FF"/>
                <w:sz w:val="18"/>
                <w:szCs w:val="18"/>
              </w:rPr>
              <w:t>《习近平谈治国理政》研读</w:t>
            </w:r>
          </w:p>
        </w:tc>
        <w:tc>
          <w:tcPr>
            <w:tcW w:w="1081" w:type="dxa"/>
            <w:vAlign w:val="center"/>
          </w:tcPr>
          <w:p w14:paraId="497A4F76">
            <w:pPr>
              <w:jc w:val="center"/>
              <w:rPr>
                <w:color w:val="0000FF"/>
                <w:sz w:val="18"/>
                <w:szCs w:val="18"/>
              </w:rPr>
            </w:pPr>
            <w:r>
              <w:rPr>
                <w:color w:val="0000FF"/>
                <w:sz w:val="18"/>
                <w:szCs w:val="18"/>
              </w:rPr>
              <w:t>TT0000101</w:t>
            </w:r>
          </w:p>
        </w:tc>
        <w:tc>
          <w:tcPr>
            <w:tcW w:w="709" w:type="dxa"/>
            <w:vAlign w:val="center"/>
          </w:tcPr>
          <w:p w14:paraId="44DF510B">
            <w:pPr>
              <w:jc w:val="center"/>
              <w:rPr>
                <w:color w:val="auto"/>
                <w:sz w:val="18"/>
                <w:szCs w:val="18"/>
              </w:rPr>
            </w:pPr>
            <w:r>
              <w:rPr>
                <w:color w:val="auto"/>
                <w:sz w:val="18"/>
                <w:szCs w:val="18"/>
              </w:rPr>
              <w:t>1</w:t>
            </w:r>
          </w:p>
        </w:tc>
        <w:tc>
          <w:tcPr>
            <w:tcW w:w="709" w:type="dxa"/>
            <w:vAlign w:val="center"/>
          </w:tcPr>
          <w:p w14:paraId="6346DAFD">
            <w:pPr>
              <w:jc w:val="center"/>
              <w:rPr>
                <w:color w:val="auto"/>
                <w:sz w:val="18"/>
                <w:szCs w:val="18"/>
              </w:rPr>
            </w:pPr>
            <w:r>
              <w:rPr>
                <w:color w:val="auto"/>
                <w:sz w:val="18"/>
                <w:szCs w:val="18"/>
              </w:rPr>
              <w:t>2</w:t>
            </w:r>
          </w:p>
        </w:tc>
        <w:tc>
          <w:tcPr>
            <w:tcW w:w="1045" w:type="dxa"/>
            <w:vAlign w:val="center"/>
          </w:tcPr>
          <w:p w14:paraId="3BC25B37">
            <w:pPr>
              <w:jc w:val="center"/>
              <w:rPr>
                <w:color w:val="auto"/>
                <w:sz w:val="18"/>
                <w:szCs w:val="18"/>
              </w:rPr>
            </w:pPr>
            <w:r>
              <w:rPr>
                <w:color w:val="auto"/>
                <w:sz w:val="18"/>
                <w:szCs w:val="18"/>
              </w:rPr>
              <w:t>考查</w:t>
            </w:r>
          </w:p>
        </w:tc>
      </w:tr>
      <w:tr w14:paraId="097A14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854760A">
            <w:pPr>
              <w:jc w:val="center"/>
              <w:rPr>
                <w:b/>
                <w:color w:val="auto"/>
                <w:sz w:val="18"/>
                <w:szCs w:val="18"/>
              </w:rPr>
            </w:pPr>
          </w:p>
        </w:tc>
        <w:tc>
          <w:tcPr>
            <w:tcW w:w="1226" w:type="dxa"/>
            <w:vMerge w:val="continue"/>
            <w:vAlign w:val="center"/>
          </w:tcPr>
          <w:p w14:paraId="39CF608A">
            <w:pPr>
              <w:jc w:val="center"/>
              <w:rPr>
                <w:b/>
                <w:color w:val="auto"/>
                <w:sz w:val="18"/>
                <w:szCs w:val="18"/>
              </w:rPr>
            </w:pPr>
          </w:p>
        </w:tc>
        <w:tc>
          <w:tcPr>
            <w:tcW w:w="3516" w:type="dxa"/>
            <w:vAlign w:val="center"/>
          </w:tcPr>
          <w:p w14:paraId="3326B621">
            <w:pPr>
              <w:rPr>
                <w:color w:val="0000FF"/>
                <w:sz w:val="18"/>
                <w:szCs w:val="18"/>
              </w:rPr>
            </w:pPr>
            <w:r>
              <w:rPr>
                <w:color w:val="0000FF"/>
                <w:sz w:val="18"/>
                <w:szCs w:val="18"/>
              </w:rPr>
              <w:t>马克思主义与社会科学方法论</w:t>
            </w:r>
          </w:p>
        </w:tc>
        <w:tc>
          <w:tcPr>
            <w:tcW w:w="1081" w:type="dxa"/>
            <w:vAlign w:val="center"/>
          </w:tcPr>
          <w:p w14:paraId="032A55D6">
            <w:pPr>
              <w:jc w:val="center"/>
              <w:rPr>
                <w:color w:val="0000FF"/>
                <w:sz w:val="18"/>
                <w:szCs w:val="18"/>
              </w:rPr>
            </w:pPr>
            <w:r>
              <w:rPr>
                <w:color w:val="0000FF"/>
                <w:sz w:val="18"/>
                <w:szCs w:val="18"/>
              </w:rPr>
              <w:t>TS0000101</w:t>
            </w:r>
          </w:p>
        </w:tc>
        <w:tc>
          <w:tcPr>
            <w:tcW w:w="709" w:type="dxa"/>
            <w:vAlign w:val="center"/>
          </w:tcPr>
          <w:p w14:paraId="4FFFF24E">
            <w:pPr>
              <w:jc w:val="center"/>
              <w:rPr>
                <w:color w:val="auto"/>
                <w:sz w:val="18"/>
                <w:szCs w:val="18"/>
              </w:rPr>
            </w:pPr>
            <w:r>
              <w:rPr>
                <w:color w:val="auto"/>
                <w:sz w:val="18"/>
                <w:szCs w:val="18"/>
              </w:rPr>
              <w:t>1</w:t>
            </w:r>
          </w:p>
        </w:tc>
        <w:tc>
          <w:tcPr>
            <w:tcW w:w="709" w:type="dxa"/>
            <w:vAlign w:val="center"/>
          </w:tcPr>
          <w:p w14:paraId="2DFEA55C">
            <w:pPr>
              <w:jc w:val="center"/>
              <w:rPr>
                <w:color w:val="auto"/>
                <w:sz w:val="18"/>
                <w:szCs w:val="18"/>
              </w:rPr>
            </w:pPr>
            <w:r>
              <w:rPr>
                <w:color w:val="auto"/>
                <w:sz w:val="18"/>
                <w:szCs w:val="18"/>
              </w:rPr>
              <w:t>2</w:t>
            </w:r>
          </w:p>
        </w:tc>
        <w:tc>
          <w:tcPr>
            <w:tcW w:w="1045" w:type="dxa"/>
            <w:vAlign w:val="center"/>
          </w:tcPr>
          <w:p w14:paraId="2B7ED28E">
            <w:pPr>
              <w:jc w:val="center"/>
              <w:rPr>
                <w:color w:val="auto"/>
                <w:sz w:val="18"/>
                <w:szCs w:val="18"/>
              </w:rPr>
            </w:pPr>
            <w:r>
              <w:rPr>
                <w:color w:val="auto"/>
                <w:sz w:val="18"/>
                <w:szCs w:val="18"/>
              </w:rPr>
              <w:t>考查</w:t>
            </w:r>
          </w:p>
        </w:tc>
      </w:tr>
      <w:tr w14:paraId="217F7F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2576E70">
            <w:pPr>
              <w:rPr>
                <w:b/>
                <w:color w:val="auto"/>
                <w:sz w:val="18"/>
                <w:szCs w:val="18"/>
              </w:rPr>
            </w:pPr>
          </w:p>
        </w:tc>
        <w:tc>
          <w:tcPr>
            <w:tcW w:w="1226" w:type="dxa"/>
            <w:vMerge w:val="restart"/>
            <w:vAlign w:val="center"/>
          </w:tcPr>
          <w:p w14:paraId="6E8ACEB8">
            <w:pPr>
              <w:adjustRightInd w:val="0"/>
              <w:snapToGrid w:val="0"/>
              <w:jc w:val="center"/>
              <w:rPr>
                <w:b/>
                <w:i/>
                <w:color w:val="auto"/>
                <w:sz w:val="18"/>
                <w:szCs w:val="18"/>
              </w:rPr>
            </w:pPr>
            <w:r>
              <w:rPr>
                <w:rFonts w:hint="eastAsia"/>
                <w:b/>
                <w:color w:val="auto"/>
                <w:sz w:val="18"/>
                <w:szCs w:val="18"/>
              </w:rPr>
              <w:t>科学技术史各</w:t>
            </w:r>
            <w:r>
              <w:rPr>
                <w:b/>
                <w:color w:val="auto"/>
                <w:sz w:val="18"/>
                <w:szCs w:val="18"/>
              </w:rPr>
              <w:t>方向</w:t>
            </w:r>
          </w:p>
          <w:p w14:paraId="565A3462">
            <w:pPr>
              <w:adjustRightInd w:val="0"/>
              <w:snapToGrid w:val="0"/>
              <w:jc w:val="center"/>
              <w:rPr>
                <w:b/>
                <w:color w:val="auto"/>
                <w:sz w:val="18"/>
                <w:szCs w:val="18"/>
              </w:rPr>
            </w:pPr>
            <w:r>
              <w:rPr>
                <w:b/>
                <w:color w:val="auto"/>
                <w:sz w:val="18"/>
                <w:szCs w:val="18"/>
              </w:rPr>
              <w:t>选修课</w:t>
            </w:r>
          </w:p>
        </w:tc>
        <w:tc>
          <w:tcPr>
            <w:tcW w:w="3516" w:type="dxa"/>
            <w:vAlign w:val="center"/>
          </w:tcPr>
          <w:p w14:paraId="20ADA1FF">
            <w:pPr>
              <w:spacing w:line="360" w:lineRule="auto"/>
              <w:rPr>
                <w:i/>
                <w:color w:val="auto"/>
                <w:sz w:val="18"/>
                <w:szCs w:val="18"/>
              </w:rPr>
            </w:pPr>
            <w:r>
              <w:rPr>
                <w:rFonts w:hint="eastAsia"/>
                <w:color w:val="auto"/>
                <w:sz w:val="18"/>
                <w:szCs w:val="18"/>
              </w:rPr>
              <w:t>医疗史史料精读</w:t>
            </w:r>
          </w:p>
        </w:tc>
        <w:tc>
          <w:tcPr>
            <w:tcW w:w="1081" w:type="dxa"/>
            <w:vAlign w:val="center"/>
          </w:tcPr>
          <w:p w14:paraId="5FA2E69F">
            <w:pPr>
              <w:spacing w:line="360" w:lineRule="auto"/>
              <w:jc w:val="center"/>
              <w:rPr>
                <w:color w:val="auto"/>
                <w:sz w:val="18"/>
                <w:szCs w:val="18"/>
              </w:rPr>
            </w:pPr>
            <w:r>
              <w:rPr>
                <w:rFonts w:hint="eastAsia"/>
                <w:color w:val="auto"/>
                <w:sz w:val="18"/>
                <w:szCs w:val="18"/>
              </w:rPr>
              <w:t>XS3503102</w:t>
            </w:r>
          </w:p>
        </w:tc>
        <w:tc>
          <w:tcPr>
            <w:tcW w:w="709" w:type="dxa"/>
            <w:vAlign w:val="center"/>
          </w:tcPr>
          <w:p w14:paraId="2ADA1A99">
            <w:pPr>
              <w:spacing w:line="360" w:lineRule="auto"/>
              <w:jc w:val="center"/>
              <w:rPr>
                <w:color w:val="auto"/>
                <w:sz w:val="18"/>
                <w:szCs w:val="18"/>
              </w:rPr>
            </w:pPr>
            <w:r>
              <w:rPr>
                <w:rFonts w:hint="eastAsia"/>
                <w:color w:val="auto"/>
                <w:sz w:val="18"/>
                <w:szCs w:val="18"/>
              </w:rPr>
              <w:t>2</w:t>
            </w:r>
          </w:p>
        </w:tc>
        <w:tc>
          <w:tcPr>
            <w:tcW w:w="709" w:type="dxa"/>
            <w:vAlign w:val="center"/>
          </w:tcPr>
          <w:p w14:paraId="586ED524">
            <w:pPr>
              <w:spacing w:line="360" w:lineRule="auto"/>
              <w:jc w:val="center"/>
              <w:rPr>
                <w:color w:val="auto"/>
                <w:sz w:val="18"/>
                <w:szCs w:val="18"/>
              </w:rPr>
            </w:pPr>
            <w:r>
              <w:rPr>
                <w:rFonts w:hint="eastAsia"/>
                <w:color w:val="auto"/>
                <w:sz w:val="18"/>
                <w:szCs w:val="18"/>
              </w:rPr>
              <w:t>1</w:t>
            </w:r>
          </w:p>
        </w:tc>
        <w:tc>
          <w:tcPr>
            <w:tcW w:w="1045" w:type="dxa"/>
            <w:vMerge w:val="restart"/>
            <w:vAlign w:val="center"/>
          </w:tcPr>
          <w:p w14:paraId="2E4F335E">
            <w:pPr>
              <w:adjustRightInd w:val="0"/>
              <w:snapToGrid w:val="0"/>
              <w:jc w:val="center"/>
              <w:rPr>
                <w:color w:val="auto"/>
                <w:sz w:val="18"/>
                <w:szCs w:val="18"/>
              </w:rPr>
            </w:pPr>
            <w:r>
              <w:rPr>
                <w:rFonts w:hint="eastAsia"/>
                <w:color w:val="auto"/>
                <w:sz w:val="18"/>
                <w:szCs w:val="18"/>
                <w:lang w:val="en-US" w:eastAsia="zh-CN"/>
              </w:rPr>
              <w:t>本</w:t>
            </w:r>
            <w:r>
              <w:rPr>
                <w:color w:val="auto"/>
                <w:sz w:val="18"/>
                <w:szCs w:val="18"/>
              </w:rPr>
              <w:t>方向研究生至少选修</w:t>
            </w:r>
          </w:p>
          <w:p w14:paraId="0A20F228">
            <w:pPr>
              <w:adjustRightInd w:val="0"/>
              <w:snapToGrid w:val="0"/>
              <w:jc w:val="center"/>
              <w:rPr>
                <w:color w:val="auto"/>
                <w:sz w:val="18"/>
                <w:szCs w:val="18"/>
              </w:rPr>
            </w:pPr>
            <w:r>
              <w:rPr>
                <w:rFonts w:hint="eastAsia"/>
                <w:color w:val="auto"/>
                <w:sz w:val="18"/>
                <w:szCs w:val="18"/>
              </w:rPr>
              <w:t>10</w:t>
            </w:r>
            <w:r>
              <w:rPr>
                <w:color w:val="auto"/>
                <w:sz w:val="18"/>
                <w:szCs w:val="18"/>
              </w:rPr>
              <w:t>学分</w:t>
            </w:r>
          </w:p>
        </w:tc>
      </w:tr>
      <w:tr w14:paraId="428F2E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F3F1E4">
            <w:pPr>
              <w:rPr>
                <w:b/>
                <w:color w:val="auto"/>
                <w:sz w:val="18"/>
                <w:szCs w:val="18"/>
              </w:rPr>
            </w:pPr>
          </w:p>
        </w:tc>
        <w:tc>
          <w:tcPr>
            <w:tcW w:w="1226" w:type="dxa"/>
            <w:vMerge w:val="continue"/>
            <w:vAlign w:val="center"/>
          </w:tcPr>
          <w:p w14:paraId="3D2075FE">
            <w:pPr>
              <w:jc w:val="center"/>
              <w:rPr>
                <w:b/>
                <w:color w:val="auto"/>
                <w:sz w:val="18"/>
                <w:szCs w:val="18"/>
              </w:rPr>
            </w:pPr>
          </w:p>
        </w:tc>
        <w:tc>
          <w:tcPr>
            <w:tcW w:w="3516" w:type="dxa"/>
            <w:shd w:val="clear" w:color="auto" w:fill="auto"/>
            <w:vAlign w:val="top"/>
          </w:tcPr>
          <w:p w14:paraId="62BBBB49">
            <w:pPr>
              <w:spacing w:line="360" w:lineRule="auto"/>
              <w:rPr>
                <w:rFonts w:hint="eastAsia" w:ascii="Times New Roman" w:hAnsi="Times New Roman" w:eastAsia="宋体" w:cs="Times New Roman"/>
                <w:color w:val="auto"/>
                <w:kern w:val="2"/>
                <w:sz w:val="18"/>
                <w:szCs w:val="18"/>
                <w:lang w:val="en-US" w:eastAsia="zh-CN" w:bidi="ar-SA"/>
              </w:rPr>
            </w:pPr>
            <w:r>
              <w:rPr>
                <w:rFonts w:hint="eastAsia"/>
                <w:color w:val="FF0000"/>
                <w:sz w:val="18"/>
                <w:szCs w:val="18"/>
              </w:rPr>
              <w:t>中国古代经济史</w:t>
            </w:r>
          </w:p>
        </w:tc>
        <w:tc>
          <w:tcPr>
            <w:tcW w:w="1081" w:type="dxa"/>
            <w:shd w:val="clear" w:color="auto" w:fill="auto"/>
            <w:vAlign w:val="top"/>
          </w:tcPr>
          <w:p w14:paraId="2F1652F6">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XS350210</w:t>
            </w:r>
            <w:r>
              <w:rPr>
                <w:rFonts w:hint="eastAsia"/>
                <w:color w:val="auto"/>
                <w:sz w:val="18"/>
                <w:szCs w:val="18"/>
                <w:lang w:val="en-US" w:eastAsia="zh-CN"/>
              </w:rPr>
              <w:t>3</w:t>
            </w:r>
          </w:p>
        </w:tc>
        <w:tc>
          <w:tcPr>
            <w:tcW w:w="709" w:type="dxa"/>
            <w:shd w:val="clear" w:color="auto" w:fill="auto"/>
            <w:vAlign w:val="top"/>
          </w:tcPr>
          <w:p w14:paraId="4E1E7DE1">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top"/>
          </w:tcPr>
          <w:p w14:paraId="47EA100F">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3EB3090B">
            <w:pPr>
              <w:jc w:val="center"/>
              <w:rPr>
                <w:color w:val="auto"/>
                <w:sz w:val="18"/>
                <w:szCs w:val="18"/>
              </w:rPr>
            </w:pPr>
          </w:p>
        </w:tc>
      </w:tr>
      <w:tr w14:paraId="6FE6F9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072F7C">
            <w:pPr>
              <w:rPr>
                <w:b/>
                <w:color w:val="auto"/>
                <w:sz w:val="18"/>
                <w:szCs w:val="18"/>
              </w:rPr>
            </w:pPr>
          </w:p>
        </w:tc>
        <w:tc>
          <w:tcPr>
            <w:tcW w:w="1226" w:type="dxa"/>
            <w:vMerge w:val="continue"/>
            <w:vAlign w:val="center"/>
          </w:tcPr>
          <w:p w14:paraId="1A9F85DC">
            <w:pPr>
              <w:jc w:val="center"/>
              <w:rPr>
                <w:b/>
                <w:color w:val="auto"/>
                <w:sz w:val="18"/>
                <w:szCs w:val="18"/>
              </w:rPr>
            </w:pPr>
          </w:p>
        </w:tc>
        <w:tc>
          <w:tcPr>
            <w:tcW w:w="3516" w:type="dxa"/>
            <w:shd w:val="clear" w:color="auto" w:fill="auto"/>
            <w:vAlign w:val="top"/>
          </w:tcPr>
          <w:p w14:paraId="62B67BC4">
            <w:pPr>
              <w:rPr>
                <w:rFonts w:ascii="Times New Roman" w:hAnsi="Times New Roman" w:eastAsia="宋体" w:cs="Times New Roman"/>
                <w:color w:val="auto"/>
                <w:kern w:val="2"/>
                <w:sz w:val="18"/>
                <w:szCs w:val="18"/>
                <w:lang w:val="en-US" w:eastAsia="zh-CN" w:bidi="ar-SA"/>
              </w:rPr>
            </w:pPr>
            <w:r>
              <w:rPr>
                <w:rFonts w:hint="eastAsia"/>
                <w:color w:val="auto"/>
                <w:sz w:val="18"/>
                <w:szCs w:val="18"/>
              </w:rPr>
              <w:t>中国古代思想文化史</w:t>
            </w:r>
          </w:p>
        </w:tc>
        <w:tc>
          <w:tcPr>
            <w:tcW w:w="1081" w:type="dxa"/>
            <w:shd w:val="clear" w:color="auto" w:fill="auto"/>
            <w:vAlign w:val="top"/>
          </w:tcPr>
          <w:p w14:paraId="0C335C9B">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XS350210</w:t>
            </w:r>
            <w:r>
              <w:rPr>
                <w:rFonts w:hint="eastAsia"/>
                <w:color w:val="auto"/>
                <w:sz w:val="18"/>
                <w:szCs w:val="18"/>
                <w:lang w:val="en-US" w:eastAsia="zh-CN"/>
              </w:rPr>
              <w:t>2</w:t>
            </w:r>
          </w:p>
        </w:tc>
        <w:tc>
          <w:tcPr>
            <w:tcW w:w="709" w:type="dxa"/>
            <w:shd w:val="clear" w:color="auto" w:fill="auto"/>
            <w:vAlign w:val="top"/>
          </w:tcPr>
          <w:p w14:paraId="2A80B153">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top"/>
          </w:tcPr>
          <w:p w14:paraId="2309113C">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4E84EE55">
            <w:pPr>
              <w:jc w:val="center"/>
              <w:rPr>
                <w:color w:val="auto"/>
                <w:sz w:val="18"/>
                <w:szCs w:val="18"/>
              </w:rPr>
            </w:pPr>
          </w:p>
        </w:tc>
      </w:tr>
      <w:tr w14:paraId="4F00A2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8CCCC7F">
            <w:pPr>
              <w:rPr>
                <w:b/>
                <w:color w:val="auto"/>
                <w:sz w:val="18"/>
                <w:szCs w:val="18"/>
              </w:rPr>
            </w:pPr>
          </w:p>
        </w:tc>
        <w:tc>
          <w:tcPr>
            <w:tcW w:w="1226" w:type="dxa"/>
            <w:vMerge w:val="continue"/>
            <w:vAlign w:val="center"/>
          </w:tcPr>
          <w:p w14:paraId="2121F9DF">
            <w:pPr>
              <w:jc w:val="center"/>
              <w:rPr>
                <w:b/>
                <w:color w:val="auto"/>
                <w:sz w:val="18"/>
                <w:szCs w:val="18"/>
              </w:rPr>
            </w:pPr>
          </w:p>
        </w:tc>
        <w:tc>
          <w:tcPr>
            <w:tcW w:w="3516" w:type="dxa"/>
            <w:shd w:val="clear" w:color="auto" w:fill="auto"/>
            <w:vAlign w:val="center"/>
          </w:tcPr>
          <w:p w14:paraId="423DE3F8">
            <w:pPr>
              <w:spacing w:line="360" w:lineRule="auto"/>
              <w:rPr>
                <w:rFonts w:ascii="Times New Roman" w:hAnsi="Times New Roman" w:eastAsia="宋体" w:cs="Times New Roman"/>
                <w:i/>
                <w:color w:val="FF0000"/>
                <w:kern w:val="2"/>
                <w:sz w:val="18"/>
                <w:szCs w:val="18"/>
                <w:lang w:val="en-US" w:eastAsia="zh-CN" w:bidi="ar-SA"/>
              </w:rPr>
            </w:pPr>
            <w:r>
              <w:rPr>
                <w:rFonts w:hint="eastAsia"/>
                <w:color w:val="FF0000"/>
                <w:sz w:val="18"/>
                <w:szCs w:val="18"/>
              </w:rPr>
              <w:t>中国古代建筑史</w:t>
            </w:r>
          </w:p>
        </w:tc>
        <w:tc>
          <w:tcPr>
            <w:tcW w:w="1081" w:type="dxa"/>
            <w:shd w:val="clear" w:color="auto" w:fill="auto"/>
            <w:vAlign w:val="center"/>
          </w:tcPr>
          <w:p w14:paraId="470EDBA4">
            <w:pPr>
              <w:spacing w:line="360" w:lineRule="auto"/>
              <w:jc w:val="center"/>
              <w:rPr>
                <w:rFonts w:hint="eastAsia" w:ascii="Times New Roman" w:hAnsi="Times New Roman" w:eastAsia="宋体" w:cs="Times New Roman"/>
                <w:color w:val="FF0000"/>
                <w:kern w:val="2"/>
                <w:sz w:val="18"/>
                <w:szCs w:val="18"/>
                <w:lang w:val="en-US" w:eastAsia="zh-CN" w:bidi="ar-SA"/>
              </w:rPr>
            </w:pPr>
            <w:r>
              <w:rPr>
                <w:rFonts w:hint="eastAsia"/>
                <w:color w:val="FF0000"/>
                <w:sz w:val="18"/>
                <w:szCs w:val="18"/>
              </w:rPr>
              <w:t>XS350310</w:t>
            </w:r>
            <w:r>
              <w:rPr>
                <w:rFonts w:hint="eastAsia"/>
                <w:color w:val="FF0000"/>
                <w:sz w:val="18"/>
                <w:szCs w:val="18"/>
                <w:lang w:val="en-US" w:eastAsia="zh-CN"/>
              </w:rPr>
              <w:t>4</w:t>
            </w:r>
          </w:p>
        </w:tc>
        <w:tc>
          <w:tcPr>
            <w:tcW w:w="709" w:type="dxa"/>
            <w:shd w:val="clear" w:color="auto" w:fill="auto"/>
            <w:vAlign w:val="center"/>
          </w:tcPr>
          <w:p w14:paraId="3247410B">
            <w:pPr>
              <w:spacing w:line="360" w:lineRule="auto"/>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0A2BDA74">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045" w:type="dxa"/>
            <w:vMerge w:val="continue"/>
            <w:vAlign w:val="center"/>
          </w:tcPr>
          <w:p w14:paraId="779EA00E">
            <w:pPr>
              <w:jc w:val="center"/>
              <w:rPr>
                <w:color w:val="auto"/>
                <w:sz w:val="18"/>
                <w:szCs w:val="18"/>
              </w:rPr>
            </w:pPr>
          </w:p>
        </w:tc>
      </w:tr>
      <w:tr w14:paraId="6FD4CD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2B8F30">
            <w:pPr>
              <w:rPr>
                <w:b/>
                <w:color w:val="auto"/>
                <w:sz w:val="18"/>
                <w:szCs w:val="18"/>
              </w:rPr>
            </w:pPr>
          </w:p>
        </w:tc>
        <w:tc>
          <w:tcPr>
            <w:tcW w:w="1226" w:type="dxa"/>
            <w:vMerge w:val="continue"/>
            <w:vAlign w:val="center"/>
          </w:tcPr>
          <w:p w14:paraId="47913047">
            <w:pPr>
              <w:jc w:val="center"/>
              <w:rPr>
                <w:b/>
                <w:color w:val="auto"/>
                <w:sz w:val="18"/>
                <w:szCs w:val="18"/>
              </w:rPr>
            </w:pPr>
          </w:p>
        </w:tc>
        <w:tc>
          <w:tcPr>
            <w:tcW w:w="3516" w:type="dxa"/>
            <w:shd w:val="clear" w:color="auto" w:fill="auto"/>
            <w:vAlign w:val="center"/>
          </w:tcPr>
          <w:p w14:paraId="4DB35393">
            <w:pPr>
              <w:spacing w:line="360" w:lineRule="auto"/>
              <w:rPr>
                <w:rFonts w:ascii="Times New Roman" w:hAnsi="Times New Roman" w:eastAsia="宋体" w:cs="Times New Roman"/>
                <w:i/>
                <w:color w:val="auto"/>
                <w:kern w:val="2"/>
                <w:sz w:val="18"/>
                <w:szCs w:val="18"/>
                <w:lang w:val="en-US" w:eastAsia="zh-CN" w:bidi="ar-SA"/>
              </w:rPr>
            </w:pPr>
            <w:r>
              <w:rPr>
                <w:rFonts w:hint="eastAsia"/>
                <w:color w:val="auto"/>
                <w:sz w:val="18"/>
                <w:szCs w:val="18"/>
              </w:rPr>
              <w:t>华北农村科技史</w:t>
            </w:r>
          </w:p>
        </w:tc>
        <w:tc>
          <w:tcPr>
            <w:tcW w:w="1081" w:type="dxa"/>
            <w:shd w:val="clear" w:color="auto" w:fill="auto"/>
            <w:vAlign w:val="center"/>
          </w:tcPr>
          <w:p w14:paraId="1CF7B568">
            <w:pPr>
              <w:spacing w:line="360" w:lineRule="auto"/>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XS3503103</w:t>
            </w:r>
          </w:p>
        </w:tc>
        <w:tc>
          <w:tcPr>
            <w:tcW w:w="709" w:type="dxa"/>
            <w:shd w:val="clear" w:color="auto" w:fill="auto"/>
            <w:vAlign w:val="center"/>
          </w:tcPr>
          <w:p w14:paraId="1E2310EA">
            <w:pPr>
              <w:spacing w:line="360" w:lineRule="auto"/>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7FD7AF3">
            <w:pPr>
              <w:spacing w:line="360" w:lineRule="auto"/>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3A85BB4C">
            <w:pPr>
              <w:jc w:val="center"/>
              <w:rPr>
                <w:color w:val="auto"/>
                <w:sz w:val="18"/>
                <w:szCs w:val="18"/>
              </w:rPr>
            </w:pPr>
          </w:p>
        </w:tc>
      </w:tr>
      <w:tr w14:paraId="1AD2E7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2EDB01">
            <w:pPr>
              <w:rPr>
                <w:b/>
                <w:color w:val="auto"/>
                <w:sz w:val="18"/>
                <w:szCs w:val="18"/>
              </w:rPr>
            </w:pPr>
          </w:p>
        </w:tc>
        <w:tc>
          <w:tcPr>
            <w:tcW w:w="1226" w:type="dxa"/>
            <w:vMerge w:val="continue"/>
            <w:vAlign w:val="center"/>
          </w:tcPr>
          <w:p w14:paraId="66E3224E">
            <w:pPr>
              <w:jc w:val="center"/>
              <w:rPr>
                <w:b/>
                <w:color w:val="auto"/>
                <w:sz w:val="18"/>
                <w:szCs w:val="18"/>
              </w:rPr>
            </w:pPr>
          </w:p>
        </w:tc>
        <w:tc>
          <w:tcPr>
            <w:tcW w:w="3516" w:type="dxa"/>
            <w:shd w:val="clear" w:color="auto" w:fill="auto"/>
            <w:vAlign w:val="top"/>
          </w:tcPr>
          <w:p w14:paraId="0C084731">
            <w:pPr>
              <w:rPr>
                <w:rFonts w:ascii="Times New Roman" w:hAnsi="Times New Roman" w:eastAsia="宋体" w:cs="Times New Roman"/>
                <w:color w:val="auto"/>
                <w:kern w:val="2"/>
                <w:sz w:val="18"/>
                <w:szCs w:val="18"/>
                <w:lang w:val="en-US" w:eastAsia="zh-CN" w:bidi="ar-SA"/>
              </w:rPr>
            </w:pPr>
            <w:r>
              <w:rPr>
                <w:rFonts w:hint="eastAsia"/>
                <w:color w:val="auto"/>
                <w:sz w:val="18"/>
                <w:szCs w:val="18"/>
              </w:rPr>
              <w:t>中国古代史料校读学</w:t>
            </w:r>
            <w:bookmarkStart w:id="1" w:name="_GoBack"/>
            <w:bookmarkEnd w:id="1"/>
          </w:p>
        </w:tc>
        <w:tc>
          <w:tcPr>
            <w:tcW w:w="1081" w:type="dxa"/>
            <w:shd w:val="clear" w:color="auto" w:fill="auto"/>
            <w:vAlign w:val="top"/>
          </w:tcPr>
          <w:p w14:paraId="5A69AAFD">
            <w:pP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XS35021</w:t>
            </w:r>
            <w:r>
              <w:rPr>
                <w:rFonts w:hint="eastAsia"/>
                <w:color w:val="auto"/>
                <w:sz w:val="18"/>
                <w:szCs w:val="18"/>
                <w:lang w:val="en-US" w:eastAsia="zh-CN"/>
              </w:rPr>
              <w:t>10</w:t>
            </w:r>
          </w:p>
        </w:tc>
        <w:tc>
          <w:tcPr>
            <w:tcW w:w="709" w:type="dxa"/>
            <w:shd w:val="clear" w:color="auto" w:fill="auto"/>
            <w:vAlign w:val="top"/>
          </w:tcPr>
          <w:p w14:paraId="6B2F8D65">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top"/>
          </w:tcPr>
          <w:p w14:paraId="190A7D75">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7865390A">
            <w:pPr>
              <w:jc w:val="center"/>
              <w:rPr>
                <w:color w:val="auto"/>
                <w:sz w:val="18"/>
                <w:szCs w:val="18"/>
              </w:rPr>
            </w:pPr>
          </w:p>
        </w:tc>
      </w:tr>
      <w:tr w14:paraId="310DA9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37C3A1">
            <w:pPr>
              <w:rPr>
                <w:b/>
                <w:color w:val="auto"/>
                <w:sz w:val="18"/>
                <w:szCs w:val="18"/>
              </w:rPr>
            </w:pPr>
          </w:p>
        </w:tc>
        <w:tc>
          <w:tcPr>
            <w:tcW w:w="1226" w:type="dxa"/>
            <w:vMerge w:val="continue"/>
            <w:vAlign w:val="center"/>
          </w:tcPr>
          <w:p w14:paraId="04985159">
            <w:pPr>
              <w:jc w:val="center"/>
              <w:rPr>
                <w:b/>
                <w:color w:val="auto"/>
                <w:sz w:val="18"/>
                <w:szCs w:val="18"/>
              </w:rPr>
            </w:pPr>
          </w:p>
        </w:tc>
        <w:tc>
          <w:tcPr>
            <w:tcW w:w="3516" w:type="dxa"/>
            <w:shd w:val="clear" w:color="auto" w:fill="auto"/>
            <w:vAlign w:val="center"/>
          </w:tcPr>
          <w:p w14:paraId="2E716605">
            <w:pPr>
              <w:spacing w:line="360" w:lineRule="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西方科学技术史</w:t>
            </w:r>
          </w:p>
        </w:tc>
        <w:tc>
          <w:tcPr>
            <w:tcW w:w="1081" w:type="dxa"/>
            <w:shd w:val="clear" w:color="auto" w:fill="auto"/>
            <w:vAlign w:val="center"/>
          </w:tcPr>
          <w:p w14:paraId="737DAA4C">
            <w:pPr>
              <w:spacing w:line="360" w:lineRule="auto"/>
              <w:jc w:val="center"/>
              <w:rPr>
                <w:rFonts w:hint="eastAsia" w:ascii="Times New Roman" w:hAnsi="Times New Roman" w:eastAsia="宋体" w:cs="Times New Roman"/>
                <w:color w:val="auto"/>
                <w:kern w:val="2"/>
                <w:sz w:val="18"/>
                <w:szCs w:val="18"/>
                <w:lang w:val="en-US" w:eastAsia="zh-CN" w:bidi="ar-SA"/>
              </w:rPr>
            </w:pPr>
            <w:r>
              <w:rPr>
                <w:color w:val="auto"/>
                <w:sz w:val="18"/>
                <w:szCs w:val="18"/>
              </w:rPr>
              <w:t>XS350320</w:t>
            </w:r>
            <w:r>
              <w:rPr>
                <w:rFonts w:hint="eastAsia"/>
                <w:color w:val="auto"/>
                <w:sz w:val="18"/>
                <w:szCs w:val="18"/>
                <w:lang w:val="en-US" w:eastAsia="zh-CN"/>
              </w:rPr>
              <w:t>6</w:t>
            </w:r>
          </w:p>
        </w:tc>
        <w:tc>
          <w:tcPr>
            <w:tcW w:w="709" w:type="dxa"/>
            <w:shd w:val="clear" w:color="auto" w:fill="auto"/>
            <w:vAlign w:val="center"/>
          </w:tcPr>
          <w:p w14:paraId="6C6A01B8">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03AC820">
            <w:pPr>
              <w:spacing w:line="360" w:lineRule="auto"/>
              <w:jc w:val="center"/>
              <w:rPr>
                <w:rFonts w:hint="eastAsia" w:ascii="Times New Roman" w:hAnsi="Times New Roman" w:eastAsia="宋体" w:cs="Times New Roman"/>
                <w:color w:val="auto"/>
                <w:kern w:val="2"/>
                <w:sz w:val="18"/>
                <w:szCs w:val="18"/>
                <w:lang w:val="en-US" w:eastAsia="zh-CN" w:bidi="ar-SA"/>
              </w:rPr>
            </w:pPr>
            <w:r>
              <w:rPr>
                <w:color w:val="auto"/>
                <w:sz w:val="18"/>
                <w:szCs w:val="18"/>
              </w:rPr>
              <w:t>3</w:t>
            </w:r>
          </w:p>
        </w:tc>
        <w:tc>
          <w:tcPr>
            <w:tcW w:w="1045" w:type="dxa"/>
            <w:vMerge w:val="continue"/>
            <w:vAlign w:val="center"/>
          </w:tcPr>
          <w:p w14:paraId="4A31AC79">
            <w:pPr>
              <w:jc w:val="center"/>
              <w:rPr>
                <w:color w:val="auto"/>
                <w:sz w:val="18"/>
                <w:szCs w:val="18"/>
              </w:rPr>
            </w:pPr>
          </w:p>
        </w:tc>
      </w:tr>
      <w:tr w14:paraId="30447D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510657">
            <w:pPr>
              <w:rPr>
                <w:b/>
                <w:color w:val="auto"/>
                <w:sz w:val="18"/>
                <w:szCs w:val="18"/>
              </w:rPr>
            </w:pPr>
          </w:p>
        </w:tc>
        <w:tc>
          <w:tcPr>
            <w:tcW w:w="1226" w:type="dxa"/>
            <w:vMerge w:val="continue"/>
            <w:vAlign w:val="center"/>
          </w:tcPr>
          <w:p w14:paraId="07566454">
            <w:pPr>
              <w:jc w:val="center"/>
              <w:rPr>
                <w:b/>
                <w:color w:val="auto"/>
                <w:sz w:val="18"/>
                <w:szCs w:val="18"/>
              </w:rPr>
            </w:pPr>
          </w:p>
        </w:tc>
        <w:tc>
          <w:tcPr>
            <w:tcW w:w="3516" w:type="dxa"/>
            <w:shd w:val="clear" w:color="auto" w:fill="auto"/>
            <w:vAlign w:val="center"/>
          </w:tcPr>
          <w:p w14:paraId="7BC40652">
            <w:pPr>
              <w:spacing w:line="360" w:lineRule="auto"/>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科技与经济</w:t>
            </w:r>
          </w:p>
        </w:tc>
        <w:tc>
          <w:tcPr>
            <w:tcW w:w="1081" w:type="dxa"/>
            <w:shd w:val="clear" w:color="auto" w:fill="auto"/>
            <w:vAlign w:val="center"/>
          </w:tcPr>
          <w:p w14:paraId="60BFE8B7">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XS350320</w:t>
            </w:r>
            <w:r>
              <w:rPr>
                <w:rFonts w:hint="eastAsia"/>
                <w:color w:val="auto"/>
                <w:sz w:val="18"/>
                <w:szCs w:val="18"/>
                <w:lang w:val="en-US" w:eastAsia="zh-CN"/>
              </w:rPr>
              <w:t>7</w:t>
            </w:r>
          </w:p>
        </w:tc>
        <w:tc>
          <w:tcPr>
            <w:tcW w:w="709" w:type="dxa"/>
            <w:shd w:val="clear" w:color="auto" w:fill="auto"/>
            <w:vAlign w:val="center"/>
          </w:tcPr>
          <w:p w14:paraId="2F99CC06">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0B412F12">
            <w:pPr>
              <w:spacing w:line="360" w:lineRule="auto"/>
              <w:jc w:val="center"/>
              <w:rPr>
                <w:rFonts w:hint="eastAsia" w:ascii="Times New Roman" w:hAnsi="Times New Roman" w:eastAsia="宋体" w:cs="Times New Roman"/>
                <w:color w:val="auto"/>
                <w:kern w:val="2"/>
                <w:sz w:val="18"/>
                <w:szCs w:val="18"/>
                <w:lang w:val="en-US" w:eastAsia="zh-CN" w:bidi="ar-SA"/>
              </w:rPr>
            </w:pPr>
            <w:r>
              <w:rPr>
                <w:color w:val="auto"/>
                <w:sz w:val="18"/>
                <w:szCs w:val="18"/>
              </w:rPr>
              <w:t>3</w:t>
            </w:r>
          </w:p>
        </w:tc>
        <w:tc>
          <w:tcPr>
            <w:tcW w:w="1045" w:type="dxa"/>
            <w:vMerge w:val="continue"/>
            <w:vAlign w:val="center"/>
          </w:tcPr>
          <w:p w14:paraId="49F59BB0">
            <w:pPr>
              <w:jc w:val="center"/>
              <w:rPr>
                <w:color w:val="auto"/>
                <w:sz w:val="18"/>
                <w:szCs w:val="18"/>
              </w:rPr>
            </w:pPr>
          </w:p>
        </w:tc>
      </w:tr>
      <w:tr w14:paraId="163686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CD91BC">
            <w:pPr>
              <w:rPr>
                <w:b/>
                <w:color w:val="auto"/>
                <w:sz w:val="18"/>
                <w:szCs w:val="18"/>
              </w:rPr>
            </w:pPr>
          </w:p>
        </w:tc>
        <w:tc>
          <w:tcPr>
            <w:tcW w:w="1226" w:type="dxa"/>
            <w:vMerge w:val="continue"/>
            <w:vAlign w:val="center"/>
          </w:tcPr>
          <w:p w14:paraId="156DD9C8">
            <w:pPr>
              <w:jc w:val="center"/>
              <w:rPr>
                <w:b/>
                <w:color w:val="auto"/>
                <w:sz w:val="18"/>
                <w:szCs w:val="18"/>
              </w:rPr>
            </w:pPr>
          </w:p>
        </w:tc>
        <w:tc>
          <w:tcPr>
            <w:tcW w:w="3516" w:type="dxa"/>
            <w:shd w:val="clear" w:color="auto" w:fill="auto"/>
            <w:vAlign w:val="center"/>
          </w:tcPr>
          <w:p w14:paraId="1823DBD2">
            <w:pPr>
              <w:spacing w:line="360" w:lineRule="auto"/>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中国少数民族科技史</w:t>
            </w:r>
          </w:p>
        </w:tc>
        <w:tc>
          <w:tcPr>
            <w:tcW w:w="1081" w:type="dxa"/>
            <w:shd w:val="clear" w:color="auto" w:fill="auto"/>
            <w:vAlign w:val="center"/>
          </w:tcPr>
          <w:p w14:paraId="55506D7E">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XS350320</w:t>
            </w:r>
            <w:r>
              <w:rPr>
                <w:rFonts w:hint="eastAsia"/>
                <w:color w:val="auto"/>
                <w:sz w:val="18"/>
                <w:szCs w:val="18"/>
                <w:lang w:val="en-US" w:eastAsia="zh-CN"/>
              </w:rPr>
              <w:t>8</w:t>
            </w:r>
          </w:p>
        </w:tc>
        <w:tc>
          <w:tcPr>
            <w:tcW w:w="709" w:type="dxa"/>
            <w:shd w:val="clear" w:color="auto" w:fill="auto"/>
            <w:vAlign w:val="center"/>
          </w:tcPr>
          <w:p w14:paraId="0B20B82E">
            <w:pPr>
              <w:spacing w:line="360" w:lineRule="auto"/>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707FDC7">
            <w:pPr>
              <w:spacing w:line="360" w:lineRule="auto"/>
              <w:jc w:val="center"/>
              <w:rPr>
                <w:rFonts w:hint="eastAsia" w:ascii="Times New Roman" w:hAnsi="Times New Roman" w:eastAsia="宋体" w:cs="Times New Roman"/>
                <w:color w:val="auto"/>
                <w:kern w:val="2"/>
                <w:sz w:val="18"/>
                <w:szCs w:val="18"/>
                <w:lang w:val="en-US" w:eastAsia="zh-CN" w:bidi="ar-SA"/>
              </w:rPr>
            </w:pPr>
            <w:r>
              <w:rPr>
                <w:color w:val="auto"/>
                <w:sz w:val="18"/>
                <w:szCs w:val="18"/>
              </w:rPr>
              <w:t>3</w:t>
            </w:r>
          </w:p>
        </w:tc>
        <w:tc>
          <w:tcPr>
            <w:tcW w:w="1045" w:type="dxa"/>
            <w:vMerge w:val="continue"/>
            <w:vAlign w:val="center"/>
          </w:tcPr>
          <w:p w14:paraId="22ACBF4B">
            <w:pPr>
              <w:jc w:val="center"/>
              <w:rPr>
                <w:color w:val="auto"/>
                <w:sz w:val="18"/>
                <w:szCs w:val="18"/>
              </w:rPr>
            </w:pPr>
          </w:p>
        </w:tc>
      </w:tr>
      <w:tr w14:paraId="193D0D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804F3AB">
            <w:pPr>
              <w:jc w:val="center"/>
              <w:rPr>
                <w:b/>
                <w:color w:val="auto"/>
                <w:sz w:val="18"/>
                <w:szCs w:val="18"/>
              </w:rPr>
            </w:pPr>
            <w:r>
              <w:rPr>
                <w:b/>
                <w:color w:val="auto"/>
                <w:sz w:val="18"/>
                <w:szCs w:val="18"/>
              </w:rPr>
              <w:t>必修环节</w:t>
            </w:r>
          </w:p>
          <w:p w14:paraId="5D3B768A">
            <w:pPr>
              <w:jc w:val="center"/>
              <w:rPr>
                <w:b/>
                <w:color w:val="auto"/>
                <w:sz w:val="18"/>
                <w:szCs w:val="18"/>
              </w:rPr>
            </w:pPr>
          </w:p>
        </w:tc>
        <w:tc>
          <w:tcPr>
            <w:tcW w:w="1226" w:type="dxa"/>
            <w:vMerge w:val="restart"/>
            <w:vAlign w:val="center"/>
          </w:tcPr>
          <w:p w14:paraId="17A7F81D">
            <w:pPr>
              <w:jc w:val="center"/>
              <w:rPr>
                <w:b/>
                <w:color w:val="auto"/>
                <w:sz w:val="18"/>
                <w:szCs w:val="18"/>
              </w:rPr>
            </w:pPr>
            <w:r>
              <w:rPr>
                <w:b/>
                <w:color w:val="auto"/>
                <w:sz w:val="18"/>
                <w:szCs w:val="18"/>
              </w:rPr>
              <w:t>素质拓展</w:t>
            </w:r>
          </w:p>
        </w:tc>
        <w:tc>
          <w:tcPr>
            <w:tcW w:w="3516" w:type="dxa"/>
            <w:vAlign w:val="center"/>
          </w:tcPr>
          <w:p w14:paraId="7A1B40AD">
            <w:pPr>
              <w:rPr>
                <w:color w:val="auto"/>
                <w:sz w:val="18"/>
                <w:szCs w:val="18"/>
              </w:rPr>
            </w:pPr>
            <w:r>
              <w:rPr>
                <w:color w:val="auto"/>
                <w:sz w:val="18"/>
                <w:szCs w:val="18"/>
              </w:rPr>
              <w:t>入学教育</w:t>
            </w:r>
          </w:p>
        </w:tc>
        <w:tc>
          <w:tcPr>
            <w:tcW w:w="1081" w:type="dxa"/>
            <w:vAlign w:val="center"/>
          </w:tcPr>
          <w:p w14:paraId="64670338">
            <w:pPr>
              <w:jc w:val="center"/>
              <w:rPr>
                <w:color w:val="auto"/>
                <w:sz w:val="18"/>
                <w:szCs w:val="18"/>
              </w:rPr>
            </w:pPr>
          </w:p>
        </w:tc>
        <w:tc>
          <w:tcPr>
            <w:tcW w:w="709" w:type="dxa"/>
            <w:vAlign w:val="center"/>
          </w:tcPr>
          <w:p w14:paraId="62108C79">
            <w:pPr>
              <w:spacing w:line="360" w:lineRule="auto"/>
              <w:jc w:val="center"/>
              <w:rPr>
                <w:rFonts w:hint="eastAsia"/>
                <w:color w:val="auto"/>
                <w:sz w:val="18"/>
                <w:szCs w:val="18"/>
              </w:rPr>
            </w:pPr>
            <w:r>
              <w:rPr>
                <w:rFonts w:hint="eastAsia"/>
                <w:color w:val="auto"/>
                <w:sz w:val="18"/>
                <w:szCs w:val="18"/>
              </w:rPr>
              <w:t>0</w:t>
            </w:r>
          </w:p>
        </w:tc>
        <w:tc>
          <w:tcPr>
            <w:tcW w:w="709" w:type="dxa"/>
            <w:vAlign w:val="center"/>
          </w:tcPr>
          <w:p w14:paraId="3C868124">
            <w:pPr>
              <w:spacing w:line="360" w:lineRule="auto"/>
              <w:jc w:val="center"/>
              <w:rPr>
                <w:rFonts w:hint="eastAsia"/>
                <w:color w:val="auto"/>
                <w:sz w:val="18"/>
                <w:szCs w:val="18"/>
              </w:rPr>
            </w:pPr>
            <w:r>
              <w:rPr>
                <w:rFonts w:hint="eastAsia"/>
                <w:color w:val="auto"/>
                <w:sz w:val="18"/>
                <w:szCs w:val="18"/>
              </w:rPr>
              <w:t>0</w:t>
            </w:r>
          </w:p>
        </w:tc>
        <w:tc>
          <w:tcPr>
            <w:tcW w:w="1045" w:type="dxa"/>
            <w:tcBorders>
              <w:bottom w:val="single" w:color="auto" w:sz="4" w:space="0"/>
            </w:tcBorders>
            <w:vAlign w:val="center"/>
          </w:tcPr>
          <w:p w14:paraId="23DDA683">
            <w:pPr>
              <w:jc w:val="center"/>
              <w:rPr>
                <w:i/>
                <w:color w:val="auto"/>
                <w:sz w:val="18"/>
                <w:szCs w:val="18"/>
              </w:rPr>
            </w:pPr>
          </w:p>
        </w:tc>
      </w:tr>
      <w:tr w14:paraId="221BCE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FAB571E">
            <w:pPr>
              <w:jc w:val="center"/>
              <w:rPr>
                <w:b/>
                <w:color w:val="auto"/>
                <w:sz w:val="18"/>
                <w:szCs w:val="18"/>
              </w:rPr>
            </w:pPr>
          </w:p>
        </w:tc>
        <w:tc>
          <w:tcPr>
            <w:tcW w:w="1226" w:type="dxa"/>
            <w:vMerge w:val="continue"/>
            <w:vAlign w:val="center"/>
          </w:tcPr>
          <w:p w14:paraId="7CD2AF9E">
            <w:pPr>
              <w:jc w:val="center"/>
              <w:rPr>
                <w:b/>
                <w:color w:val="auto"/>
                <w:sz w:val="18"/>
                <w:szCs w:val="18"/>
              </w:rPr>
            </w:pPr>
          </w:p>
        </w:tc>
        <w:tc>
          <w:tcPr>
            <w:tcW w:w="3516" w:type="dxa"/>
            <w:vAlign w:val="center"/>
          </w:tcPr>
          <w:p w14:paraId="1F47F909">
            <w:pPr>
              <w:rPr>
                <w:color w:val="auto"/>
                <w:sz w:val="18"/>
                <w:szCs w:val="18"/>
              </w:rPr>
            </w:pPr>
            <w:r>
              <w:rPr>
                <w:color w:val="auto"/>
                <w:sz w:val="18"/>
                <w:szCs w:val="18"/>
              </w:rPr>
              <w:t>学术活动</w:t>
            </w:r>
          </w:p>
        </w:tc>
        <w:tc>
          <w:tcPr>
            <w:tcW w:w="1081" w:type="dxa"/>
            <w:vAlign w:val="center"/>
          </w:tcPr>
          <w:p w14:paraId="513B8CB3">
            <w:pPr>
              <w:jc w:val="center"/>
              <w:rPr>
                <w:color w:val="auto"/>
                <w:sz w:val="18"/>
                <w:szCs w:val="18"/>
              </w:rPr>
            </w:pPr>
          </w:p>
        </w:tc>
        <w:tc>
          <w:tcPr>
            <w:tcW w:w="709" w:type="dxa"/>
            <w:vAlign w:val="center"/>
          </w:tcPr>
          <w:p w14:paraId="4DA4AFB8">
            <w:pPr>
              <w:spacing w:line="360" w:lineRule="auto"/>
              <w:jc w:val="center"/>
              <w:rPr>
                <w:rFonts w:hint="eastAsia"/>
                <w:color w:val="auto"/>
                <w:sz w:val="18"/>
                <w:szCs w:val="18"/>
              </w:rPr>
            </w:pPr>
            <w:r>
              <w:rPr>
                <w:rFonts w:hint="eastAsia"/>
                <w:color w:val="auto"/>
                <w:sz w:val="18"/>
                <w:szCs w:val="18"/>
              </w:rPr>
              <w:t>1</w:t>
            </w:r>
          </w:p>
        </w:tc>
        <w:tc>
          <w:tcPr>
            <w:tcW w:w="709" w:type="dxa"/>
            <w:vAlign w:val="center"/>
          </w:tcPr>
          <w:p w14:paraId="2EEFF016">
            <w:pPr>
              <w:spacing w:line="360" w:lineRule="auto"/>
              <w:jc w:val="center"/>
              <w:rPr>
                <w:rFonts w:hint="eastAsia"/>
                <w:color w:val="auto"/>
                <w:sz w:val="18"/>
                <w:szCs w:val="18"/>
              </w:rPr>
            </w:pPr>
            <w:r>
              <w:rPr>
                <w:rFonts w:hint="eastAsia"/>
                <w:color w:val="auto"/>
                <w:sz w:val="18"/>
                <w:szCs w:val="18"/>
              </w:rPr>
              <w:t>1-6</w:t>
            </w:r>
          </w:p>
        </w:tc>
        <w:tc>
          <w:tcPr>
            <w:tcW w:w="1045" w:type="dxa"/>
            <w:tcBorders>
              <w:top w:val="single" w:color="auto" w:sz="4" w:space="0"/>
            </w:tcBorders>
            <w:vAlign w:val="center"/>
          </w:tcPr>
          <w:p w14:paraId="6AE623FB">
            <w:pPr>
              <w:jc w:val="center"/>
              <w:rPr>
                <w:color w:val="auto"/>
                <w:sz w:val="18"/>
                <w:szCs w:val="18"/>
              </w:rPr>
            </w:pPr>
            <w:r>
              <w:rPr>
                <w:rFonts w:hint="eastAsia"/>
                <w:color w:val="auto"/>
                <w:sz w:val="18"/>
                <w:szCs w:val="18"/>
              </w:rPr>
              <w:t>参加学术报告会</w:t>
            </w:r>
          </w:p>
        </w:tc>
      </w:tr>
      <w:tr w14:paraId="5DAA0A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D722EF">
            <w:pPr>
              <w:rPr>
                <w:b/>
                <w:color w:val="auto"/>
                <w:sz w:val="18"/>
                <w:szCs w:val="18"/>
              </w:rPr>
            </w:pPr>
          </w:p>
        </w:tc>
        <w:tc>
          <w:tcPr>
            <w:tcW w:w="1226" w:type="dxa"/>
            <w:vMerge w:val="restart"/>
            <w:vAlign w:val="center"/>
          </w:tcPr>
          <w:p w14:paraId="76274566">
            <w:pPr>
              <w:jc w:val="center"/>
              <w:rPr>
                <w:b/>
                <w:color w:val="auto"/>
                <w:sz w:val="18"/>
                <w:szCs w:val="18"/>
              </w:rPr>
            </w:pPr>
            <w:r>
              <w:rPr>
                <w:b/>
                <w:color w:val="auto"/>
                <w:sz w:val="18"/>
                <w:szCs w:val="18"/>
              </w:rPr>
              <w:t>学术训练</w:t>
            </w:r>
          </w:p>
        </w:tc>
        <w:tc>
          <w:tcPr>
            <w:tcW w:w="3516" w:type="dxa"/>
            <w:vAlign w:val="center"/>
          </w:tcPr>
          <w:p w14:paraId="4FA54A9C">
            <w:pPr>
              <w:rPr>
                <w:color w:val="auto"/>
                <w:sz w:val="18"/>
                <w:szCs w:val="18"/>
              </w:rPr>
            </w:pPr>
            <w:r>
              <w:rPr>
                <w:color w:val="auto"/>
                <w:sz w:val="18"/>
                <w:szCs w:val="18"/>
              </w:rPr>
              <w:t>中期筛选</w:t>
            </w:r>
          </w:p>
        </w:tc>
        <w:tc>
          <w:tcPr>
            <w:tcW w:w="1081" w:type="dxa"/>
            <w:vAlign w:val="center"/>
          </w:tcPr>
          <w:p w14:paraId="1514929D">
            <w:pPr>
              <w:jc w:val="center"/>
              <w:rPr>
                <w:color w:val="auto"/>
                <w:sz w:val="18"/>
                <w:szCs w:val="18"/>
              </w:rPr>
            </w:pPr>
          </w:p>
        </w:tc>
        <w:tc>
          <w:tcPr>
            <w:tcW w:w="709" w:type="dxa"/>
            <w:vAlign w:val="center"/>
          </w:tcPr>
          <w:p w14:paraId="319B540A">
            <w:pPr>
              <w:spacing w:line="360" w:lineRule="auto"/>
              <w:jc w:val="center"/>
              <w:rPr>
                <w:rFonts w:hint="eastAsia"/>
                <w:color w:val="auto"/>
                <w:sz w:val="18"/>
                <w:szCs w:val="18"/>
              </w:rPr>
            </w:pPr>
          </w:p>
        </w:tc>
        <w:tc>
          <w:tcPr>
            <w:tcW w:w="709" w:type="dxa"/>
            <w:vAlign w:val="center"/>
          </w:tcPr>
          <w:p w14:paraId="3FF9F9B1">
            <w:pPr>
              <w:spacing w:line="360" w:lineRule="auto"/>
              <w:jc w:val="center"/>
              <w:rPr>
                <w:rFonts w:hint="eastAsia"/>
                <w:color w:val="auto"/>
                <w:sz w:val="18"/>
                <w:szCs w:val="18"/>
              </w:rPr>
            </w:pPr>
            <w:r>
              <w:rPr>
                <w:rFonts w:hint="eastAsia"/>
                <w:color w:val="auto"/>
                <w:sz w:val="18"/>
                <w:szCs w:val="18"/>
              </w:rPr>
              <w:t>3</w:t>
            </w:r>
          </w:p>
        </w:tc>
        <w:tc>
          <w:tcPr>
            <w:tcW w:w="1045" w:type="dxa"/>
            <w:vMerge w:val="restart"/>
            <w:vAlign w:val="center"/>
          </w:tcPr>
          <w:p w14:paraId="005D8F1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ABED9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A3543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58A4EE">
            <w:pPr>
              <w:rPr>
                <w:b/>
                <w:color w:val="auto"/>
                <w:sz w:val="18"/>
                <w:szCs w:val="18"/>
              </w:rPr>
            </w:pPr>
          </w:p>
        </w:tc>
        <w:tc>
          <w:tcPr>
            <w:tcW w:w="1226" w:type="dxa"/>
            <w:vMerge w:val="continue"/>
            <w:vAlign w:val="center"/>
          </w:tcPr>
          <w:p w14:paraId="08717322">
            <w:pPr>
              <w:jc w:val="center"/>
              <w:rPr>
                <w:b/>
                <w:color w:val="auto"/>
                <w:sz w:val="18"/>
                <w:szCs w:val="18"/>
              </w:rPr>
            </w:pPr>
          </w:p>
        </w:tc>
        <w:tc>
          <w:tcPr>
            <w:tcW w:w="3516" w:type="dxa"/>
            <w:vAlign w:val="center"/>
          </w:tcPr>
          <w:p w14:paraId="770F9FC4">
            <w:pPr>
              <w:rPr>
                <w:color w:val="auto"/>
                <w:sz w:val="18"/>
                <w:szCs w:val="18"/>
              </w:rPr>
            </w:pPr>
            <w:r>
              <w:rPr>
                <w:color w:val="auto"/>
                <w:sz w:val="18"/>
                <w:szCs w:val="18"/>
              </w:rPr>
              <w:t>论文开题</w:t>
            </w:r>
          </w:p>
        </w:tc>
        <w:tc>
          <w:tcPr>
            <w:tcW w:w="1081" w:type="dxa"/>
            <w:vAlign w:val="center"/>
          </w:tcPr>
          <w:p w14:paraId="08636780">
            <w:pPr>
              <w:jc w:val="center"/>
              <w:rPr>
                <w:color w:val="auto"/>
                <w:sz w:val="18"/>
                <w:szCs w:val="18"/>
              </w:rPr>
            </w:pPr>
          </w:p>
        </w:tc>
        <w:tc>
          <w:tcPr>
            <w:tcW w:w="709" w:type="dxa"/>
            <w:vAlign w:val="center"/>
          </w:tcPr>
          <w:p w14:paraId="43C3AFE0">
            <w:pPr>
              <w:spacing w:line="360" w:lineRule="auto"/>
              <w:jc w:val="center"/>
              <w:rPr>
                <w:rFonts w:hint="eastAsia"/>
                <w:color w:val="auto"/>
                <w:sz w:val="18"/>
                <w:szCs w:val="18"/>
              </w:rPr>
            </w:pPr>
          </w:p>
        </w:tc>
        <w:tc>
          <w:tcPr>
            <w:tcW w:w="709" w:type="dxa"/>
            <w:vAlign w:val="center"/>
          </w:tcPr>
          <w:p w14:paraId="40086AD6">
            <w:pPr>
              <w:spacing w:line="360" w:lineRule="auto"/>
              <w:jc w:val="center"/>
              <w:rPr>
                <w:rFonts w:hint="eastAsia"/>
                <w:color w:val="auto"/>
                <w:sz w:val="18"/>
                <w:szCs w:val="18"/>
              </w:rPr>
            </w:pPr>
            <w:r>
              <w:rPr>
                <w:rFonts w:hint="eastAsia"/>
                <w:color w:val="auto"/>
                <w:sz w:val="18"/>
                <w:szCs w:val="18"/>
              </w:rPr>
              <w:t>4</w:t>
            </w:r>
          </w:p>
        </w:tc>
        <w:tc>
          <w:tcPr>
            <w:tcW w:w="1045" w:type="dxa"/>
            <w:vMerge w:val="continue"/>
            <w:vAlign w:val="center"/>
          </w:tcPr>
          <w:p w14:paraId="56FC104D">
            <w:pPr>
              <w:jc w:val="center"/>
              <w:rPr>
                <w:color w:val="000000" w:themeColor="text1"/>
                <w:sz w:val="18"/>
                <w:szCs w:val="18"/>
                <w14:textFill>
                  <w14:solidFill>
                    <w14:schemeClr w14:val="tx1"/>
                  </w14:solidFill>
                </w14:textFill>
              </w:rPr>
            </w:pPr>
          </w:p>
        </w:tc>
      </w:tr>
      <w:tr w14:paraId="426361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18FB7E">
            <w:pPr>
              <w:rPr>
                <w:b/>
                <w:color w:val="auto"/>
                <w:sz w:val="18"/>
                <w:szCs w:val="18"/>
              </w:rPr>
            </w:pPr>
          </w:p>
        </w:tc>
        <w:tc>
          <w:tcPr>
            <w:tcW w:w="1226" w:type="dxa"/>
            <w:vMerge w:val="continue"/>
            <w:vAlign w:val="center"/>
          </w:tcPr>
          <w:p w14:paraId="12B271A3">
            <w:pPr>
              <w:jc w:val="center"/>
              <w:rPr>
                <w:b/>
                <w:color w:val="auto"/>
                <w:sz w:val="18"/>
                <w:szCs w:val="18"/>
              </w:rPr>
            </w:pPr>
          </w:p>
        </w:tc>
        <w:tc>
          <w:tcPr>
            <w:tcW w:w="3516" w:type="dxa"/>
            <w:vAlign w:val="center"/>
          </w:tcPr>
          <w:p w14:paraId="6C84A9E1">
            <w:pPr>
              <w:rPr>
                <w:color w:val="auto"/>
                <w:sz w:val="18"/>
                <w:szCs w:val="18"/>
              </w:rPr>
            </w:pPr>
            <w:r>
              <w:rPr>
                <w:color w:val="auto"/>
                <w:sz w:val="18"/>
                <w:szCs w:val="18"/>
              </w:rPr>
              <w:t>论文中期进展报告</w:t>
            </w:r>
          </w:p>
        </w:tc>
        <w:tc>
          <w:tcPr>
            <w:tcW w:w="1081" w:type="dxa"/>
            <w:vAlign w:val="center"/>
          </w:tcPr>
          <w:p w14:paraId="7FC6EE3C">
            <w:pPr>
              <w:jc w:val="center"/>
              <w:rPr>
                <w:color w:val="auto"/>
                <w:sz w:val="18"/>
                <w:szCs w:val="18"/>
              </w:rPr>
            </w:pPr>
          </w:p>
        </w:tc>
        <w:tc>
          <w:tcPr>
            <w:tcW w:w="709" w:type="dxa"/>
            <w:vAlign w:val="center"/>
          </w:tcPr>
          <w:p w14:paraId="641A4B17">
            <w:pPr>
              <w:spacing w:line="360" w:lineRule="auto"/>
              <w:jc w:val="center"/>
              <w:rPr>
                <w:rFonts w:hint="eastAsia"/>
                <w:color w:val="auto"/>
                <w:sz w:val="18"/>
                <w:szCs w:val="18"/>
              </w:rPr>
            </w:pPr>
          </w:p>
        </w:tc>
        <w:tc>
          <w:tcPr>
            <w:tcW w:w="709" w:type="dxa"/>
            <w:vAlign w:val="center"/>
          </w:tcPr>
          <w:p w14:paraId="6DAC1E83">
            <w:pPr>
              <w:spacing w:line="360" w:lineRule="auto"/>
              <w:jc w:val="center"/>
              <w:rPr>
                <w:rFonts w:hint="eastAsia"/>
                <w:color w:val="auto"/>
                <w:sz w:val="18"/>
                <w:szCs w:val="18"/>
              </w:rPr>
            </w:pPr>
            <w:r>
              <w:rPr>
                <w:rFonts w:hint="eastAsia"/>
                <w:color w:val="auto"/>
                <w:sz w:val="18"/>
                <w:szCs w:val="18"/>
              </w:rPr>
              <w:t>5</w:t>
            </w:r>
          </w:p>
        </w:tc>
        <w:tc>
          <w:tcPr>
            <w:tcW w:w="1045" w:type="dxa"/>
            <w:vMerge w:val="continue"/>
          </w:tcPr>
          <w:p w14:paraId="3FE3FE15">
            <w:pPr>
              <w:jc w:val="center"/>
              <w:rPr>
                <w:color w:val="000000" w:themeColor="text1"/>
                <w:sz w:val="18"/>
                <w:szCs w:val="18"/>
                <w14:textFill>
                  <w14:solidFill>
                    <w14:schemeClr w14:val="tx1"/>
                  </w14:solidFill>
                </w14:textFill>
              </w:rPr>
            </w:pPr>
          </w:p>
        </w:tc>
      </w:tr>
      <w:tr w14:paraId="3D9339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FFA928">
            <w:pPr>
              <w:rPr>
                <w:b/>
                <w:color w:val="auto"/>
                <w:sz w:val="18"/>
                <w:szCs w:val="18"/>
              </w:rPr>
            </w:pPr>
          </w:p>
        </w:tc>
        <w:tc>
          <w:tcPr>
            <w:tcW w:w="1226" w:type="dxa"/>
            <w:vMerge w:val="continue"/>
            <w:vAlign w:val="center"/>
          </w:tcPr>
          <w:p w14:paraId="1CD8EB13">
            <w:pPr>
              <w:jc w:val="center"/>
              <w:rPr>
                <w:b/>
                <w:color w:val="auto"/>
                <w:sz w:val="18"/>
                <w:szCs w:val="18"/>
              </w:rPr>
            </w:pPr>
          </w:p>
        </w:tc>
        <w:tc>
          <w:tcPr>
            <w:tcW w:w="3516" w:type="dxa"/>
            <w:vAlign w:val="center"/>
          </w:tcPr>
          <w:p w14:paraId="7F37DBAB">
            <w:pPr>
              <w:rPr>
                <w:color w:val="auto"/>
                <w:sz w:val="18"/>
                <w:szCs w:val="18"/>
              </w:rPr>
            </w:pPr>
            <w:r>
              <w:rPr>
                <w:color w:val="auto"/>
                <w:sz w:val="18"/>
                <w:szCs w:val="18"/>
              </w:rPr>
              <w:t>论文预答辩</w:t>
            </w:r>
          </w:p>
        </w:tc>
        <w:tc>
          <w:tcPr>
            <w:tcW w:w="1081" w:type="dxa"/>
            <w:vAlign w:val="center"/>
          </w:tcPr>
          <w:p w14:paraId="31793886">
            <w:pPr>
              <w:jc w:val="center"/>
              <w:rPr>
                <w:color w:val="auto"/>
                <w:sz w:val="18"/>
                <w:szCs w:val="18"/>
              </w:rPr>
            </w:pPr>
          </w:p>
        </w:tc>
        <w:tc>
          <w:tcPr>
            <w:tcW w:w="709" w:type="dxa"/>
            <w:vAlign w:val="center"/>
          </w:tcPr>
          <w:p w14:paraId="63A1658E">
            <w:pPr>
              <w:jc w:val="center"/>
              <w:rPr>
                <w:color w:val="auto"/>
                <w:sz w:val="18"/>
                <w:szCs w:val="18"/>
              </w:rPr>
            </w:pPr>
          </w:p>
        </w:tc>
        <w:tc>
          <w:tcPr>
            <w:tcW w:w="709" w:type="dxa"/>
            <w:vAlign w:val="center"/>
          </w:tcPr>
          <w:p w14:paraId="4DC52CBF">
            <w:pPr>
              <w:spacing w:line="360" w:lineRule="auto"/>
              <w:jc w:val="center"/>
              <w:rPr>
                <w:rFonts w:hint="eastAsia"/>
                <w:color w:val="auto"/>
                <w:sz w:val="18"/>
                <w:szCs w:val="18"/>
              </w:rPr>
            </w:pPr>
            <w:r>
              <w:rPr>
                <w:rFonts w:hint="eastAsia"/>
                <w:color w:val="auto"/>
                <w:sz w:val="18"/>
                <w:szCs w:val="18"/>
              </w:rPr>
              <w:t>6</w:t>
            </w:r>
          </w:p>
        </w:tc>
        <w:tc>
          <w:tcPr>
            <w:tcW w:w="1045" w:type="dxa"/>
            <w:vMerge w:val="continue"/>
          </w:tcPr>
          <w:p w14:paraId="097EE12A">
            <w:pPr>
              <w:jc w:val="center"/>
              <w:rPr>
                <w:color w:val="000000" w:themeColor="text1"/>
                <w:sz w:val="18"/>
                <w:szCs w:val="18"/>
                <w14:textFill>
                  <w14:solidFill>
                    <w14:schemeClr w14:val="tx1"/>
                  </w14:solidFill>
                </w14:textFill>
              </w:rPr>
            </w:pPr>
          </w:p>
        </w:tc>
      </w:tr>
      <w:tr w14:paraId="3EE4D1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523AEE">
            <w:pPr>
              <w:rPr>
                <w:color w:val="auto"/>
                <w:sz w:val="18"/>
                <w:szCs w:val="18"/>
              </w:rPr>
            </w:pPr>
          </w:p>
        </w:tc>
        <w:tc>
          <w:tcPr>
            <w:tcW w:w="1226" w:type="dxa"/>
            <w:vMerge w:val="continue"/>
          </w:tcPr>
          <w:p w14:paraId="5B4EC436">
            <w:pPr>
              <w:jc w:val="center"/>
              <w:rPr>
                <w:color w:val="auto"/>
                <w:sz w:val="18"/>
                <w:szCs w:val="18"/>
              </w:rPr>
            </w:pPr>
          </w:p>
        </w:tc>
        <w:tc>
          <w:tcPr>
            <w:tcW w:w="3516" w:type="dxa"/>
            <w:vAlign w:val="center"/>
          </w:tcPr>
          <w:p w14:paraId="1DD99D11">
            <w:pPr>
              <w:rPr>
                <w:color w:val="auto"/>
                <w:sz w:val="18"/>
                <w:szCs w:val="18"/>
              </w:rPr>
            </w:pPr>
            <w:r>
              <w:rPr>
                <w:color w:val="auto"/>
                <w:sz w:val="18"/>
                <w:szCs w:val="18"/>
              </w:rPr>
              <w:t>论文评审</w:t>
            </w:r>
          </w:p>
        </w:tc>
        <w:tc>
          <w:tcPr>
            <w:tcW w:w="1081" w:type="dxa"/>
            <w:vAlign w:val="center"/>
          </w:tcPr>
          <w:p w14:paraId="5EC9F80B">
            <w:pPr>
              <w:jc w:val="center"/>
              <w:rPr>
                <w:color w:val="auto"/>
                <w:sz w:val="18"/>
                <w:szCs w:val="18"/>
              </w:rPr>
            </w:pPr>
          </w:p>
        </w:tc>
        <w:tc>
          <w:tcPr>
            <w:tcW w:w="709" w:type="dxa"/>
            <w:vAlign w:val="center"/>
          </w:tcPr>
          <w:p w14:paraId="40CCEDE4">
            <w:pPr>
              <w:jc w:val="center"/>
              <w:rPr>
                <w:color w:val="auto"/>
                <w:sz w:val="18"/>
                <w:szCs w:val="18"/>
              </w:rPr>
            </w:pPr>
          </w:p>
        </w:tc>
        <w:tc>
          <w:tcPr>
            <w:tcW w:w="709" w:type="dxa"/>
            <w:vAlign w:val="center"/>
          </w:tcPr>
          <w:p w14:paraId="3A95BB6E">
            <w:pPr>
              <w:spacing w:line="360" w:lineRule="auto"/>
              <w:jc w:val="center"/>
              <w:rPr>
                <w:rFonts w:hint="eastAsia"/>
                <w:color w:val="auto"/>
                <w:sz w:val="18"/>
                <w:szCs w:val="18"/>
              </w:rPr>
            </w:pPr>
            <w:r>
              <w:rPr>
                <w:rFonts w:hint="eastAsia"/>
                <w:color w:val="auto"/>
                <w:sz w:val="18"/>
                <w:szCs w:val="18"/>
              </w:rPr>
              <w:t>6</w:t>
            </w:r>
          </w:p>
        </w:tc>
        <w:tc>
          <w:tcPr>
            <w:tcW w:w="1045" w:type="dxa"/>
            <w:vMerge w:val="continue"/>
          </w:tcPr>
          <w:p w14:paraId="10B29209">
            <w:pPr>
              <w:jc w:val="center"/>
              <w:rPr>
                <w:color w:val="000000" w:themeColor="text1"/>
                <w:sz w:val="18"/>
                <w:szCs w:val="18"/>
                <w14:textFill>
                  <w14:solidFill>
                    <w14:schemeClr w14:val="tx1"/>
                  </w14:solidFill>
                </w14:textFill>
              </w:rPr>
            </w:pPr>
          </w:p>
        </w:tc>
      </w:tr>
      <w:tr w14:paraId="721D7B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34537F">
            <w:pPr>
              <w:rPr>
                <w:color w:val="000000" w:themeColor="text1"/>
                <w:sz w:val="18"/>
                <w:szCs w:val="18"/>
                <w14:textFill>
                  <w14:solidFill>
                    <w14:schemeClr w14:val="tx1"/>
                  </w14:solidFill>
                </w14:textFill>
              </w:rPr>
            </w:pPr>
          </w:p>
        </w:tc>
        <w:tc>
          <w:tcPr>
            <w:tcW w:w="1226" w:type="dxa"/>
            <w:vMerge w:val="continue"/>
          </w:tcPr>
          <w:p w14:paraId="32872C35">
            <w:pPr>
              <w:jc w:val="center"/>
              <w:rPr>
                <w:color w:val="000000" w:themeColor="text1"/>
                <w:sz w:val="18"/>
                <w:szCs w:val="18"/>
                <w14:textFill>
                  <w14:solidFill>
                    <w14:schemeClr w14:val="tx1"/>
                  </w14:solidFill>
                </w14:textFill>
              </w:rPr>
            </w:pPr>
          </w:p>
        </w:tc>
        <w:tc>
          <w:tcPr>
            <w:tcW w:w="3516" w:type="dxa"/>
            <w:vAlign w:val="center"/>
          </w:tcPr>
          <w:p w14:paraId="637F6CB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9B5E210">
            <w:pPr>
              <w:jc w:val="center"/>
              <w:rPr>
                <w:color w:val="000000" w:themeColor="text1"/>
                <w:sz w:val="18"/>
                <w:szCs w:val="18"/>
                <w14:textFill>
                  <w14:solidFill>
                    <w14:schemeClr w14:val="tx1"/>
                  </w14:solidFill>
                </w14:textFill>
              </w:rPr>
            </w:pPr>
          </w:p>
        </w:tc>
        <w:tc>
          <w:tcPr>
            <w:tcW w:w="709" w:type="dxa"/>
            <w:vAlign w:val="center"/>
          </w:tcPr>
          <w:p w14:paraId="6E81982E">
            <w:pPr>
              <w:jc w:val="center"/>
              <w:rPr>
                <w:color w:val="000000" w:themeColor="text1"/>
                <w:sz w:val="18"/>
                <w:szCs w:val="18"/>
                <w14:textFill>
                  <w14:solidFill>
                    <w14:schemeClr w14:val="tx1"/>
                  </w14:solidFill>
                </w14:textFill>
              </w:rPr>
            </w:pPr>
          </w:p>
        </w:tc>
        <w:tc>
          <w:tcPr>
            <w:tcW w:w="709" w:type="dxa"/>
            <w:vAlign w:val="center"/>
          </w:tcPr>
          <w:p w14:paraId="1D06DAE2">
            <w:pPr>
              <w:spacing w:line="360" w:lineRule="auto"/>
              <w:jc w:val="center"/>
              <w:rPr>
                <w:rFonts w:hint="eastAsia"/>
                <w:color w:val="auto"/>
                <w:sz w:val="18"/>
                <w:szCs w:val="18"/>
              </w:rPr>
            </w:pPr>
            <w:r>
              <w:rPr>
                <w:rFonts w:hint="eastAsia"/>
                <w:color w:val="auto"/>
                <w:sz w:val="18"/>
                <w:szCs w:val="18"/>
              </w:rPr>
              <w:t>6</w:t>
            </w:r>
          </w:p>
        </w:tc>
        <w:tc>
          <w:tcPr>
            <w:tcW w:w="1045" w:type="dxa"/>
            <w:vMerge w:val="continue"/>
          </w:tcPr>
          <w:p w14:paraId="5567AE86">
            <w:pPr>
              <w:jc w:val="center"/>
              <w:rPr>
                <w:color w:val="000000" w:themeColor="text1"/>
                <w:sz w:val="18"/>
                <w:szCs w:val="18"/>
                <w14:textFill>
                  <w14:solidFill>
                    <w14:schemeClr w14:val="tx1"/>
                  </w14:solidFill>
                </w14:textFill>
              </w:rPr>
            </w:pPr>
          </w:p>
        </w:tc>
      </w:tr>
    </w:tbl>
    <w:p w14:paraId="3F58B142">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5191D958">
      <w:pPr>
        <w:spacing w:line="360" w:lineRule="auto"/>
        <w:ind w:firstLine="562" w:firstLineChars="200"/>
        <w:rPr>
          <w:rFonts w:hint="eastAsia" w:eastAsia="黑体"/>
          <w:b/>
          <w:bCs w:val="0"/>
          <w:sz w:val="28"/>
          <w:szCs w:val="28"/>
        </w:rPr>
      </w:pPr>
      <w:r>
        <w:rPr>
          <w:rFonts w:hint="eastAsia" w:eastAsia="黑体"/>
          <w:b/>
          <w:bCs w:val="0"/>
          <w:sz w:val="28"/>
          <w:szCs w:val="28"/>
        </w:rPr>
        <w:t>十三、其他需要说明事项</w:t>
      </w:r>
    </w:p>
    <w:p w14:paraId="128BFD6B">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2F5C2797">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footerReference r:id="rId3" w:type="default"/>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1116697"/>
      <w:docPartObj>
        <w:docPartGallery w:val="autotext"/>
      </w:docPartObj>
    </w:sdtPr>
    <w:sdtContent>
      <w:p w14:paraId="4106322D">
        <w:pPr>
          <w:pStyle w:val="7"/>
          <w:jc w:val="center"/>
        </w:pPr>
        <w:r>
          <w:fldChar w:fldCharType="begin"/>
        </w:r>
        <w:r>
          <w:instrText xml:space="preserve">PAGE   \* MERGEFORMAT</w:instrText>
        </w:r>
        <w:r>
          <w:fldChar w:fldCharType="separate"/>
        </w:r>
        <w:r>
          <w:rPr>
            <w:lang w:val="zh-CN"/>
          </w:rPr>
          <w:t>6</w:t>
        </w:r>
        <w:r>
          <w:fldChar w:fldCharType="end"/>
        </w:r>
      </w:p>
    </w:sdtContent>
  </w:sdt>
  <w:p w14:paraId="5E139889">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5E6D"/>
    <w:rsid w:val="00067DA2"/>
    <w:rsid w:val="0007050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B6BA6"/>
    <w:rsid w:val="000C1C39"/>
    <w:rsid w:val="000C1DF1"/>
    <w:rsid w:val="000C229D"/>
    <w:rsid w:val="000C684D"/>
    <w:rsid w:val="000C7109"/>
    <w:rsid w:val="000C7B56"/>
    <w:rsid w:val="000C7E0C"/>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183"/>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677A"/>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1E81"/>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231"/>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2D6B"/>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D7B79"/>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15DA"/>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2A86"/>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61B"/>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264"/>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897"/>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4C6"/>
    <w:rsid w:val="004C7690"/>
    <w:rsid w:val="004C77C2"/>
    <w:rsid w:val="004D17F5"/>
    <w:rsid w:val="004D1952"/>
    <w:rsid w:val="004D2350"/>
    <w:rsid w:val="004D285F"/>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4960"/>
    <w:rsid w:val="0051684C"/>
    <w:rsid w:val="00517A47"/>
    <w:rsid w:val="00521257"/>
    <w:rsid w:val="00523001"/>
    <w:rsid w:val="005236DA"/>
    <w:rsid w:val="00524602"/>
    <w:rsid w:val="00525953"/>
    <w:rsid w:val="00525BB6"/>
    <w:rsid w:val="005273F8"/>
    <w:rsid w:val="00527906"/>
    <w:rsid w:val="0053033A"/>
    <w:rsid w:val="00531271"/>
    <w:rsid w:val="00531E63"/>
    <w:rsid w:val="00531EF4"/>
    <w:rsid w:val="00534727"/>
    <w:rsid w:val="005347F9"/>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6FE4"/>
    <w:rsid w:val="00550217"/>
    <w:rsid w:val="005505E3"/>
    <w:rsid w:val="00553704"/>
    <w:rsid w:val="0055450C"/>
    <w:rsid w:val="0055562B"/>
    <w:rsid w:val="005559E3"/>
    <w:rsid w:val="00557ACE"/>
    <w:rsid w:val="00557D2F"/>
    <w:rsid w:val="005615AB"/>
    <w:rsid w:val="00561D63"/>
    <w:rsid w:val="00566D71"/>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582E"/>
    <w:rsid w:val="005972FE"/>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72A"/>
    <w:rsid w:val="005F7CA5"/>
    <w:rsid w:val="005F7CAF"/>
    <w:rsid w:val="00600FC3"/>
    <w:rsid w:val="006016AC"/>
    <w:rsid w:val="00601816"/>
    <w:rsid w:val="0060199C"/>
    <w:rsid w:val="00602977"/>
    <w:rsid w:val="00602B90"/>
    <w:rsid w:val="006032FB"/>
    <w:rsid w:val="00603D83"/>
    <w:rsid w:val="00603F0C"/>
    <w:rsid w:val="00604183"/>
    <w:rsid w:val="00604613"/>
    <w:rsid w:val="00604FB0"/>
    <w:rsid w:val="006051A3"/>
    <w:rsid w:val="00605CD5"/>
    <w:rsid w:val="0060743F"/>
    <w:rsid w:val="00607847"/>
    <w:rsid w:val="00607B2B"/>
    <w:rsid w:val="00610327"/>
    <w:rsid w:val="00611798"/>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279B7"/>
    <w:rsid w:val="00630AD7"/>
    <w:rsid w:val="00632BBB"/>
    <w:rsid w:val="006331DA"/>
    <w:rsid w:val="00633326"/>
    <w:rsid w:val="0063461B"/>
    <w:rsid w:val="00634736"/>
    <w:rsid w:val="00634DBA"/>
    <w:rsid w:val="006350A1"/>
    <w:rsid w:val="00635BA0"/>
    <w:rsid w:val="00635EF3"/>
    <w:rsid w:val="00640097"/>
    <w:rsid w:val="006406F4"/>
    <w:rsid w:val="00640F18"/>
    <w:rsid w:val="006415BA"/>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278"/>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3E1"/>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CC"/>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11BD"/>
    <w:rsid w:val="0079155F"/>
    <w:rsid w:val="00794CA2"/>
    <w:rsid w:val="00795991"/>
    <w:rsid w:val="00796724"/>
    <w:rsid w:val="007A10E9"/>
    <w:rsid w:val="007A112C"/>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535"/>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1C40"/>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A57"/>
    <w:rsid w:val="00917D69"/>
    <w:rsid w:val="009205AF"/>
    <w:rsid w:val="00921AA0"/>
    <w:rsid w:val="00921ABD"/>
    <w:rsid w:val="00921B45"/>
    <w:rsid w:val="00922498"/>
    <w:rsid w:val="009237EC"/>
    <w:rsid w:val="009238CF"/>
    <w:rsid w:val="00923DB7"/>
    <w:rsid w:val="00924443"/>
    <w:rsid w:val="00924EDF"/>
    <w:rsid w:val="00926233"/>
    <w:rsid w:val="00933059"/>
    <w:rsid w:val="0093386F"/>
    <w:rsid w:val="00933D53"/>
    <w:rsid w:val="00935634"/>
    <w:rsid w:val="00937654"/>
    <w:rsid w:val="00937D4A"/>
    <w:rsid w:val="00942771"/>
    <w:rsid w:val="00942BE1"/>
    <w:rsid w:val="009435A3"/>
    <w:rsid w:val="00943C58"/>
    <w:rsid w:val="0094726C"/>
    <w:rsid w:val="00950D50"/>
    <w:rsid w:val="00951639"/>
    <w:rsid w:val="009516C2"/>
    <w:rsid w:val="009529BE"/>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04D6"/>
    <w:rsid w:val="0097176E"/>
    <w:rsid w:val="00973AB8"/>
    <w:rsid w:val="00973B69"/>
    <w:rsid w:val="00974E7A"/>
    <w:rsid w:val="00975E01"/>
    <w:rsid w:val="00976415"/>
    <w:rsid w:val="00976556"/>
    <w:rsid w:val="00976751"/>
    <w:rsid w:val="00977BC6"/>
    <w:rsid w:val="009802BA"/>
    <w:rsid w:val="0098110A"/>
    <w:rsid w:val="009811C7"/>
    <w:rsid w:val="00982395"/>
    <w:rsid w:val="0098307B"/>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4C99"/>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09F2"/>
    <w:rsid w:val="009E205F"/>
    <w:rsid w:val="009E432B"/>
    <w:rsid w:val="009E4EE1"/>
    <w:rsid w:val="009E52AD"/>
    <w:rsid w:val="009E549C"/>
    <w:rsid w:val="009E54FA"/>
    <w:rsid w:val="009E6F99"/>
    <w:rsid w:val="009E753E"/>
    <w:rsid w:val="009F1134"/>
    <w:rsid w:val="009F1A70"/>
    <w:rsid w:val="009F26E5"/>
    <w:rsid w:val="009F48B2"/>
    <w:rsid w:val="009F57BB"/>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84"/>
    <w:rsid w:val="00A268F0"/>
    <w:rsid w:val="00A30A5F"/>
    <w:rsid w:val="00A32582"/>
    <w:rsid w:val="00A32C78"/>
    <w:rsid w:val="00A3536F"/>
    <w:rsid w:val="00A36261"/>
    <w:rsid w:val="00A36557"/>
    <w:rsid w:val="00A366A1"/>
    <w:rsid w:val="00A36D91"/>
    <w:rsid w:val="00A37BC4"/>
    <w:rsid w:val="00A438A1"/>
    <w:rsid w:val="00A43AD5"/>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6D1A"/>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4758"/>
    <w:rsid w:val="00AC7A04"/>
    <w:rsid w:val="00AC7F64"/>
    <w:rsid w:val="00AD0411"/>
    <w:rsid w:val="00AD070E"/>
    <w:rsid w:val="00AD0BC2"/>
    <w:rsid w:val="00AD2597"/>
    <w:rsid w:val="00AD25F3"/>
    <w:rsid w:val="00AD26EF"/>
    <w:rsid w:val="00AD4E99"/>
    <w:rsid w:val="00AD55A0"/>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11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09C"/>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E7F86"/>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84F"/>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882"/>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808"/>
    <w:rsid w:val="00CD4947"/>
    <w:rsid w:val="00CD4B8C"/>
    <w:rsid w:val="00CD4D45"/>
    <w:rsid w:val="00CD5598"/>
    <w:rsid w:val="00CD5EB8"/>
    <w:rsid w:val="00CD7797"/>
    <w:rsid w:val="00CE1586"/>
    <w:rsid w:val="00CE318E"/>
    <w:rsid w:val="00CE344D"/>
    <w:rsid w:val="00CE5440"/>
    <w:rsid w:val="00CE5494"/>
    <w:rsid w:val="00CE5BC2"/>
    <w:rsid w:val="00CE5FF0"/>
    <w:rsid w:val="00CE61F7"/>
    <w:rsid w:val="00CE62FD"/>
    <w:rsid w:val="00CF0C46"/>
    <w:rsid w:val="00CF2418"/>
    <w:rsid w:val="00CF501B"/>
    <w:rsid w:val="00CF67CC"/>
    <w:rsid w:val="00CF6920"/>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4807"/>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3F4"/>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47F14"/>
    <w:rsid w:val="00E51A3B"/>
    <w:rsid w:val="00E531FD"/>
    <w:rsid w:val="00E5419F"/>
    <w:rsid w:val="00E558F1"/>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64C"/>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C10"/>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0DD0"/>
    <w:rsid w:val="00F611B3"/>
    <w:rsid w:val="00F63AAF"/>
    <w:rsid w:val="00F63E0A"/>
    <w:rsid w:val="00F644DD"/>
    <w:rsid w:val="00F65330"/>
    <w:rsid w:val="00F7040D"/>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22AF"/>
    <w:rsid w:val="00FB3165"/>
    <w:rsid w:val="00FB457A"/>
    <w:rsid w:val="00FB673B"/>
    <w:rsid w:val="00FB6BCD"/>
    <w:rsid w:val="00FB74E8"/>
    <w:rsid w:val="00FC04DE"/>
    <w:rsid w:val="00FC1891"/>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5F211F1"/>
    <w:rsid w:val="06002E6B"/>
    <w:rsid w:val="08CC0577"/>
    <w:rsid w:val="16F93E48"/>
    <w:rsid w:val="1FE96C05"/>
    <w:rsid w:val="218B27D1"/>
    <w:rsid w:val="21937A2C"/>
    <w:rsid w:val="23122285"/>
    <w:rsid w:val="25643BBA"/>
    <w:rsid w:val="36375958"/>
    <w:rsid w:val="3F625F01"/>
    <w:rsid w:val="40864ED4"/>
    <w:rsid w:val="454B04C2"/>
    <w:rsid w:val="484216E1"/>
    <w:rsid w:val="4D2B0754"/>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79A4C-FDDC-45B4-BADD-062FB83B142D}">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3986</Words>
  <Characters>4177</Characters>
  <Lines>31</Lines>
  <Paragraphs>8</Paragraphs>
  <TotalTime>33</TotalTime>
  <ScaleCrop>false</ScaleCrop>
  <LinksUpToDate>false</LinksUpToDate>
  <CharactersWithSpaces>4179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猛</cp:lastModifiedBy>
  <cp:lastPrinted>2025-06-27T11:41:32Z</cp:lastPrinted>
  <dcterms:modified xsi:type="dcterms:W3CDTF">2025-06-27T12:44:02Z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eyJoZGlkIjoiNzdiOWIxZjA4ZWM4MTM2ZmEzYzQxYzViY2QyYjM1ZGMiLCJ1c2VySWQiOiIzNTc5MTEwMzEifQ==</vt:lpwstr>
  </property>
  <property fmtid="{D5CDD505-2E9C-101B-9397-08002B2CF9AE}" pid="4" name="ICV">
    <vt:lpwstr>CEDA928E40224CE7AE128CCB788AA181_12</vt:lpwstr>
  </property>
</Properties>
</file>